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Capability statement</w:t>
      </w:r>
    </w:p>
    <w:p>
      <w:pPr>
        <w:keepNext/>
        <w:spacing w:after="240" w:before="0" w:line="562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0A0A0B"/>
          <w:spacing w:val="-16"/>
          <w:sz w:val="52"/>
          <w:szCs w:val="52"/>
        </w:rPr>
        <w:t xml:space="preserve">We build the platforms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676768"/>
          <w:spacing w:val="-16"/>
          <w:sz w:val="52"/>
          <w:szCs w:val="52"/>
        </w:rPr>
        <w:br/>
        <w:t xml:space="preserve">serious businesses run on.</w:t>
      </w:r>
    </w:p>
    <w:p>
      <w:pPr>
        <w:spacing w:after="240" w:before="0" w:line="324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4"/>
          <w:szCs w:val="24"/>
        </w:rPr>
        <w:t xml:space="preserve">Modern software engineering, cloud infrastructure and intelligent systems for organisations building for growth. We architect, modernise and scale the platforms your business depends on.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Years combined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pacing w:val="-12"/>
                <w:sz w:val="40"/>
                <w:szCs w:val="40"/>
              </w:rPr>
              <w:t xml:space="preserve">30+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Industries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pacing w:val="-12"/>
                <w:sz w:val="40"/>
                <w:szCs w:val="40"/>
              </w:rPr>
              <w:t xml:space="preserve">Multi-sector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Approach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pacing w:val="-12"/>
                <w:sz w:val="40"/>
                <w:szCs w:val="40"/>
              </w:rPr>
              <w:t xml:space="preserve">Outcomes</w:t>
            </w:r>
          </w:p>
        </w:tc>
      </w:tr>
    </w:tbl>
    <w:p>
      <w:pPr>
        <w:keepNext/>
        <w:spacing w:after="160" w:before="120"/>
      </w:pPr>
      <w:r>
        <w:drawing>
          <wp:inline distT="0" distB="0" distL="0" distR="0">
            <wp:extent cx="323850" cy="762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What we deliver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70"/>
        <w:gridCol w:w="6168"/>
      </w:tblGrid>
      <w:tr>
        <w:trPr>
          <w:cantSplit/>
        </w:trPr>
        <w:tc>
          <w:tcPr>
            <w:tcW w:type="dxa" w:w="347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Enterprise Software Engineering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Custom software designed around your business, from internal operational systems to customer-facing digital platforms.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Cloud and Infrastructure Architecture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Modern cloud foundations designed for performance, resilience and growth.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CRM and Customer Experience Platforms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Connected customer systems built for service, operations and long-term growth.</w:t>
            </w:r>
          </w:p>
        </w:tc>
      </w:tr>
      <w:tr>
        <w:trPr>
          <w:cantSplit/>
        </w:trPr>
        <w:tc>
          <w:tcPr>
            <w:tcW w:type="dxa" w:w="347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AI, Automation and Digital Experiences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Practical AI designed around real business workflows.</w:t>
            </w:r>
          </w:p>
        </w:tc>
      </w:tr>
    </w:tbl>
    <w:p>
      <w:pPr>
        <w:spacing w:after="0" w:before="0" w:line="24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How we work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8674"/>
      </w:tblGrid>
      <w:tr>
        <w:trPr>
          <w:cantSplit/>
        </w:trPr>
        <w:tc>
          <w:tcPr>
            <w:tcW w:type="dxa" w:w="96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01</w:t>
            </w:r>
          </w:p>
        </w:tc>
        <w:tc>
          <w:tcPr>
            <w:tcW w:type="dxa" w:w="867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Discovery and strategy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Clarity on the problem, the architecture and the outcome before we build.</w:t>
            </w:r>
          </w:p>
        </w:tc>
      </w:tr>
      <w:tr>
        <w:trPr>
          <w:cantSplit/>
        </w:trPr>
        <w:tc>
          <w:tcPr>
            <w:tcW w:type="dxa" w:w="96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02</w:t>
            </w:r>
          </w:p>
        </w:tc>
        <w:tc>
          <w:tcPr>
            <w:tcW w:type="dxa" w:w="867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Build and delivery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Hands-on engineering with releases you can see working every fortnight.</w:t>
            </w:r>
          </w:p>
        </w:tc>
      </w:tr>
      <w:tr>
        <w:trPr>
          <w:cantSplit/>
        </w:trPr>
        <w:tc>
          <w:tcPr>
            <w:tcW w:type="dxa" w:w="96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9318FF"/>
                <w:sz w:val="20"/>
                <w:szCs w:val="20"/>
              </w:rPr>
              <w:t xml:space="preserve">03</w:t>
            </w:r>
          </w:p>
        </w:tc>
        <w:tc>
          <w:tcPr>
            <w:tcW w:type="dxa" w:w="867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Long-term partnership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We stay to operate, optimise and grow what we build.</w:t>
            </w:r>
          </w:p>
        </w:tc>
      </w:tr>
    </w:tbl>
    <w:p>
      <w:pPr>
        <w:spacing w:after="0" w:before="0" w:line="2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55"/>
        <w:gridCol w:w="2602"/>
        <w:gridCol w:w="3181"/>
      </w:tblGrid>
      <w:t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Partner enquiries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partner@obsydiantechnologies.com</w:t>
            </w:r>
          </w:p>
        </w:tc>
        <w:tc>
          <w:tcPr>
            <w:tcW w:type="dxa" w:w="2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Web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obsydiantechnologies.com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Offices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Melbourne · Perth · Cape Town · Johannesburg · Harare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5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Capability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5b90e52a40286b83cab578a01839682ab5ba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Capability statement</dc:title>
  <dc:creator>Obsydian Technologies</dc:creator>
  <dc:description>Obsydian Technologies Capability statement</dc:description>
  <cp:lastModifiedBy>Un-named</cp:lastModifiedBy>
  <cp:revision>1</cp:revision>
  <dcterms:created xsi:type="dcterms:W3CDTF">2026-10-09T11:28:41.934Z</dcterms:created>
  <dcterms:modified xsi:type="dcterms:W3CDTF">2026-10-09T11:28:41.934Z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