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60" w:before="0"/>
      </w:pPr>
      <w:r>
        <w:drawing>
          <wp:inline distT="0" distB="0" distL="0" distR="0">
            <wp:extent cx="323850" cy="76200"/>
            <wp:effectExtent t="0" r="0" b="0" l="0"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Status report</w:t>
      </w:r>
    </w:p>
    <w:p>
      <w:pPr>
        <w:keepNext/>
        <w:spacing w:after="240" w:before="0" w:line="562" w:lineRule="exact"/>
      </w:pP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 w:val="false"/>
          <w:color w:val="0A0A0B"/>
          <w:spacing w:val="-16"/>
          <w:sz w:val="52"/>
          <w:szCs w:val="52"/>
        </w:rPr>
        <w:t xml:space="preserve">[Project name]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 w:val="false"/>
          <w:color w:val="676768"/>
          <w:spacing w:val="-16"/>
          <w:sz w:val="52"/>
          <w:szCs w:val="52"/>
        </w:rPr>
        <w:br/>
        <w:t xml:space="preserve">Week 6 of 12.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Period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[29 Sep to 10 Oct 2026]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Overall</w:t>
            </w:r>
          </w:p>
          <w:p>
            <w:pPr>
              <w:spacing w:after="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9318FF"/>
                <w:sz w:val="20"/>
                <w:szCs w:val="20"/>
              </w:rPr>
              <w:t xml:space="preserve">On track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Prepared by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[Your name]</w:t>
            </w:r>
          </w:p>
        </w:tc>
        <w:tc>
          <w:tcPr>
            <w:tcW w:type="dxa" w:w="2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For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[Client name]</w:t>
            </w:r>
          </w:p>
        </w:tc>
      </w:tr>
    </w:tbl>
    <w:p>
      <w:pPr>
        <w:spacing w:after="0" w:before="0" w:line="120" w:lineRule="exact"/>
      </w:pPr>
    </w:p>
    <w:p>
      <w:pPr>
        <w:keepNext/>
        <w:spacing w:after="160" w:before="0"/>
      </w:pPr>
      <w:r>
        <w:drawing>
          <wp:inline distT="0" distB="0" distL="0" distR="0">
            <wp:extent cx="323850" cy="76200"/>
            <wp:effectExtent t="0" r="0" b="0" l="0"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01 Summary</w:t>
      </w:r>
    </w:p>
    <w:p>
      <w:pPr>
        <w:spacing w:after="240" w:before="0" w:line="324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676768"/>
          <w:sz w:val="24"/>
          <w:szCs w:val="24"/>
        </w:rPr>
        <w:t xml:space="preserve">Three sentences: where the project stands, the most important thing that happened, and anything the client must decide. Lead with what needs their attention.</w:t>
      </w:r>
    </w:p>
    <w:p>
      <w:pPr>
        <w:keepNext/>
        <w:spacing w:after="160" w:before="0"/>
      </w:pPr>
      <w:r>
        <w:drawing>
          <wp:inline distT="0" distB="0" distL="0" distR="0">
            <wp:extent cx="323850" cy="76200"/>
            <wp:effectExtent t="0" r="0" b="0" l="0"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02 Progress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99"/>
        <w:gridCol w:w="1542"/>
        <w:gridCol w:w="5397"/>
      </w:tblGrid>
      <w:tr>
        <w:trPr>
          <w:tblHeader/>
        </w:trPr>
        <w:tc>
          <w:tcPr>
            <w:tcW w:type="dxa" w:w="2699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Workstream</w:t>
            </w:r>
          </w:p>
        </w:tc>
        <w:tc>
          <w:tcPr>
            <w:tcW w:type="dxa" w:w="1542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Status</w:t>
            </w:r>
          </w:p>
        </w:tc>
        <w:tc>
          <w:tcPr>
            <w:tcW w:type="dxa" w:w="5397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This period</w:t>
            </w:r>
          </w:p>
        </w:tc>
      </w:tr>
      <w:tr>
        <w:trPr>
          <w:cantSplit/>
        </w:trPr>
        <w:tc>
          <w:tcPr>
            <w:tcW w:type="dxa" w:w="2699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Platform build</w:t>
            </w:r>
          </w:p>
        </w:tc>
        <w:tc>
          <w:tcPr>
            <w:tcW w:type="dxa" w:w="1542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On track</w:t>
            </w:r>
          </w:p>
        </w:tc>
        <w:tc>
          <w:tcPr>
            <w:tcW w:type="dxa" w:w="5397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Sprint 3 demoed; payments flow working end to end in staging.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Cloud environment</w:t>
            </w:r>
          </w:p>
        </w:tc>
        <w:tc>
          <w:tcPr>
            <w:tcW w:type="dxa" w:w="1542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On track</w:t>
            </w:r>
          </w:p>
        </w:tc>
        <w:tc>
          <w:tcPr>
            <w:tcW w:type="dxa" w:w="5397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Production account and pipelines in place; monitoring dashboards live.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Data migration</w:t>
            </w:r>
          </w:p>
        </w:tc>
        <w:tc>
          <w:tcPr>
            <w:tcW w:type="dxa" w:w="1542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9318FF"/>
                <w:sz w:val="20"/>
                <w:szCs w:val="20"/>
              </w:rPr>
              <w:t xml:space="preserve">At risk</w:t>
            </w:r>
          </w:p>
        </w:tc>
        <w:tc>
          <w:tcPr>
            <w:tcW w:type="dxa" w:w="5397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Legacy export is two weeks late. See risks.</w:t>
            </w:r>
          </w:p>
        </w:tc>
      </w:tr>
    </w:tbl>
    <w:p>
      <w:pPr>
        <w:spacing w:after="0" w:before="0" w:line="200" w:lineRule="exact"/>
      </w:pPr>
    </w:p>
    <w:p>
      <w:pPr>
        <w:keepNext/>
        <w:spacing w:after="160" w:before="0"/>
      </w:pPr>
      <w:r>
        <w:drawing>
          <wp:inline distT="0" distB="0" distL="0" distR="0">
            <wp:extent cx="323850" cy="76200"/>
            <wp:effectExtent t="0" r="0" b="0" l="0"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03 Milestones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33"/>
        <w:gridCol w:w="1735"/>
        <w:gridCol w:w="1735"/>
        <w:gridCol w:w="1735"/>
      </w:tblGrid>
      <w:tr>
        <w:trPr>
          <w:tblHeader/>
        </w:trPr>
        <w:tc>
          <w:tcPr>
            <w:tcW w:type="dxa" w:w="4433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Milestone</w:t>
            </w:r>
          </w:p>
        </w:tc>
        <w:tc>
          <w:tcPr>
            <w:tcW w:type="dxa" w:w="1735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Planned</w:t>
            </w:r>
          </w:p>
        </w:tc>
        <w:tc>
          <w:tcPr>
            <w:tcW w:type="dxa" w:w="1735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Forecast</w:t>
            </w:r>
          </w:p>
        </w:tc>
        <w:tc>
          <w:tcPr>
            <w:tcW w:type="dxa" w:w="1735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State</w:t>
            </w:r>
          </w:p>
        </w:tc>
      </w:tr>
      <w:tr>
        <w:trPr>
          <w:cantSplit/>
        </w:trPr>
        <w:tc>
          <w:tcPr>
            <w:tcW w:type="dxa" w:w="4433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Target architecture signed off</w:t>
            </w:r>
          </w:p>
        </w:tc>
        <w:tc>
          <w:tcPr>
            <w:tcW w:type="dxa" w:w="1735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Week 2</w:t>
            </w:r>
          </w:p>
        </w:tc>
        <w:tc>
          <w:tcPr>
            <w:tcW w:type="dxa" w:w="1735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Week 2</w:t>
            </w:r>
          </w:p>
        </w:tc>
        <w:tc>
          <w:tcPr>
            <w:tcW w:type="dxa" w:w="1735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4433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Release one in staging</w:t>
            </w:r>
          </w:p>
        </w:tc>
        <w:tc>
          <w:tcPr>
            <w:tcW w:type="dxa" w:w="1735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Week 8</w:t>
            </w:r>
          </w:p>
        </w:tc>
        <w:tc>
          <w:tcPr>
            <w:tcW w:type="dxa" w:w="1735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Week 8</w:t>
            </w:r>
          </w:p>
        </w:tc>
        <w:tc>
          <w:tcPr>
            <w:tcW w:type="dxa" w:w="1735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On track</w:t>
            </w:r>
          </w:p>
        </w:tc>
      </w:tr>
      <w:tr>
        <w:trPr>
          <w:cantSplit/>
        </w:trPr>
        <w:tc>
          <w:tcPr>
            <w:tcW w:type="dxa" w:w="4433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Production launch</w:t>
            </w:r>
          </w:p>
        </w:tc>
        <w:tc>
          <w:tcPr>
            <w:tcW w:type="dxa" w:w="1735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Week 12</w:t>
            </w:r>
          </w:p>
        </w:tc>
        <w:tc>
          <w:tcPr>
            <w:tcW w:type="dxa" w:w="1735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Week 12</w:t>
            </w:r>
          </w:p>
        </w:tc>
        <w:tc>
          <w:tcPr>
            <w:tcW w:type="dxa" w:w="1735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On track</w:t>
            </w:r>
          </w:p>
        </w:tc>
      </w:tr>
    </w:tbl>
    <w:p>
      <w:pPr>
        <w:spacing w:after="0" w:before="0" w:line="200" w:lineRule="exact"/>
      </w:pPr>
    </w:p>
    <w:p>
      <w:pPr>
        <w:keepNext/>
        <w:spacing w:after="160" w:before="0"/>
      </w:pPr>
      <w:r>
        <w:drawing>
          <wp:inline distT="0" distB="0" distL="0" distR="0">
            <wp:extent cx="323850" cy="76200"/>
            <wp:effectExtent t="0" r="0" b="0" l="0"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04 Risks and issues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33"/>
        <w:gridCol w:w="1349"/>
        <w:gridCol w:w="3856"/>
      </w:tblGrid>
      <w:tr>
        <w:trPr>
          <w:tblHeader/>
        </w:trPr>
        <w:tc>
          <w:tcPr>
            <w:tcW w:type="dxa" w:w="4433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Risk</w:t>
            </w:r>
          </w:p>
        </w:tc>
        <w:tc>
          <w:tcPr>
            <w:tcW w:type="dxa" w:w="1349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Impact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What we are doing</w:t>
            </w:r>
          </w:p>
        </w:tc>
      </w:tr>
      <w:tr>
        <w:trPr>
          <w:cantSplit/>
        </w:trPr>
        <w:tc>
          <w:tcPr>
            <w:tcW w:type="dxa" w:w="4433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Legacy data export is late</w:t>
            </w:r>
          </w:p>
        </w:tc>
        <w:tc>
          <w:tcPr>
            <w:tcW w:type="dxa" w:w="1349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High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Building the importer against sample data; need the full export by week 8.</w:t>
            </w:r>
          </w:p>
        </w:tc>
      </w:tr>
      <w:tr>
        <w:trPr>
          <w:cantSplit/>
        </w:trPr>
        <w:tc>
          <w:tcPr>
            <w:tcW w:type="dxa" w:w="4433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Key stakeholder on leave in week 9</w:t>
            </w:r>
          </w:p>
        </w:tc>
        <w:tc>
          <w:tcPr>
            <w:tcW w:type="dxa" w:w="1349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Medium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Bringing the hardening review forward to week 8.</w:t>
            </w:r>
          </w:p>
        </w:tc>
      </w:tr>
    </w:tbl>
    <w:p>
      <w:pPr>
        <w:spacing w:after="0" w:before="0" w:line="200" w:lineRule="exact"/>
      </w:pPr>
    </w:p>
    <w:p>
      <w:pPr>
        <w:keepNext/>
        <w:spacing w:after="160" w:before="0"/>
      </w:pPr>
      <w:r>
        <w:drawing>
          <wp:inline distT="0" distB="0" distL="0" distR="0">
            <wp:extent cx="323850" cy="76200"/>
            <wp:effectExtent t="0" r="0" b="0" l="0"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05 Decisions we need from you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"/>
        <w:gridCol w:w="8674"/>
      </w:tblGrid>
      <w:tr>
        <w:trPr>
          <w:cantSplit/>
        </w:trPr>
        <w:tc>
          <w:tcPr>
            <w:tcW w:type="dxa" w:w="964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9318FF"/>
                <w:sz w:val="20"/>
                <w:szCs w:val="20"/>
              </w:rPr>
              <w:t xml:space="preserve">01</w:t>
            </w:r>
          </w:p>
        </w:tc>
        <w:tc>
          <w:tcPr>
            <w:tcW w:type="dxa" w:w="8674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Confirm who signs off release one, by 15 October.</w:t>
            </w:r>
          </w:p>
        </w:tc>
      </w:tr>
      <w:tr>
        <w:trPr>
          <w:cantSplit/>
        </w:trPr>
        <w:tc>
          <w:tcPr>
            <w:tcW w:type="dxa" w:w="964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9318FF"/>
                <w:sz w:val="20"/>
                <w:szCs w:val="20"/>
              </w:rPr>
              <w:t xml:space="preserve">02</w:t>
            </w:r>
          </w:p>
        </w:tc>
        <w:tc>
          <w:tcPr>
            <w:tcW w:type="dxa" w:w="8674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Approve the extra environment for load testing (estimate attached).</w:t>
            </w:r>
          </w:p>
        </w:tc>
      </w:tr>
    </w:tbl>
    <w:p>
      <w:pPr>
        <w:spacing w:after="0" w:before="0" w:line="200" w:lineRule="exact"/>
      </w:pPr>
    </w:p>
    <w:p>
      <w:pPr>
        <w:keepNext/>
        <w:spacing w:after="160" w:before="0"/>
      </w:pPr>
      <w:r>
        <w:drawing>
          <wp:inline distT="0" distB="0" distL="0" distR="0">
            <wp:extent cx="323850" cy="76200"/>
            <wp:effectExtent t="0" r="0" b="0" l="0"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06 Next period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Sprint 4: reporting and notifications.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Start load testing against the staging environment.</w:t>
      </w:r>
    </w:p>
    <w:sectPr>
      <w:headerReference w:type="default" r:id="rId6"/>
      <w:footerReference w:type="default" r:id="rId7"/>
      <w:pgSz w:w="11906" w:h="16838" w:orient="portrait"/>
      <w:pgMar w:top="1701" w:right="1134" w:bottom="1361" w:left="1134" w:header="680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BEBEB" w:sz="4" w:space="8"/>
      </w:pBdr>
      <w:tabs>
        <w:tab w:val="right" w:pos="9638"/>
      </w:tabs>
    </w:pPr>
    <w:r>
      <w:rPr>
        <w:rFonts w:ascii="General Sans Medium" w:cs="General Sans Medium" w:eastAsia="General Sans Medium" w:hAnsi="General Sans Medium"/>
        <w:b w:val="false"/>
        <w:bCs w:val="false"/>
        <w:i w:val="false"/>
        <w:iCs w:val="false"/>
        <w:caps/>
        <w:color w:val="9D9D9D"/>
        <w:spacing w:val="18"/>
        <w:sz w:val="13"/>
        <w:szCs w:val="13"/>
      </w:rPr>
      <w:t xml:space="preserve">Obsydian Technologies Pty Ltd  ·  ABN 70 682 110 363  ·  obsydiantechnologies.com</w:t>
    </w:r>
    <w:r>
      <w:rPr>
        <w:rFonts w:ascii="General Sans" w:cs="General Sans" w:eastAsia="General Sans" w:hAnsi="General Sans"/>
        <w:b w:val="false"/>
        <w:bCs w:val="false"/>
        <w:i w:val="false"/>
        <w:iCs w:val="false"/>
        <w:caps w:val="false"/>
        <w:color w:val="0A0A0B"/>
        <w:sz w:val="20"/>
        <w:szCs w:val="20"/>
      </w:rPr>
      <w:t xml:space="preserve">	</w:t>
    </w:r>
    <w:r>
      <w:rPr>
        <w:rFonts w:ascii="General Sans Medium" w:cs="General Sans Medium" w:eastAsia="General Sans Medium" w:hAnsi="General Sans Medium"/>
        <w:color w:val="9D9D9D"/>
        <w:spacing w:val="18"/>
        <w:sz w:val="13"/>
        <w:szCs w:val="13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drawing>
        <wp:inline distT="0" distB="0" distL="0" distR="0">
          <wp:extent cx="1809750" cy="171450"/>
          <wp:effectExtent t="0" r="0" b="0" l="0"/>
          <wp:docPr id="4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neral Sans" w:cs="General Sans" w:eastAsia="General Sans" w:hAnsi="General Sans"/>
        <w:b w:val="false"/>
        <w:bCs w:val="false"/>
        <w:i w:val="false"/>
        <w:iCs w:val="false"/>
        <w:caps w:val="false"/>
        <w:color w:val="0A0A0B"/>
        <w:sz w:val="20"/>
        <w:szCs w:val="20"/>
      </w:rPr>
      <w:t xml:space="preserve">	</w:t>
    </w:r>
    <w:r>
      <w:rPr>
        <w:rFonts w:ascii="General Sans Medium" w:cs="General Sans Medium" w:eastAsia="General Sans Medium" w:hAnsi="General Sans Medium"/>
        <w:b w:val="false"/>
        <w:bCs w:val="false"/>
        <w:i w:val="false"/>
        <w:iCs w:val="false"/>
        <w:caps/>
        <w:color w:val="9D9D9D"/>
        <w:spacing w:val="18"/>
        <w:sz w:val="15"/>
        <w:szCs w:val="15"/>
      </w:rPr>
      <w:t xml:space="preserve">Status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340" w:hanging="280"/>
      </w:pPr>
      <w:rPr>
        <w:rFonts w:ascii="General Sans" w:cs="General Sans" w:eastAsia="General Sans" w:hAnsi="General Sans"/>
        <w:color w:val="9318FF"/>
      </w:rPr>
    </w:lvl>
  </w:abstractNum>
  <w:abstractNum w:abstractNumId="3" w15:restartNumberingAfterBreak="0">
    <w:multiLevelType w:val="hybridMultilevel"/>
    <w:lvl w:ilvl="0" w:tentative="1">
      <w:start w:val="1"/>
      <w:numFmt w:val="decimalZero"/>
      <w:lvlText w:val="%1"/>
      <w:lvlJc w:val="left"/>
      <w:pPr>
        <w:ind w:left="560" w:hanging="560"/>
      </w:pPr>
      <w:rPr>
        <w:rFonts w:ascii="General Sans Medium" w:cs="General Sans Medium" w:eastAsia="General Sans Medium" w:hAnsi="General Sans Medium"/>
        <w:color w:val="9318FF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neral Sans" w:cs="General Sans" w:eastAsia="General Sans" w:hAnsi="General Sans"/>
        <w:color w:val="0A0A0B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General Sans Medium" w:cs="General Sans Medium" w:eastAsia="General Sans Medium" w:hAnsi="General Sans Medium"/>
      <w:color w:val="0A0A0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General Sans Medium" w:cs="General Sans Medium" w:eastAsia="General Sans Medium" w:hAnsi="General Sans Medium"/>
      <w:color w:val="0A0A0B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a5b90e52a40286b83cab578a01839682ab5baf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5d39b5449f0b4e80eec5fa3e309b4fd80740c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status report</dc:title>
  <dc:creator>Obsydian Technologies</dc:creator>
  <dc:description>Obsydian Technologies Status report</dc:description>
  <cp:lastModifiedBy>Un-named</cp:lastModifiedBy>
  <cp:revision>1</cp:revision>
  <dcterms:created xsi:type="dcterms:W3CDTF">2026-10-09T11:28:40.957Z</dcterms:created>
  <dcterms:modified xsi:type="dcterms:W3CDTF">2026-10-09T11:28:40.957Z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