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影石创新：财务建模与估值（2026–2030）</w:t>
      </w:r>
    </w:p>
    <w:p>
      <w:pPr>
        <w:ind w:left="360"/>
        <w:jc w:val="left"/>
      </w:pPr>
      <w:r>
        <w:rPr>
          <w:i/>
          <w:color w:val="595959"/>
        </w:rPr>
        <w:t xml:space="preserve">**性质**：5 年 P&amp;L 投影 + 单位经济 + 简化 DCF</w:t>
      </w:r>
    </w:p>
    <w:p>
      <w:pPr>
        <w:ind w:left="360"/>
        <w:jc w:val="left"/>
      </w:pPr>
      <w:r>
        <w:rPr>
          <w:i/>
          <w:color w:val="595959"/>
        </w:rPr>
        <w:t xml:space="preserve">**受众**：内部 / 产品决策（用于判断"战略性投入"的边界，非公开投资建议）</w:t>
      </w:r>
    </w:p>
    <w:p>
      <w:pPr>
        <w:ind w:left="360"/>
        <w:jc w:val="left"/>
      </w:pPr>
      <w:r>
        <w:rPr>
          <w:i/>
          <w:color w:val="595959"/>
        </w:rPr>
        <w:t xml:space="preserve">**方法论**：Consulting Gauntlet（假设全部显式标注 · 场景化 · 敏感性分析）</w:t>
      </w:r>
    </w:p>
    <w:p>
      <w:pPr>
        <w:ind w:left="360"/>
        <w:jc w:val="left"/>
      </w:pPr>
      <w:r>
        <w:rPr>
          <w:i/>
          <w:color w:val="595959"/>
        </w:rPr>
        <w:t xml:space="preserve">**单位**：人民币亿元，除非另注</w:t>
      </w:r>
    </w:p>
    <w:p>
      <w:pPr>
        <w:pBdr>
          <w:bottom w:val="single" w:sz="4" w:color="BFBFBF"/>
        </w:pBdr>
      </w:pPr>
    </w:p>
    <w:p>
      <w:pPr>
        <w:pStyle w:val="Heading2"/>
      </w:pPr>
      <w:r>
        <w:t xml:space="preserve">一、历史财务复盘（2021–2025，实际值）</w:t>
      </w:r>
    </w:p>
    <w:tbl>
      <w:tblPr>
        <w:tblW w:w="9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tcW w:w="1285" w:type="dxa"/>
            <w:shd w:val="clear" w:fill="D9E2F3"/>
          </w:tcPr>
          <w:p>
            <w:r>
              <w:t xml:space="preserve">年度</w:t>
            </w:r>
          </w:p>
        </w:tc>
        <w:tc>
          <w:tcPr>
            <w:tcW w:w="1285" w:type="dxa"/>
            <w:shd w:val="clear" w:fill="D9E2F3"/>
          </w:tcPr>
          <w:p>
            <w:r>
              <w:t xml:space="preserve">营收</w:t>
            </w:r>
          </w:p>
        </w:tc>
        <w:tc>
          <w:tcPr>
            <w:tcW w:w="1285" w:type="dxa"/>
            <w:shd w:val="clear" w:fill="D9E2F3"/>
          </w:tcPr>
          <w:p>
            <w:r>
              <w:t xml:space="preserve">同比</w:t>
            </w:r>
          </w:p>
        </w:tc>
        <w:tc>
          <w:tcPr>
            <w:tcW w:w="1285" w:type="dxa"/>
            <w:shd w:val="clear" w:fill="D9E2F3"/>
          </w:tcPr>
          <w:p>
            <w:r>
              <w:t xml:space="preserve">归母净利</w:t>
            </w:r>
          </w:p>
        </w:tc>
        <w:tc>
          <w:tcPr>
            <w:tcW w:w="1285" w:type="dxa"/>
            <w:shd w:val="clear" w:fill="D9E2F3"/>
          </w:tcPr>
          <w:p>
            <w:r>
              <w:t xml:space="preserve">净利率</w:t>
            </w:r>
          </w:p>
        </w:tc>
        <w:tc>
          <w:tcPr>
            <w:tcW w:w="1285" w:type="dxa"/>
            <w:shd w:val="clear" w:fill="D9E2F3"/>
          </w:tcPr>
          <w:p>
            <w:r>
              <w:t xml:space="preserve">毛利率</w:t>
            </w:r>
          </w:p>
        </w:tc>
        <w:tc>
          <w:tcPr>
            <w:tcW w:w="1285" w:type="dxa"/>
            <w:shd w:val="clear" w:fill="D9E2F3"/>
          </w:tcPr>
          <w:p>
            <w:r>
              <w:t xml:space="preserve">经营现金流</w:t>
            </w:r>
          </w:p>
        </w:tc>
      </w:tr>
      <w:tr>
        <w:tc>
          <w:tcPr>
            <w:tcW w:w="1285" w:type="dxa"/>
          </w:tcPr>
          <w:p>
            <w:r>
              <w:t xml:space="preserve">2021</w:t>
            </w:r>
          </w:p>
        </w:tc>
        <w:tc>
          <w:tcPr>
            <w:tcW w:w="1285" w:type="dxa"/>
          </w:tcPr>
          <w:p>
            <w:r>
              <w:t xml:space="preserve">13.3</w:t>
            </w:r>
          </w:p>
        </w:tc>
        <w:tc>
          <w:tcPr>
            <w:tcW w:w="1285" w:type="dxa"/>
          </w:tcPr>
          <w:p>
            <w:r>
              <w:t xml:space="preserve">—</w:t>
            </w:r>
          </w:p>
        </w:tc>
        <w:tc>
          <w:tcPr>
            <w:tcW w:w="1285" w:type="dxa"/>
          </w:tcPr>
          <w:p>
            <w:r>
              <w:t xml:space="preserve">2.66</w:t>
            </w:r>
          </w:p>
        </w:tc>
        <w:tc>
          <w:tcPr>
            <w:tcW w:w="1285" w:type="dxa"/>
          </w:tcPr>
          <w:p>
            <w:r>
              <w:t xml:space="preserve">20.0%</w:t>
            </w:r>
          </w:p>
        </w:tc>
        <w:tc>
          <w:tcPr>
            <w:tcW w:w="1285" w:type="dxa"/>
          </w:tcPr>
          <w:p>
            <w:r>
              <w:t xml:space="preserve">50.41%</w:t>
            </w:r>
          </w:p>
        </w:tc>
        <w:tc>
          <w:tcPr>
            <w:tcW w:w="1285" w:type="dxa"/>
          </w:tcPr>
          <w:p>
            <w:r>
              <w:t xml:space="preserve">—</w:t>
            </w:r>
          </w:p>
        </w:tc>
      </w:tr>
      <w:tr>
        <w:tc>
          <w:tcPr>
            <w:tcW w:w="1285" w:type="dxa"/>
          </w:tcPr>
          <w:p>
            <w:r>
              <w:t xml:space="preserve">2022</w:t>
            </w:r>
          </w:p>
        </w:tc>
        <w:tc>
          <w:tcPr>
            <w:tcW w:w="1285" w:type="dxa"/>
          </w:tcPr>
          <w:p>
            <w:r>
              <w:t xml:space="preserve">20.41</w:t>
            </w:r>
          </w:p>
        </w:tc>
        <w:tc>
          <w:tcPr>
            <w:tcW w:w="1285" w:type="dxa"/>
          </w:tcPr>
          <w:p>
            <w:r>
              <w:t xml:space="preserve">+53%</w:t>
            </w:r>
          </w:p>
        </w:tc>
        <w:tc>
          <w:tcPr>
            <w:tcW w:w="1285" w:type="dxa"/>
          </w:tcPr>
          <w:p>
            <w:r>
              <w:t xml:space="preserve">4.07</w:t>
            </w:r>
          </w:p>
        </w:tc>
        <w:tc>
          <w:tcPr>
            <w:tcW w:w="1285" w:type="dxa"/>
          </w:tcPr>
          <w:p>
            <w:r>
              <w:t xml:space="preserve">19.9%</w:t>
            </w:r>
          </w:p>
        </w:tc>
        <w:tc>
          <w:tcPr>
            <w:tcW w:w="1285" w:type="dxa"/>
          </w:tcPr>
          <w:p>
            <w:r>
              <w:t xml:space="preserve">51.49%</w:t>
            </w:r>
          </w:p>
        </w:tc>
        <w:tc>
          <w:tcPr>
            <w:tcW w:w="1285" w:type="dxa"/>
          </w:tcPr>
          <w:p>
            <w:r>
              <w:t xml:space="preserve">4.54</w:t>
            </w:r>
          </w:p>
        </w:tc>
      </w:tr>
      <w:tr>
        <w:tc>
          <w:tcPr>
            <w:tcW w:w="1285" w:type="dxa"/>
          </w:tcPr>
          <w:p>
            <w:r>
              <w:t xml:space="preserve">2023</w:t>
            </w:r>
          </w:p>
        </w:tc>
        <w:tc>
          <w:tcPr>
            <w:tcW w:w="1285" w:type="dxa"/>
          </w:tcPr>
          <w:p>
            <w:r>
              <w:t xml:space="preserve">36.36</w:t>
            </w:r>
          </w:p>
        </w:tc>
        <w:tc>
          <w:tcPr>
            <w:tcW w:w="1285" w:type="dxa"/>
          </w:tcPr>
          <w:p>
            <w:r>
              <w:t xml:space="preserve">+78%</w:t>
            </w:r>
          </w:p>
        </w:tc>
        <w:tc>
          <w:tcPr>
            <w:tcW w:w="1285" w:type="dxa"/>
          </w:tcPr>
          <w:p>
            <w:r>
              <w:t xml:space="preserve">8.30</w:t>
            </w:r>
          </w:p>
        </w:tc>
        <w:tc>
          <w:tcPr>
            <w:tcW w:w="1285" w:type="dxa"/>
          </w:tcPr>
          <w:p>
            <w:r>
              <w:t xml:space="preserve">22.8%</w:t>
            </w:r>
          </w:p>
        </w:tc>
        <w:tc>
          <w:tcPr>
            <w:tcW w:w="1285" w:type="dxa"/>
          </w:tcPr>
          <w:p>
            <w:r>
              <w:t xml:space="preserve">55.95%</w:t>
            </w:r>
          </w:p>
        </w:tc>
        <w:tc>
          <w:tcPr>
            <w:tcW w:w="1285" w:type="dxa"/>
          </w:tcPr>
          <w:p>
            <w:r>
              <w:t xml:space="preserve">7.62</w:t>
            </w:r>
          </w:p>
        </w:tc>
      </w:tr>
      <w:tr>
        <w:tc>
          <w:tcPr>
            <w:tcW w:w="1285" w:type="dxa"/>
          </w:tcPr>
          <w:p>
            <w:r>
              <w:t xml:space="preserve">2024</w:t>
            </w:r>
          </w:p>
        </w:tc>
        <w:tc>
          <w:tcPr>
            <w:tcW w:w="1285" w:type="dxa"/>
          </w:tcPr>
          <w:p>
            <w:r>
              <w:t xml:space="preserve">55.74</w:t>
            </w:r>
          </w:p>
        </w:tc>
        <w:tc>
          <w:tcPr>
            <w:tcW w:w="1285" w:type="dxa"/>
          </w:tcPr>
          <w:p>
            <w:r>
              <w:t xml:space="preserve">+53%</w:t>
            </w:r>
          </w:p>
        </w:tc>
        <w:tc>
          <w:tcPr>
            <w:tcW w:w="1285" w:type="dxa"/>
          </w:tcPr>
          <w:p>
            <w:r>
              <w:t xml:space="preserve">9.95</w:t>
            </w:r>
          </w:p>
        </w:tc>
        <w:tc>
          <w:tcPr>
            <w:tcW w:w="1285" w:type="dxa"/>
          </w:tcPr>
          <w:p>
            <w:r>
              <w:t xml:space="preserve">17.9%</w:t>
            </w:r>
          </w:p>
        </w:tc>
        <w:tc>
          <w:tcPr>
            <w:tcW w:w="1285" w:type="dxa"/>
          </w:tcPr>
          <w:p>
            <w:r>
              <w:t xml:space="preserve">~53%</w:t>
            </w:r>
          </w:p>
        </w:tc>
        <w:tc>
          <w:tcPr>
            <w:tcW w:w="1285" w:type="dxa"/>
          </w:tcPr>
          <w:p>
            <w:r>
              <w:t xml:space="preserve">11.72</w:t>
            </w:r>
          </w:p>
        </w:tc>
      </w:tr>
      <w:tr>
        <w:tc>
          <w:tcPr>
            <w:tcW w:w="1285" w:type="dxa"/>
          </w:tcPr>
          <w:p>
            <w:r>
              <w:t xml:space="preserve">2025</w:t>
            </w:r>
          </w:p>
        </w:tc>
        <w:tc>
          <w:tcPr>
            <w:tcW w:w="1285" w:type="dxa"/>
          </w:tcPr>
          <w:p>
            <w:r>
              <w:t xml:space="preserve">97.41</w:t>
            </w:r>
          </w:p>
        </w:tc>
        <w:tc>
          <w:tcPr>
            <w:tcW w:w="1285" w:type="dxa"/>
          </w:tcPr>
          <w:p>
            <w:r>
              <w:t xml:space="preserve">+74.76%</w:t>
            </w:r>
          </w:p>
        </w:tc>
        <w:tc>
          <w:tcPr>
            <w:tcW w:w="1285" w:type="dxa"/>
          </w:tcPr>
          <w:p>
            <w:r>
              <w:t xml:space="preserve">9.29</w:t>
            </w:r>
          </w:p>
        </w:tc>
        <w:tc>
          <w:tcPr>
            <w:tcW w:w="1285" w:type="dxa"/>
          </w:tcPr>
          <w:p>
            <w:r>
              <w:rPr>
                <w:b/>
              </w:rPr>
              <w:t xml:space="preserve">9.5%</w:t>
            </w:r>
          </w:p>
        </w:tc>
        <w:tc>
          <w:tcPr>
            <w:tcW w:w="1285" w:type="dxa"/>
          </w:tcPr>
          <w:p>
            <w:r>
              <w:rPr>
                <w:b/>
              </w:rPr>
              <w:t xml:space="preserve">45.74%</w:t>
            </w:r>
          </w:p>
        </w:tc>
        <w:tc>
          <w:tcPr>
            <w:tcW w:w="1285" w:type="dxa"/>
          </w:tcPr>
          <w:p>
            <w:r>
              <w:t xml:space="preserve">13.86</w:t>
            </w:r>
          </w:p>
        </w:tc>
      </w:tr>
    </w:tbl>
    <w:p>
      <w:r>
        <w:t xml:space="preserve">来源 [S1][S2]。2021–2024 为招股书口径，2025 为上市后首份年报。</w:t>
      </w:r>
    </w:p>
    <w:p>
      <w:r>
        <w:rPr>
          <w:b/>
        </w:rPr>
        <w:t xml:space="preserve">关键转折</w:t>
      </w:r>
      <w:r>
        <w:t xml:space="preserve">：2025 年营收仍高增 75%，但</w:t>
      </w:r>
      <w:r>
        <w:rPr>
          <w:b/>
        </w:rPr>
        <w:t xml:space="preserve">净利率从 17.9% 断崖至 9.5%</w:t>
      </w:r>
      <w:r>
        <w:t xml:space="preserve">、毛利率从 53% 掉到 45.74%。这是理解影石估值的关键——</w:t>
      </w:r>
      <w:r>
        <w:rPr>
          <w:b/>
        </w:rPr>
        <w:t xml:space="preserve">增长没有消失，是"利润被主动压进去了"</w:t>
      </w:r>
      <w:r>
        <w:t xml:space="preserve">。</w:t>
      </w:r>
    </w:p>
    <w:p>
      <w:pPr>
        <w:pBdr>
          <w:bottom w:val="single" w:sz="4" w:color="BFBFBF"/>
        </w:pBdr>
      </w:pPr>
    </w:p>
    <w:p>
      <w:pPr>
        <w:pStyle w:val="Heading2"/>
      </w:pPr>
      <w:r>
        <w:t xml:space="preserve">二、增收不增利的本质（拆解 2025）</w:t>
      </w:r>
    </w:p>
    <w:tbl>
      <w:tblPr>
        <w:tblW w:w="9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fill="D9E2F3"/>
          </w:tcPr>
          <w:p>
            <w:r>
              <w:t xml:space="preserve">侵蚀项</w:t>
            </w:r>
          </w:p>
        </w:tc>
        <w:tc>
          <w:tcPr>
            <w:tcW w:w="2250" w:type="dxa"/>
            <w:shd w:val="clear" w:fill="D9E2F3"/>
          </w:tcPr>
          <w:p>
            <w:r>
              <w:t xml:space="preserve">2025 金额</w:t>
            </w:r>
          </w:p>
        </w:tc>
        <w:tc>
          <w:tcPr>
            <w:tcW w:w="2250" w:type="dxa"/>
            <w:shd w:val="clear" w:fill="D9E2F3"/>
          </w:tcPr>
          <w:p>
            <w:r>
              <w:t xml:space="preserve">同比</w:t>
            </w:r>
          </w:p>
        </w:tc>
        <w:tc>
          <w:tcPr>
            <w:tcW w:w="2250" w:type="dxa"/>
            <w:shd w:val="clear" w:fill="D9E2F3"/>
          </w:tcPr>
          <w:p>
            <w:r>
              <w:t xml:space="preserve">说明</w:t>
            </w:r>
          </w:p>
        </w:tc>
      </w:tr>
      <w:tr>
        <w:tc>
          <w:tcPr>
            <w:tcW w:w="2250" w:type="dxa"/>
          </w:tcPr>
          <w:p>
            <w:r>
              <w:t xml:space="preserve">研发费用</w:t>
            </w:r>
          </w:p>
        </w:tc>
        <w:tc>
          <w:tcPr>
            <w:tcW w:w="2250" w:type="dxa"/>
          </w:tcPr>
          <w:p>
            <w:r>
              <w:t xml:space="preserve">15.30 亿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+96.95%</w:t>
            </w:r>
          </w:p>
        </w:tc>
        <w:tc>
          <w:tcPr>
            <w:tcW w:w="2250" w:type="dxa"/>
          </w:tcPr>
          <w:p>
            <w:r>
              <w:t xml:space="preserve">≈ 净利的 1.6 倍，投向无人机/云台/麦克风/3 款定制芯片</w:t>
            </w:r>
          </w:p>
        </w:tc>
      </w:tr>
      <w:tr>
        <w:tc>
          <w:tcPr>
            <w:tcW w:w="2250" w:type="dxa"/>
          </w:tcPr>
          <w:p>
            <w:r>
              <w:t xml:space="preserve">销售费用</w:t>
            </w:r>
          </w:p>
        </w:tc>
        <w:tc>
          <w:tcPr>
            <w:tcW w:w="2250" w:type="dxa"/>
          </w:tcPr>
          <w:p>
            <w:r>
              <w:t xml:space="preserve">16.79 亿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+103.31%</w:t>
            </w:r>
          </w:p>
        </w:tc>
        <w:tc>
          <w:tcPr>
            <w:tcW w:w="2250" w:type="dxa"/>
          </w:tcPr>
          <w:p>
            <w:r>
              <w:t xml:space="preserve">市场推广费 3.36→8.26 亿（+145%）</w:t>
            </w:r>
          </w:p>
        </w:tc>
      </w:tr>
      <w:tr>
        <w:tc>
          <w:tcPr>
            <w:tcW w:w="2250" w:type="dxa"/>
          </w:tcPr>
          <w:p>
            <w:r>
              <w:t xml:space="preserve">毛利率下降</w:t>
            </w:r>
          </w:p>
        </w:tc>
        <w:tc>
          <w:tcPr>
            <w:tcW w:w="2250" w:type="dxa"/>
          </w:tcPr>
          <w:p>
            <w:r>
              <w:t xml:space="preserve">45.74%（-6.46pct）</w:t>
            </w:r>
          </w:p>
        </w:tc>
        <w:tc>
          <w:tcPr>
            <w:tcW w:w="2250" w:type="dxa"/>
          </w:tcPr>
          <w:p>
            <w:r>
              <w:t xml:space="preserve">—</w:t>
            </w:r>
          </w:p>
        </w:tc>
        <w:tc>
          <w:tcPr>
            <w:tcW w:w="2250" w:type="dxa"/>
          </w:tcPr>
          <w:p>
            <w:r>
              <w:t xml:space="preserve">存储芯片涨价 + 价格战</w:t>
            </w:r>
          </w:p>
        </w:tc>
      </w:tr>
      <w:tr>
        <w:tc>
          <w:tcPr>
            <w:tcW w:w="2250" w:type="dxa"/>
          </w:tcPr>
          <w:p>
            <w:r>
              <w:t xml:space="preserve">存货</w:t>
            </w:r>
          </w:p>
        </w:tc>
        <w:tc>
          <w:tcPr>
            <w:tcW w:w="2250" w:type="dxa"/>
          </w:tcPr>
          <w:p>
            <w:r>
              <w:t xml:space="preserve">29.19 亿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+191.88%</w:t>
            </w:r>
          </w:p>
        </w:tc>
        <w:tc>
          <w:tcPr>
            <w:tcW w:w="2250" w:type="dxa"/>
          </w:tcPr>
          <w:p>
            <w:r>
              <w:t xml:space="preserve">备货激进，跌价 + 现金流风险</w:t>
            </w:r>
          </w:p>
        </w:tc>
      </w:tr>
    </w:tbl>
    <w:p>
      <w:r>
        <w:t xml:space="preserve">来源 [S2]。2026Q1 进一步：营收 +83.11% 但净利 </w:t>
      </w:r>
      <w:r>
        <w:rPr>
          <w:b/>
        </w:rPr>
        <w:t xml:space="preserve">-52.02%</w:t>
      </w:r>
      <w:r>
        <w:t xml:space="preserve">，研发费用率升至 18.73% [S3]。</w:t>
      </w:r>
    </w:p>
    <w:p>
      <w:r>
        <w:rPr>
          <w:b/>
        </w:rPr>
        <w:t xml:space="preserve">So what</w:t>
      </w:r>
      <w:r>
        <w:t xml:space="preserve">：影石现在的"失血"主要是</w:t>
      </w:r>
      <w:r>
        <w:rPr>
          <w:b/>
        </w:rPr>
        <w:t xml:space="preserve">可选支出（研发+销售）</w:t>
      </w:r>
      <w:r>
        <w:t xml:space="preserve">而非结构性问题。这决定了估值的核心分歧——</w:t>
      </w:r>
      <w:r>
        <w:rPr>
          <w:b/>
        </w:rPr>
        <w:t xml:space="preserve">这些投入未来是"换来第二增长曲线"还是"打了水漂"</w:t>
      </w:r>
      <w:r>
        <w:t xml:space="preserve">。</w:t>
      </w:r>
    </w:p>
    <w:p>
      <w:pPr>
        <w:pBdr>
          <w:bottom w:val="single" w:sz="4" w:color="BFBFBF"/>
        </w:pBdr>
      </w:pPr>
    </w:p>
    <w:p>
      <w:pPr>
        <w:pStyle w:val="Heading2"/>
      </w:pPr>
      <w:r>
        <w:t xml:space="preserve">三、5 年 P&amp;L 投影（三场景，2026–2030）</w:t>
      </w:r>
    </w:p>
    <w:p>
      <w:pPr>
        <w:pStyle w:val="Heading3"/>
      </w:pPr>
      <w:r>
        <w:t xml:space="preserve">基准场景（Base）</w:t>
      </w:r>
    </w:p>
    <w:p>
      <w:r>
        <w:rPr>
          <w:b/>
        </w:rPr>
        <w:t xml:space="preserve">假设</w:t>
      </w:r>
      <w:r>
        <w:t xml:space="preserve">：营收增速从 50% 逐年回落至 18%（对齐 IDC 行业 18% CAGR [S4]）；净利率随研发峰值过去逐步修复至 12%。</w:t>
      </w:r>
    </w:p>
    <w:tbl>
      <w:tblPr>
        <w:tblW w:w="9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shd w:val="clear" w:fill="D9E2F3"/>
          </w:tcPr>
          <w:p>
            <w:r>
              <w:t xml:space="preserve">年度</w:t>
            </w:r>
          </w:p>
        </w:tc>
        <w:tc>
          <w:tcPr>
            <w:tcW w:w="1800" w:type="dxa"/>
            <w:shd w:val="clear" w:fill="D9E2F3"/>
          </w:tcPr>
          <w:p>
            <w:r>
              <w:t xml:space="preserve">营收（亿）</w:t>
            </w:r>
          </w:p>
        </w:tc>
        <w:tc>
          <w:tcPr>
            <w:tcW w:w="1800" w:type="dxa"/>
            <w:shd w:val="clear" w:fill="D9E2F3"/>
          </w:tcPr>
          <w:p>
            <w:r>
              <w:t xml:space="preserve">增速</w:t>
            </w:r>
          </w:p>
        </w:tc>
        <w:tc>
          <w:tcPr>
            <w:tcW w:w="1800" w:type="dxa"/>
            <w:shd w:val="clear" w:fill="D9E2F3"/>
          </w:tcPr>
          <w:p>
            <w:r>
              <w:t xml:space="preserve">净利率</w:t>
            </w:r>
          </w:p>
        </w:tc>
        <w:tc>
          <w:tcPr>
            <w:tcW w:w="1800" w:type="dxa"/>
            <w:shd w:val="clear" w:fill="D9E2F3"/>
          </w:tcPr>
          <w:p>
            <w:r>
              <w:t xml:space="preserve">归母净利（亿）</w:t>
            </w:r>
          </w:p>
        </w:tc>
      </w:tr>
      <w:tr>
        <w:tc>
          <w:tcPr>
            <w:tcW w:w="1800" w:type="dxa"/>
          </w:tcPr>
          <w:p>
            <w:r>
              <w:t xml:space="preserve">2026</w:t>
            </w:r>
          </w:p>
        </w:tc>
        <w:tc>
          <w:tcPr>
            <w:tcW w:w="1800" w:type="dxa"/>
          </w:tcPr>
          <w:p>
            <w:r>
              <w:t xml:space="preserve">146.1</w:t>
            </w:r>
          </w:p>
        </w:tc>
        <w:tc>
          <w:tcPr>
            <w:tcW w:w="1800" w:type="dxa"/>
          </w:tcPr>
          <w:p>
            <w:r>
              <w:t xml:space="preserve">+50%</w:t>
            </w:r>
          </w:p>
        </w:tc>
        <w:tc>
          <w:tcPr>
            <w:tcW w:w="1800" w:type="dxa"/>
          </w:tcPr>
          <w:p>
            <w:r>
              <w:t xml:space="preserve">5.0%</w:t>
            </w:r>
          </w:p>
        </w:tc>
        <w:tc>
          <w:tcPr>
            <w:tcW w:w="1800" w:type="dxa"/>
          </w:tcPr>
          <w:p>
            <w:r>
              <w:t xml:space="preserve">7.3</w:t>
            </w:r>
          </w:p>
        </w:tc>
      </w:tr>
      <w:tr>
        <w:tc>
          <w:tcPr>
            <w:tcW w:w="1800" w:type="dxa"/>
          </w:tcPr>
          <w:p>
            <w:r>
              <w:t xml:space="preserve">2027</w:t>
            </w:r>
          </w:p>
        </w:tc>
        <w:tc>
          <w:tcPr>
            <w:tcW w:w="1800" w:type="dxa"/>
          </w:tcPr>
          <w:p>
            <w:r>
              <w:t xml:space="preserve">197.3</w:t>
            </w:r>
          </w:p>
        </w:tc>
        <w:tc>
          <w:tcPr>
            <w:tcW w:w="1800" w:type="dxa"/>
          </w:tcPr>
          <w:p>
            <w:r>
              <w:t xml:space="preserve">+35%</w:t>
            </w:r>
          </w:p>
        </w:tc>
        <w:tc>
          <w:tcPr>
            <w:tcW w:w="1800" w:type="dxa"/>
          </w:tcPr>
          <w:p>
            <w:r>
              <w:t xml:space="preserve">8.0%</w:t>
            </w:r>
          </w:p>
        </w:tc>
        <w:tc>
          <w:tcPr>
            <w:tcW w:w="1800" w:type="dxa"/>
          </w:tcPr>
          <w:p>
            <w:r>
              <w:t xml:space="preserve">15.8</w:t>
            </w:r>
          </w:p>
        </w:tc>
      </w:tr>
      <w:tr>
        <w:tc>
          <w:tcPr>
            <w:tcW w:w="1800" w:type="dxa"/>
          </w:tcPr>
          <w:p>
            <w:r>
              <w:t xml:space="preserve">2028</w:t>
            </w:r>
          </w:p>
        </w:tc>
        <w:tc>
          <w:tcPr>
            <w:tcW w:w="1800" w:type="dxa"/>
          </w:tcPr>
          <w:p>
            <w:r>
              <w:t xml:space="preserve">246.6</w:t>
            </w:r>
          </w:p>
        </w:tc>
        <w:tc>
          <w:tcPr>
            <w:tcW w:w="1800" w:type="dxa"/>
          </w:tcPr>
          <w:p>
            <w:r>
              <w:t xml:space="preserve">+25%</w:t>
            </w:r>
          </w:p>
        </w:tc>
        <w:tc>
          <w:tcPr>
            <w:tcW w:w="1800" w:type="dxa"/>
          </w:tcPr>
          <w:p>
            <w:r>
              <w:t xml:space="preserve">10.0%</w:t>
            </w:r>
          </w:p>
        </w:tc>
        <w:tc>
          <w:tcPr>
            <w:tcW w:w="1800" w:type="dxa"/>
          </w:tcPr>
          <w:p>
            <w:r>
              <w:t xml:space="preserve">24.7</w:t>
            </w:r>
          </w:p>
        </w:tc>
      </w:tr>
      <w:tr>
        <w:tc>
          <w:tcPr>
            <w:tcW w:w="1800" w:type="dxa"/>
          </w:tcPr>
          <w:p>
            <w:r>
              <w:t xml:space="preserve">2029</w:t>
            </w:r>
          </w:p>
        </w:tc>
        <w:tc>
          <w:tcPr>
            <w:tcW w:w="1800" w:type="dxa"/>
          </w:tcPr>
          <w:p>
            <w:r>
              <w:t xml:space="preserve">295.9</w:t>
            </w:r>
          </w:p>
        </w:tc>
        <w:tc>
          <w:tcPr>
            <w:tcW w:w="1800" w:type="dxa"/>
          </w:tcPr>
          <w:p>
            <w:r>
              <w:t xml:space="preserve">+20%</w:t>
            </w:r>
          </w:p>
        </w:tc>
        <w:tc>
          <w:tcPr>
            <w:tcW w:w="1800" w:type="dxa"/>
          </w:tcPr>
          <w:p>
            <w:r>
              <w:t xml:space="preserve">11.0%</w:t>
            </w:r>
          </w:p>
        </w:tc>
        <w:tc>
          <w:tcPr>
            <w:tcW w:w="1800" w:type="dxa"/>
          </w:tcPr>
          <w:p>
            <w:r>
              <w:t xml:space="preserve">32.5</w:t>
            </w:r>
          </w:p>
        </w:tc>
      </w:tr>
      <w:tr>
        <w:tc>
          <w:tcPr>
            <w:tcW w:w="1800" w:type="dxa"/>
          </w:tcPr>
          <w:p>
            <w:r>
              <w:t xml:space="preserve">2030</w:t>
            </w:r>
          </w:p>
        </w:tc>
        <w:tc>
          <w:tcPr>
            <w:tcW w:w="1800" w:type="dxa"/>
          </w:tcPr>
          <w:p>
            <w:r>
              <w:t xml:space="preserve">349.1</w:t>
            </w:r>
          </w:p>
        </w:tc>
        <w:tc>
          <w:tcPr>
            <w:tcW w:w="1800" w:type="dxa"/>
          </w:tcPr>
          <w:p>
            <w:r>
              <w:t xml:space="preserve">+18%</w:t>
            </w:r>
          </w:p>
        </w:tc>
        <w:tc>
          <w:tcPr>
            <w:tcW w:w="1800" w:type="dxa"/>
          </w:tcPr>
          <w:p>
            <w:r>
              <w:t xml:space="preserve">12.0%</w:t>
            </w:r>
          </w:p>
        </w:tc>
        <w:tc>
          <w:tcPr>
            <w:tcW w:w="1800" w:type="dxa"/>
          </w:tcPr>
          <w:p>
            <w:r>
              <w:t xml:space="preserve">41.9</w:t>
            </w:r>
          </w:p>
        </w:tc>
      </w:tr>
    </w:tbl>
    <w:p>
      <w:pPr>
        <w:pStyle w:val="Heading3"/>
      </w:pPr>
      <w:r>
        <w:t xml:space="preserve">熊场景（Bear）</w:t>
      </w:r>
    </w:p>
    <w:p>
      <w:r>
        <w:rPr>
          <w:b/>
        </w:rPr>
        <w:t xml:space="preserve">假设</w:t>
      </w:r>
      <w:r>
        <w:t xml:space="preserve">：增速减半（大疆全面价格战 + 美国窗口关闭）；净利率卡在 2.5–6%（投入收不回）。</w:t>
      </w:r>
    </w:p>
    <w:tbl>
      <w:tblPr>
        <w:tblW w:w="9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shd w:val="clear" w:fill="D9E2F3"/>
          </w:tcPr>
          <w:p>
            <w:r>
              <w:t xml:space="preserve">年度</w:t>
            </w:r>
          </w:p>
        </w:tc>
        <w:tc>
          <w:tcPr>
            <w:tcW w:w="1800" w:type="dxa"/>
            <w:shd w:val="clear" w:fill="D9E2F3"/>
          </w:tcPr>
          <w:p>
            <w:r>
              <w:t xml:space="preserve">营收（亿）</w:t>
            </w:r>
          </w:p>
        </w:tc>
        <w:tc>
          <w:tcPr>
            <w:tcW w:w="1800" w:type="dxa"/>
            <w:shd w:val="clear" w:fill="D9E2F3"/>
          </w:tcPr>
          <w:p>
            <w:r>
              <w:t xml:space="preserve">增速</w:t>
            </w:r>
          </w:p>
        </w:tc>
        <w:tc>
          <w:tcPr>
            <w:tcW w:w="1800" w:type="dxa"/>
            <w:shd w:val="clear" w:fill="D9E2F3"/>
          </w:tcPr>
          <w:p>
            <w:r>
              <w:t xml:space="preserve">净利率</w:t>
            </w:r>
          </w:p>
        </w:tc>
        <w:tc>
          <w:tcPr>
            <w:tcW w:w="1800" w:type="dxa"/>
            <w:shd w:val="clear" w:fill="D9E2F3"/>
          </w:tcPr>
          <w:p>
            <w:r>
              <w:t xml:space="preserve">归母净利（亿）</w:t>
            </w:r>
          </w:p>
        </w:tc>
      </w:tr>
      <w:tr>
        <w:tc>
          <w:tcPr>
            <w:tcW w:w="1800" w:type="dxa"/>
          </w:tcPr>
          <w:p>
            <w:r>
              <w:t xml:space="preserve">2026</w:t>
            </w:r>
          </w:p>
        </w:tc>
        <w:tc>
          <w:tcPr>
            <w:tcW w:w="1800" w:type="dxa"/>
          </w:tcPr>
          <w:p>
            <w:r>
              <w:t xml:space="preserve">131.5</w:t>
            </w:r>
          </w:p>
        </w:tc>
        <w:tc>
          <w:tcPr>
            <w:tcW w:w="1800" w:type="dxa"/>
          </w:tcPr>
          <w:p>
            <w:r>
              <w:t xml:space="preserve">+35%</w:t>
            </w:r>
          </w:p>
        </w:tc>
        <w:tc>
          <w:tcPr>
            <w:tcW w:w="1800" w:type="dxa"/>
          </w:tcPr>
          <w:p>
            <w:r>
              <w:t xml:space="preserve">2.5%</w:t>
            </w:r>
          </w:p>
        </w:tc>
        <w:tc>
          <w:tcPr>
            <w:tcW w:w="1800" w:type="dxa"/>
          </w:tcPr>
          <w:p>
            <w:r>
              <w:t xml:space="preserve">3.3</w:t>
            </w:r>
          </w:p>
        </w:tc>
      </w:tr>
      <w:tr>
        <w:tc>
          <w:tcPr>
            <w:tcW w:w="1800" w:type="dxa"/>
          </w:tcPr>
          <w:p>
            <w:r>
              <w:t xml:space="preserve">2027</w:t>
            </w:r>
          </w:p>
        </w:tc>
        <w:tc>
          <w:tcPr>
            <w:tcW w:w="1800" w:type="dxa"/>
          </w:tcPr>
          <w:p>
            <w:r>
              <w:t xml:space="preserve">157.8</w:t>
            </w:r>
          </w:p>
        </w:tc>
        <w:tc>
          <w:tcPr>
            <w:tcW w:w="1800" w:type="dxa"/>
          </w:tcPr>
          <w:p>
            <w:r>
              <w:t xml:space="preserve">+20%</w:t>
            </w:r>
          </w:p>
        </w:tc>
        <w:tc>
          <w:tcPr>
            <w:tcW w:w="1800" w:type="dxa"/>
          </w:tcPr>
          <w:p>
            <w:r>
              <w:t xml:space="preserve">4.0%</w:t>
            </w:r>
          </w:p>
        </w:tc>
        <w:tc>
          <w:tcPr>
            <w:tcW w:w="1800" w:type="dxa"/>
          </w:tcPr>
          <w:p>
            <w:r>
              <w:t xml:space="preserve">6.3</w:t>
            </w:r>
          </w:p>
        </w:tc>
      </w:tr>
      <w:tr>
        <w:tc>
          <w:tcPr>
            <w:tcW w:w="1800" w:type="dxa"/>
          </w:tcPr>
          <w:p>
            <w:r>
              <w:t xml:space="preserve">2028</w:t>
            </w:r>
          </w:p>
        </w:tc>
        <w:tc>
          <w:tcPr>
            <w:tcW w:w="1800" w:type="dxa"/>
          </w:tcPr>
          <w:p>
            <w:r>
              <w:t xml:space="preserve">181.5</w:t>
            </w:r>
          </w:p>
        </w:tc>
        <w:tc>
          <w:tcPr>
            <w:tcW w:w="1800" w:type="dxa"/>
          </w:tcPr>
          <w:p>
            <w:r>
              <w:t xml:space="preserve">+15%</w:t>
            </w:r>
          </w:p>
        </w:tc>
        <w:tc>
          <w:tcPr>
            <w:tcW w:w="1800" w:type="dxa"/>
          </w:tcPr>
          <w:p>
            <w:r>
              <w:t xml:space="preserve">5.0%</w:t>
            </w:r>
          </w:p>
        </w:tc>
        <w:tc>
          <w:tcPr>
            <w:tcW w:w="1800" w:type="dxa"/>
          </w:tcPr>
          <w:p>
            <w:r>
              <w:t xml:space="preserve">9.1</w:t>
            </w:r>
          </w:p>
        </w:tc>
      </w:tr>
      <w:tr>
        <w:tc>
          <w:tcPr>
            <w:tcW w:w="1800" w:type="dxa"/>
          </w:tcPr>
          <w:p>
            <w:r>
              <w:t xml:space="preserve">2029</w:t>
            </w:r>
          </w:p>
        </w:tc>
        <w:tc>
          <w:tcPr>
            <w:tcW w:w="1800" w:type="dxa"/>
          </w:tcPr>
          <w:p>
            <w:r>
              <w:t xml:space="preserve">203.3</w:t>
            </w:r>
          </w:p>
        </w:tc>
        <w:tc>
          <w:tcPr>
            <w:tcW w:w="1800" w:type="dxa"/>
          </w:tcPr>
          <w:p>
            <w:r>
              <w:t xml:space="preserve">+12%</w:t>
            </w:r>
          </w:p>
        </w:tc>
        <w:tc>
          <w:tcPr>
            <w:tcW w:w="1800" w:type="dxa"/>
          </w:tcPr>
          <w:p>
            <w:r>
              <w:t xml:space="preserve">5.5%</w:t>
            </w:r>
          </w:p>
        </w:tc>
        <w:tc>
          <w:tcPr>
            <w:tcW w:w="1800" w:type="dxa"/>
          </w:tcPr>
          <w:p>
            <w:r>
              <w:t xml:space="preserve">11.2</w:t>
            </w:r>
          </w:p>
        </w:tc>
      </w:tr>
      <w:tr>
        <w:tc>
          <w:tcPr>
            <w:tcW w:w="1800" w:type="dxa"/>
          </w:tcPr>
          <w:p>
            <w:r>
              <w:t xml:space="preserve">2030</w:t>
            </w:r>
          </w:p>
        </w:tc>
        <w:tc>
          <w:tcPr>
            <w:tcW w:w="1800" w:type="dxa"/>
          </w:tcPr>
          <w:p>
            <w:r>
              <w:t xml:space="preserve">223.6</w:t>
            </w:r>
          </w:p>
        </w:tc>
        <w:tc>
          <w:tcPr>
            <w:tcW w:w="1800" w:type="dxa"/>
          </w:tcPr>
          <w:p>
            <w:r>
              <w:t xml:space="preserve">+10%</w:t>
            </w:r>
          </w:p>
        </w:tc>
        <w:tc>
          <w:tcPr>
            <w:tcW w:w="1800" w:type="dxa"/>
          </w:tcPr>
          <w:p>
            <w:r>
              <w:t xml:space="preserve">6.0%</w:t>
            </w:r>
          </w:p>
        </w:tc>
        <w:tc>
          <w:tcPr>
            <w:tcW w:w="1800" w:type="dxa"/>
          </w:tcPr>
          <w:p>
            <w:r>
              <w:t xml:space="preserve">13.4</w:t>
            </w:r>
          </w:p>
        </w:tc>
      </w:tr>
    </w:tbl>
    <w:p>
      <w:pPr>
        <w:pStyle w:val="Heading3"/>
      </w:pPr>
      <w:r>
        <w:t xml:space="preserve">牛场景（Bull）</w:t>
      </w:r>
    </w:p>
    <w:p>
      <w:r>
        <w:rPr>
          <w:b/>
        </w:rPr>
        <w:t xml:space="preserve">假设</w:t>
      </w:r>
      <w:r>
        <w:t xml:space="preserve">：美国独占窗口 + 全景护城河 + 第二曲线兑现；净利率修复到 16%（接近历史 18–23% 水平）。</w:t>
      </w:r>
    </w:p>
    <w:tbl>
      <w:tblPr>
        <w:tblW w:w="9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shd w:val="clear" w:fill="D9E2F3"/>
          </w:tcPr>
          <w:p>
            <w:r>
              <w:t xml:space="preserve">年度</w:t>
            </w:r>
          </w:p>
        </w:tc>
        <w:tc>
          <w:tcPr>
            <w:tcW w:w="1800" w:type="dxa"/>
            <w:shd w:val="clear" w:fill="D9E2F3"/>
          </w:tcPr>
          <w:p>
            <w:r>
              <w:t xml:space="preserve">营收（亿）</w:t>
            </w:r>
          </w:p>
        </w:tc>
        <w:tc>
          <w:tcPr>
            <w:tcW w:w="1800" w:type="dxa"/>
            <w:shd w:val="clear" w:fill="D9E2F3"/>
          </w:tcPr>
          <w:p>
            <w:r>
              <w:t xml:space="preserve">增速</w:t>
            </w:r>
          </w:p>
        </w:tc>
        <w:tc>
          <w:tcPr>
            <w:tcW w:w="1800" w:type="dxa"/>
            <w:shd w:val="clear" w:fill="D9E2F3"/>
          </w:tcPr>
          <w:p>
            <w:r>
              <w:t xml:space="preserve">净利率</w:t>
            </w:r>
          </w:p>
        </w:tc>
        <w:tc>
          <w:tcPr>
            <w:tcW w:w="1800" w:type="dxa"/>
            <w:shd w:val="clear" w:fill="D9E2F3"/>
          </w:tcPr>
          <w:p>
            <w:r>
              <w:t xml:space="preserve">归母净利（亿）</w:t>
            </w:r>
          </w:p>
        </w:tc>
      </w:tr>
      <w:tr>
        <w:tc>
          <w:tcPr>
            <w:tcW w:w="1800" w:type="dxa"/>
          </w:tcPr>
          <w:p>
            <w:r>
              <w:t xml:space="preserve">2026</w:t>
            </w:r>
          </w:p>
        </w:tc>
        <w:tc>
          <w:tcPr>
            <w:tcW w:w="1800" w:type="dxa"/>
          </w:tcPr>
          <w:p>
            <w:r>
              <w:t xml:space="preserve">155.9</w:t>
            </w:r>
          </w:p>
        </w:tc>
        <w:tc>
          <w:tcPr>
            <w:tcW w:w="1800" w:type="dxa"/>
          </w:tcPr>
          <w:p>
            <w:r>
              <w:t xml:space="preserve">+60%</w:t>
            </w:r>
          </w:p>
        </w:tc>
        <w:tc>
          <w:tcPr>
            <w:tcW w:w="1800" w:type="dxa"/>
          </w:tcPr>
          <w:p>
            <w:r>
              <w:t xml:space="preserve">7.0%</w:t>
            </w:r>
          </w:p>
        </w:tc>
        <w:tc>
          <w:tcPr>
            <w:tcW w:w="1800" w:type="dxa"/>
          </w:tcPr>
          <w:p>
            <w:r>
              <w:t xml:space="preserve">10.9</w:t>
            </w:r>
          </w:p>
        </w:tc>
      </w:tr>
      <w:tr>
        <w:tc>
          <w:tcPr>
            <w:tcW w:w="1800" w:type="dxa"/>
          </w:tcPr>
          <w:p>
            <w:r>
              <w:t xml:space="preserve">2027</w:t>
            </w:r>
          </w:p>
        </w:tc>
        <w:tc>
          <w:tcPr>
            <w:tcW w:w="1800" w:type="dxa"/>
          </w:tcPr>
          <w:p>
            <w:r>
              <w:t xml:space="preserve">226.0</w:t>
            </w:r>
          </w:p>
        </w:tc>
        <w:tc>
          <w:tcPr>
            <w:tcW w:w="1800" w:type="dxa"/>
          </w:tcPr>
          <w:p>
            <w:r>
              <w:t xml:space="preserve">+45%</w:t>
            </w:r>
          </w:p>
        </w:tc>
        <w:tc>
          <w:tcPr>
            <w:tcW w:w="1800" w:type="dxa"/>
          </w:tcPr>
          <w:p>
            <w:r>
              <w:t xml:space="preserve">10.0%</w:t>
            </w:r>
          </w:p>
        </w:tc>
        <w:tc>
          <w:tcPr>
            <w:tcW w:w="1800" w:type="dxa"/>
          </w:tcPr>
          <w:p>
            <w:r>
              <w:t xml:space="preserve">22.6</w:t>
            </w:r>
          </w:p>
        </w:tc>
      </w:tr>
      <w:tr>
        <w:tc>
          <w:tcPr>
            <w:tcW w:w="1800" w:type="dxa"/>
          </w:tcPr>
          <w:p>
            <w:r>
              <w:t xml:space="preserve">2028</w:t>
            </w:r>
          </w:p>
        </w:tc>
        <w:tc>
          <w:tcPr>
            <w:tcW w:w="1800" w:type="dxa"/>
          </w:tcPr>
          <w:p>
            <w:r>
              <w:t xml:space="preserve">305.1</w:t>
            </w:r>
          </w:p>
        </w:tc>
        <w:tc>
          <w:tcPr>
            <w:tcW w:w="1800" w:type="dxa"/>
          </w:tcPr>
          <w:p>
            <w:r>
              <w:t xml:space="preserve">+35%</w:t>
            </w:r>
          </w:p>
        </w:tc>
        <w:tc>
          <w:tcPr>
            <w:tcW w:w="1800" w:type="dxa"/>
          </w:tcPr>
          <w:p>
            <w:r>
              <w:t xml:space="preserve">13.0%</w:t>
            </w:r>
          </w:p>
        </w:tc>
        <w:tc>
          <w:tcPr>
            <w:tcW w:w="1800" w:type="dxa"/>
          </w:tcPr>
          <w:p>
            <w:r>
              <w:t xml:space="preserve">39.7</w:t>
            </w:r>
          </w:p>
        </w:tc>
      </w:tr>
      <w:tr>
        <w:tc>
          <w:tcPr>
            <w:tcW w:w="1800" w:type="dxa"/>
          </w:tcPr>
          <w:p>
            <w:r>
              <w:t xml:space="preserve">2029</w:t>
            </w:r>
          </w:p>
        </w:tc>
        <w:tc>
          <w:tcPr>
            <w:tcW w:w="1800" w:type="dxa"/>
          </w:tcPr>
          <w:p>
            <w:r>
              <w:t xml:space="preserve">390.5</w:t>
            </w:r>
          </w:p>
        </w:tc>
        <w:tc>
          <w:tcPr>
            <w:tcW w:w="1800" w:type="dxa"/>
          </w:tcPr>
          <w:p>
            <w:r>
              <w:t xml:space="preserve">+28%</w:t>
            </w:r>
          </w:p>
        </w:tc>
        <w:tc>
          <w:tcPr>
            <w:tcW w:w="1800" w:type="dxa"/>
          </w:tcPr>
          <w:p>
            <w:r>
              <w:t xml:space="preserve">15.0%</w:t>
            </w:r>
          </w:p>
        </w:tc>
        <w:tc>
          <w:tcPr>
            <w:tcW w:w="1800" w:type="dxa"/>
          </w:tcPr>
          <w:p>
            <w:r>
              <w:t xml:space="preserve">58.6</w:t>
            </w:r>
          </w:p>
        </w:tc>
      </w:tr>
      <w:tr>
        <w:tc>
          <w:tcPr>
            <w:tcW w:w="1800" w:type="dxa"/>
          </w:tcPr>
          <w:p>
            <w:r>
              <w:t xml:space="preserve">2030</w:t>
            </w:r>
          </w:p>
        </w:tc>
        <w:tc>
          <w:tcPr>
            <w:tcW w:w="1800" w:type="dxa"/>
          </w:tcPr>
          <w:p>
            <w:r>
              <w:t xml:space="preserve">476.4</w:t>
            </w:r>
          </w:p>
        </w:tc>
        <w:tc>
          <w:tcPr>
            <w:tcW w:w="1800" w:type="dxa"/>
          </w:tcPr>
          <w:p>
            <w:r>
              <w:t xml:space="preserve">+22%</w:t>
            </w:r>
          </w:p>
        </w:tc>
        <w:tc>
          <w:tcPr>
            <w:tcW w:w="1800" w:type="dxa"/>
          </w:tcPr>
          <w:p>
            <w:r>
              <w:t xml:space="preserve">16.0%</w:t>
            </w:r>
          </w:p>
        </w:tc>
        <w:tc>
          <w:tcPr>
            <w:tcW w:w="1800" w:type="dxa"/>
          </w:tcPr>
          <w:p>
            <w:r>
              <w:t xml:space="preserve">76.2</w:t>
            </w:r>
          </w:p>
        </w:tc>
      </w:tr>
    </w:tbl>
    <w:p>
      <w:pPr>
        <w:pBdr>
          <w:bottom w:val="single" w:sz="4" w:color="BFBFBF"/>
        </w:pBdr>
      </w:pPr>
    </w:p>
    <w:p>
      <w:pPr>
        <w:pStyle w:val="Heading2"/>
      </w:pPr>
      <w:r>
        <w:t xml:space="preserve">四、单位经济（简化）</w:t>
      </w:r>
    </w:p>
    <w:p>
      <w:pPr>
        <w:ind w:left="420" w:hanging="240"/>
      </w:pPr>
      <w:r>
        <w:t xml:space="preserve">• 2025 年影石全球手持智能相机出货约 **340 万台**（IDC 口径 [S4]）</w:t>
      </w:r>
    </w:p>
    <w:p>
      <w:pPr>
        <w:ind w:left="420" w:hanging="240"/>
      </w:pPr>
      <w:r>
        <w:t xml:space="preserve">• 隐含均价 = 97.41 亿 ÷ 340 万 ≈ **2,865 元/台**</w:t>
      </w:r>
    </w:p>
    <w:p>
      <w:pPr>
        <w:ind w:left="420" w:hanging="240"/>
      </w:pPr>
      <w:r>
        <w:t xml:space="preserve">• 隐含单台毛利 ≈ 2,865 × 45.74% ≈ **1,310 元**</w:t>
      </w:r>
    </w:p>
    <w:p>
      <w:pPr>
        <w:ind w:left="420" w:hanging="240"/>
      </w:pPr>
      <w:r>
        <w:t xml:space="preserve">• 隐含单台净利 ≈ 2,865 × 9.5% ≈ **273 元**（对比 2023 年约 8.3 亿 ÷ ~? 台 ≈ 显著更高）</w:t>
      </w:r>
    </w:p>
    <w:p>
      <w:r>
        <w:rPr>
          <w:b/>
        </w:rPr>
        <w:t xml:space="preserve">So what</w:t>
      </w:r>
      <w:r>
        <w:t xml:space="preserve">：影石的单台净利从 2023 年的高位大幅下探到 273 元，本质是"用利润换份额与品类"。单位经济能否修复，取决于</w:t>
      </w:r>
      <w:r>
        <w:rPr>
          <w:b/>
        </w:rPr>
        <w:t xml:space="preserve">均价能否守住（拒价格战）+ 研发销售费用率能否回落</w:t>
      </w:r>
      <w:r>
        <w:t xml:space="preserve">。</w:t>
      </w:r>
    </w:p>
    <w:p>
      <w:pPr>
        <w:pBdr>
          <w:bottom w:val="single" w:sz="4" w:color="BFBFBF"/>
        </w:pBdr>
      </w:pPr>
    </w:p>
    <w:p>
      <w:pPr>
        <w:pStyle w:val="Heading2"/>
      </w:pPr>
      <w:r>
        <w:t xml:space="preserve">五、简化 DCF 估值</w:t>
      </w:r>
    </w:p>
    <w:p>
      <w:r>
        <w:rPr>
          <w:b/>
        </w:rPr>
        <w:t xml:space="preserve">核心假设（显式）</w:t>
      </w:r>
      <w:r>
        <w:t xml:space="preserve">：</w:t>
      </w:r>
    </w:p>
    <w:p>
      <w:pPr>
        <w:ind w:left="420" w:hanging="240"/>
      </w:pPr>
      <w:r>
        <w:t xml:space="preserve">• FCF ≈ 净利润（**简化**：假设长期资本开支≈折旧、营运资本变动归零；实际经营现金流/净利 ≈ 1.5，本简化偏保守）</w:t>
      </w:r>
    </w:p>
    <w:p>
      <w:pPr>
        <w:ind w:left="420" w:hanging="240"/>
      </w:pPr>
      <w:r>
        <w:t xml:space="preserve">• WACC = 10%（科技硬件 + 出口占比高 + 中国 A 股，取中值）</w:t>
      </w:r>
    </w:p>
    <w:p>
      <w:pPr>
        <w:ind w:left="420" w:hanging="240"/>
      </w:pPr>
      <w:r>
        <w:t xml:space="preserve">• 永续增长率 g = 3%</w:t>
      </w:r>
    </w:p>
    <w:p>
      <w:r>
        <w:rPr>
          <w:b/>
        </w:rPr>
        <w:t xml:space="preserve">基准场景现金流折现</w:t>
      </w:r>
      <w:r>
        <w:t xml:space="preserve">（单位：亿元）：</w:t>
      </w:r>
    </w:p>
    <w:tbl>
      <w:tblPr>
        <w:tblW w:w="9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fill="D9E2F3"/>
          </w:tcPr>
          <w:p>
            <w:r>
              <w:t xml:space="preserve">年度</w:t>
            </w:r>
          </w:p>
        </w:tc>
        <w:tc>
          <w:tcPr>
            <w:tcW w:w="2250" w:type="dxa"/>
            <w:shd w:val="clear" w:fill="D9E2F3"/>
          </w:tcPr>
          <w:p>
            <w:r>
              <w:t xml:space="preserve">净利（≈FCF）</w:t>
            </w:r>
          </w:p>
        </w:tc>
        <w:tc>
          <w:tcPr>
            <w:tcW w:w="2250" w:type="dxa"/>
            <w:shd w:val="clear" w:fill="D9E2F3"/>
          </w:tcPr>
          <w:p>
            <w:r>
              <w:t xml:space="preserve">折现因子(10%)</w:t>
            </w:r>
          </w:p>
        </w:tc>
        <w:tc>
          <w:tcPr>
            <w:tcW w:w="2250" w:type="dxa"/>
            <w:shd w:val="clear" w:fill="D9E2F3"/>
          </w:tcPr>
          <w:p>
            <w:r>
              <w:t xml:space="preserve">现值</w:t>
            </w:r>
          </w:p>
        </w:tc>
      </w:tr>
      <w:tr>
        <w:tc>
          <w:tcPr>
            <w:tcW w:w="2250" w:type="dxa"/>
          </w:tcPr>
          <w:p>
            <w:r>
              <w:t xml:space="preserve">2026</w:t>
            </w:r>
          </w:p>
        </w:tc>
        <w:tc>
          <w:tcPr>
            <w:tcW w:w="2250" w:type="dxa"/>
          </w:tcPr>
          <w:p>
            <w:r>
              <w:t xml:space="preserve">7.3</w:t>
            </w:r>
          </w:p>
        </w:tc>
        <w:tc>
          <w:tcPr>
            <w:tcW w:w="2250" w:type="dxa"/>
          </w:tcPr>
          <w:p>
            <w:r>
              <w:t xml:space="preserve">1.10</w:t>
            </w:r>
          </w:p>
        </w:tc>
        <w:tc>
          <w:tcPr>
            <w:tcW w:w="2250" w:type="dxa"/>
          </w:tcPr>
          <w:p>
            <w:r>
              <w:t xml:space="preserve">6.6</w:t>
            </w:r>
          </w:p>
        </w:tc>
      </w:tr>
      <w:tr>
        <w:tc>
          <w:tcPr>
            <w:tcW w:w="2250" w:type="dxa"/>
          </w:tcPr>
          <w:p>
            <w:r>
              <w:t xml:space="preserve">2027</w:t>
            </w:r>
          </w:p>
        </w:tc>
        <w:tc>
          <w:tcPr>
            <w:tcW w:w="2250" w:type="dxa"/>
          </w:tcPr>
          <w:p>
            <w:r>
              <w:t xml:space="preserve">15.8</w:t>
            </w:r>
          </w:p>
        </w:tc>
        <w:tc>
          <w:tcPr>
            <w:tcW w:w="2250" w:type="dxa"/>
          </w:tcPr>
          <w:p>
            <w:r>
              <w:t xml:space="preserve">1.21</w:t>
            </w:r>
          </w:p>
        </w:tc>
        <w:tc>
          <w:tcPr>
            <w:tcW w:w="2250" w:type="dxa"/>
          </w:tcPr>
          <w:p>
            <w:r>
              <w:t xml:space="preserve">13.1</w:t>
            </w:r>
          </w:p>
        </w:tc>
      </w:tr>
      <w:tr>
        <w:tc>
          <w:tcPr>
            <w:tcW w:w="2250" w:type="dxa"/>
          </w:tcPr>
          <w:p>
            <w:r>
              <w:t xml:space="preserve">2028</w:t>
            </w:r>
          </w:p>
        </w:tc>
        <w:tc>
          <w:tcPr>
            <w:tcW w:w="2250" w:type="dxa"/>
          </w:tcPr>
          <w:p>
            <w:r>
              <w:t xml:space="preserve">24.7</w:t>
            </w:r>
          </w:p>
        </w:tc>
        <w:tc>
          <w:tcPr>
            <w:tcW w:w="2250" w:type="dxa"/>
          </w:tcPr>
          <w:p>
            <w:r>
              <w:t xml:space="preserve">1.331</w:t>
            </w:r>
          </w:p>
        </w:tc>
        <w:tc>
          <w:tcPr>
            <w:tcW w:w="2250" w:type="dxa"/>
          </w:tcPr>
          <w:p>
            <w:r>
              <w:t xml:space="preserve">18.6</w:t>
            </w:r>
          </w:p>
        </w:tc>
      </w:tr>
      <w:tr>
        <w:tc>
          <w:tcPr>
            <w:tcW w:w="2250" w:type="dxa"/>
          </w:tcPr>
          <w:p>
            <w:r>
              <w:t xml:space="preserve">2029</w:t>
            </w:r>
          </w:p>
        </w:tc>
        <w:tc>
          <w:tcPr>
            <w:tcW w:w="2250" w:type="dxa"/>
          </w:tcPr>
          <w:p>
            <w:r>
              <w:t xml:space="preserve">32.5</w:t>
            </w:r>
          </w:p>
        </w:tc>
        <w:tc>
          <w:tcPr>
            <w:tcW w:w="2250" w:type="dxa"/>
          </w:tcPr>
          <w:p>
            <w:r>
              <w:t xml:space="preserve">1.4641</w:t>
            </w:r>
          </w:p>
        </w:tc>
        <w:tc>
          <w:tcPr>
            <w:tcW w:w="2250" w:type="dxa"/>
          </w:tcPr>
          <w:p>
            <w:r>
              <w:t xml:space="preserve">22.2</w:t>
            </w:r>
          </w:p>
        </w:tc>
      </w:tr>
      <w:tr>
        <w:tc>
          <w:tcPr>
            <w:tcW w:w="2250" w:type="dxa"/>
          </w:tcPr>
          <w:p>
            <w:r>
              <w:t xml:space="preserve">2030</w:t>
            </w:r>
          </w:p>
        </w:tc>
        <w:tc>
          <w:tcPr>
            <w:tcW w:w="2250" w:type="dxa"/>
          </w:tcPr>
          <w:p>
            <w:r>
              <w:t xml:space="preserve">41.9</w:t>
            </w:r>
          </w:p>
        </w:tc>
        <w:tc>
          <w:tcPr>
            <w:tcW w:w="2250" w:type="dxa"/>
          </w:tcPr>
          <w:p>
            <w:r>
              <w:t xml:space="preserve">1.6105</w:t>
            </w:r>
          </w:p>
        </w:tc>
        <w:tc>
          <w:tcPr>
            <w:tcW w:w="2250" w:type="dxa"/>
          </w:tcPr>
          <w:p>
            <w:r>
              <w:t xml:space="preserve">26.0</w:t>
            </w:r>
          </w:p>
        </w:tc>
      </w:tr>
      <w:tr>
        <w:tc>
          <w:tcPr>
            <w:tcW w:w="2250" w:type="dxa"/>
          </w:tcPr>
          <w:p>
            <w:r>
              <w:rPr>
                <w:b/>
              </w:rPr>
              <w:t xml:space="preserve">5 年现值合计</w:t>
            </w:r>
          </w:p>
        </w:tc>
        <w:tc>
          <w:tcPr>
            <w:tcW w:w="2250" w:type="dxa"/>
          </w:tcPr>
          <w:p/>
        </w:tc>
        <w:tc>
          <w:tcPr>
            <w:tcW w:w="2250" w:type="dxa"/>
          </w:tcPr>
          <w:p/>
        </w:tc>
        <w:tc>
          <w:tcPr>
            <w:tcW w:w="2250" w:type="dxa"/>
          </w:tcPr>
          <w:p>
            <w:r>
              <w:rPr>
                <w:b/>
              </w:rPr>
              <w:t xml:space="preserve">86.5</w:t>
            </w:r>
          </w:p>
        </w:tc>
      </w:tr>
      <w:tr>
        <w:tc>
          <w:tcPr>
            <w:tcW w:w="2250" w:type="dxa"/>
          </w:tcPr>
          <w:p>
            <w:r>
              <w:rPr>
                <w:b/>
              </w:rPr>
              <w:t xml:space="preserve">终值</w:t>
            </w:r>
          </w:p>
        </w:tc>
        <w:tc>
          <w:tcPr>
            <w:tcW w:w="2250" w:type="dxa"/>
          </w:tcPr>
          <w:p>
            <w:r>
              <w:t xml:space="preserve">41.9×1.03/(0.10−0.03)=616.5</w:t>
            </w:r>
          </w:p>
        </w:tc>
        <w:tc>
          <w:tcPr>
            <w:tcW w:w="2250" w:type="dxa"/>
          </w:tcPr>
          <w:p>
            <w:r>
              <w:t xml:space="preserve">1.6105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382.8</w:t>
            </w:r>
          </w:p>
        </w:tc>
      </w:tr>
      <w:tr>
        <w:tc>
          <w:tcPr>
            <w:tcW w:w="2250" w:type="dxa"/>
          </w:tcPr>
          <w:p>
            <w:r>
              <w:rPr>
                <w:b/>
              </w:rPr>
              <w:t xml:space="preserve">股权价值</w:t>
            </w:r>
          </w:p>
        </w:tc>
        <w:tc>
          <w:tcPr>
            <w:tcW w:w="2250" w:type="dxa"/>
          </w:tcPr>
          <w:p/>
        </w:tc>
        <w:tc>
          <w:tcPr>
            <w:tcW w:w="2250" w:type="dxa"/>
          </w:tcPr>
          <w:p/>
        </w:tc>
        <w:tc>
          <w:tcPr>
            <w:tcW w:w="2250" w:type="dxa"/>
          </w:tcPr>
          <w:p>
            <w:r>
              <w:rPr>
                <w:b/>
              </w:rPr>
              <w:t xml:space="preserve">≈ 469 亿</w:t>
            </w:r>
          </w:p>
        </w:tc>
      </w:tr>
    </w:tbl>
    <w:p>
      <w:pPr>
        <w:pBdr>
          <w:bottom w:val="single" w:sz="4" w:color="BFBFBF"/>
        </w:pBdr>
      </w:pPr>
    </w:p>
    <w:p>
      <w:pPr>
        <w:pStyle w:val="Heading2"/>
      </w:pPr>
      <w:r>
        <w:t xml:space="preserve">六、敏感性分析（股权价值，亿元）</w:t>
      </w:r>
    </w:p>
    <w:tbl>
      <w:tblPr>
        <w:tblW w:w="9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fill="D9E2F3"/>
          </w:tcPr>
          <w:p>
            <w:r>
              <w:t xml:space="preserve">WACC \ g</w:t>
            </w:r>
          </w:p>
        </w:tc>
        <w:tc>
          <w:tcPr>
            <w:tcW w:w="2250" w:type="dxa"/>
            <w:shd w:val="clear" w:fill="D9E2F3"/>
          </w:tcPr>
          <w:p>
            <w:r>
              <w:t xml:space="preserve">2%</w:t>
            </w:r>
          </w:p>
        </w:tc>
        <w:tc>
          <w:tcPr>
            <w:tcW w:w="2250" w:type="dxa"/>
            <w:shd w:val="clear" w:fill="D9E2F3"/>
          </w:tcPr>
          <w:p>
            <w:r>
              <w:t xml:space="preserve">3%</w:t>
            </w:r>
          </w:p>
        </w:tc>
        <w:tc>
          <w:tcPr>
            <w:tcW w:w="2250" w:type="dxa"/>
            <w:shd w:val="clear" w:fill="D9E2F3"/>
          </w:tcPr>
          <w:p>
            <w:r>
              <w:t xml:space="preserve">4%</w:t>
            </w:r>
          </w:p>
        </w:tc>
      </w:tr>
      <w:tr>
        <w:tc>
          <w:tcPr>
            <w:tcW w:w="2250" w:type="dxa"/>
          </w:tcPr>
          <w:p>
            <w:r>
              <w:rPr>
                <w:b/>
              </w:rPr>
              <w:t xml:space="preserve">9%</w:t>
            </w:r>
          </w:p>
        </w:tc>
        <w:tc>
          <w:tcPr>
            <w:tcW w:w="2250" w:type="dxa"/>
          </w:tcPr>
          <w:p>
            <w:r>
              <w:t xml:space="preserve">513</w:t>
            </w:r>
          </w:p>
        </w:tc>
        <w:tc>
          <w:tcPr>
            <w:tcW w:w="2250" w:type="dxa"/>
          </w:tcPr>
          <w:p>
            <w:r>
              <w:t xml:space="preserve">556</w:t>
            </w:r>
          </w:p>
        </w:tc>
        <w:tc>
          <w:tcPr>
            <w:tcW w:w="2250" w:type="dxa"/>
          </w:tcPr>
          <w:p>
            <w:r>
              <w:t xml:space="preserve">609</w:t>
            </w:r>
          </w:p>
        </w:tc>
      </w:tr>
      <w:tr>
        <w:tc>
          <w:tcPr>
            <w:tcW w:w="2250" w:type="dxa"/>
          </w:tcPr>
          <w:p>
            <w:r>
              <w:rPr>
                <w:b/>
              </w:rPr>
              <w:t xml:space="preserve">10%</w:t>
            </w:r>
          </w:p>
        </w:tc>
        <w:tc>
          <w:tcPr>
            <w:tcW w:w="2250" w:type="dxa"/>
          </w:tcPr>
          <w:p>
            <w:r>
              <w:t xml:space="preserve">434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469</w:t>
            </w:r>
          </w:p>
        </w:tc>
        <w:tc>
          <w:tcPr>
            <w:tcW w:w="2250" w:type="dxa"/>
          </w:tcPr>
          <w:p>
            <w:r>
              <w:t xml:space="preserve">513</w:t>
            </w:r>
          </w:p>
        </w:tc>
      </w:tr>
      <w:tr>
        <w:tc>
          <w:tcPr>
            <w:tcW w:w="2250" w:type="dxa"/>
          </w:tcPr>
          <w:p>
            <w:r>
              <w:rPr>
                <w:b/>
              </w:rPr>
              <w:t xml:space="preserve">11%</w:t>
            </w:r>
          </w:p>
        </w:tc>
        <w:tc>
          <w:tcPr>
            <w:tcW w:w="2250" w:type="dxa"/>
          </w:tcPr>
          <w:p>
            <w:r>
              <w:t xml:space="preserve">374</w:t>
            </w:r>
          </w:p>
        </w:tc>
        <w:tc>
          <w:tcPr>
            <w:tcW w:w="2250" w:type="dxa"/>
          </w:tcPr>
          <w:p>
            <w:r>
              <w:t xml:space="preserve">404</w:t>
            </w:r>
          </w:p>
        </w:tc>
        <w:tc>
          <w:tcPr>
            <w:tcW w:w="2250" w:type="dxa"/>
          </w:tcPr>
          <w:p>
            <w:r>
              <w:t xml:space="preserve">439</w:t>
            </w:r>
          </w:p>
        </w:tc>
      </w:tr>
    </w:tbl>
    <w:p>
      <w:r>
        <w:rPr>
          <w:b/>
        </w:rPr>
        <w:t xml:space="preserve">结论区间</w:t>
      </w:r>
      <w:r>
        <w:t xml:space="preserve">：基准情景股权价值约 </w:t>
      </w:r>
      <w:r>
        <w:rPr>
          <w:b/>
        </w:rPr>
        <w:t xml:space="preserve">400–560 亿元</w:t>
      </w:r>
      <w:r>
        <w:t xml:space="preserve">，中枢 </w:t>
      </w:r>
      <w:r>
        <w:rPr>
          <w:b/>
        </w:rPr>
        <w:t xml:space="preserve">~470 亿元</w:t>
      </w:r>
      <w:r>
        <w:t xml:space="preserve">。</w:t>
      </w:r>
    </w:p>
    <w:p>
      <w:pPr>
        <w:ind w:left="360"/>
        <w:jc w:val="left"/>
      </w:pPr>
      <w:r>
        <w:rPr>
          <w:i/>
          <w:color w:val="595959"/>
        </w:rPr>
        <w:t xml:space="preserve">⚠️ 需注意：本 DCF 为**简化版**（FCF 用净利润代理、未做资产负债表的营运资本/资本开支明细），且**未给出每股价值**——需从年报取总股本后方可换算，此处只给总股权价值区间。本分析为内部决策参考，**非投资建议**。</w:t>
      </w:r>
    </w:p>
    <w:p>
      <w:pPr>
        <w:pBdr>
          <w:bottom w:val="single" w:sz="4" w:color="BFBFBF"/>
        </w:pBdr>
      </w:pPr>
    </w:p>
    <w:p>
      <w:pPr>
        <w:pStyle w:val="Heading2"/>
      </w:pPr>
      <w:r>
        <w:t xml:space="preserve">七、结论与风险</w:t>
      </w:r>
    </w:p>
    <w:p>
      <w:r>
        <w:rPr>
          <w:b/>
        </w:rPr>
        <w:t xml:space="preserve">核心结论</w:t>
      </w:r>
      <w:r>
        <w:t xml:space="preserve">：</w:t>
      </w:r>
    </w:p>
    <w:p>
      <w:pPr>
        <w:ind w:left="420" w:hanging="240"/>
      </w:pPr>
      <w:r>
        <w:t xml:space="preserve">• 影石的估值弹性**几乎完全系于"净利率能否修复"**，而非营收增速——营收已证明能高增长，分歧在利润。</w:t>
      </w:r>
    </w:p>
    <w:p>
      <w:pPr>
        <w:ind w:left="420" w:hanging="240"/>
      </w:pPr>
      <w:r>
        <w:t xml:space="preserve">• 基准情景股权价值 ~470 亿，对应 2030 年净利 41.9 亿（约 11× 2030 PE）。若净利率修复到 16%（牛），价值显著上修；若卡在 5%（熊），价值大幅下修。</w:t>
      </w:r>
    </w:p>
    <w:p>
      <w:pPr>
        <w:ind w:left="420" w:hanging="240"/>
      </w:pPr>
      <w:r>
        <w:t xml:space="preserve">• **三个必须盯的先行指标**（与主报告一致）：全景份额（&lt;50% 警报）、净利率（&lt;2% 警报）、存货周转。</w:t>
      </w:r>
    </w:p>
    <w:p>
      <w:r>
        <w:rPr>
          <w:b/>
        </w:rPr>
        <w:t xml:space="preserve">关键风险</w:t>
      </w:r>
      <w:r>
        <w:t xml:space="preserve">：</w:t>
      </w:r>
    </w:p>
    <w:p>
      <w:pPr>
        <w:ind w:left="420" w:hanging="240"/>
      </w:pPr>
      <w:r>
        <w:t xml:space="preserve">• 净利率修复的确定性（研发/销售投入的 ROI）</w:t>
      </w:r>
    </w:p>
    <w:p>
      <w:pPr>
        <w:ind w:left="420" w:hanging="240"/>
      </w:pPr>
      <w:r>
        <w:t xml:space="preserve">• 存货 29.19 亿（+191.88%）的跌价减值风险</w:t>
      </w:r>
    </w:p>
    <w:p>
      <w:pPr>
        <w:ind w:left="420" w:hanging="240"/>
      </w:pPr>
      <w:r>
        <w:t xml:space="preserve">• 大疆价格战持续压毛利</w:t>
      </w:r>
    </w:p>
    <w:p>
      <w:pPr>
        <w:ind w:left="420" w:hanging="240"/>
      </w:pPr>
      <w:r>
        <w:t xml:space="preserve">• 美国窗口反转</w:t>
      </w:r>
    </w:p>
    <w:p>
      <w:pPr>
        <w:pBdr>
          <w:bottom w:val="single" w:sz="4" w:color="BFBFBF"/>
        </w:pBdr>
      </w:pPr>
    </w:p>
    <w:p>
      <w:pPr>
        <w:pStyle w:val="Heading2"/>
      </w:pPr>
      <w:r>
        <w:t xml:space="preserve">附：Source Index</w:t>
      </w:r>
    </w:p>
    <w:tbl>
      <w:tblPr>
        <w:tblW w:w="9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shd w:val="clear" w:fill="D9E2F3"/>
          </w:tcPr>
          <w:p>
            <w:r>
              <w:t xml:space="preserve">ID</w:t>
            </w:r>
          </w:p>
        </w:tc>
        <w:tc>
          <w:tcPr>
            <w:tcW w:w="1800" w:type="dxa"/>
            <w:shd w:val="clear" w:fill="D9E2F3"/>
          </w:tcPr>
          <w:p>
            <w:r>
              <w:t xml:space="preserve">来源</w:t>
            </w:r>
          </w:p>
        </w:tc>
        <w:tc>
          <w:tcPr>
            <w:tcW w:w="1800" w:type="dxa"/>
            <w:shd w:val="clear" w:fill="D9E2F3"/>
          </w:tcPr>
          <w:p>
            <w:r>
              <w:t xml:space="preserve">可信度</w:t>
            </w:r>
          </w:p>
        </w:tc>
        <w:tc>
          <w:tcPr>
            <w:tcW w:w="1800" w:type="dxa"/>
            <w:shd w:val="clear" w:fill="D9E2F3"/>
          </w:tcPr>
          <w:p>
            <w:r>
              <w:t xml:space="preserve">类型</w:t>
            </w:r>
          </w:p>
        </w:tc>
        <w:tc>
          <w:tcPr>
            <w:tcW w:w="1800" w:type="dxa"/>
            <w:shd w:val="clear" w:fill="D9E2F3"/>
          </w:tcPr>
          <w:p>
            <w:r>
              <w:t xml:space="preserve">利益冲突</w:t>
            </w:r>
          </w:p>
        </w:tc>
      </w:tr>
      <w:tr>
        <w:tc>
          <w:tcPr>
            <w:tcW w:w="1800" w:type="dxa"/>
          </w:tcPr>
          <w:p>
            <w:r>
              <w:t xml:space="preserve">S1</w:t>
            </w:r>
          </w:p>
        </w:tc>
        <w:tc>
          <w:tcPr>
            <w:tcW w:w="1800" w:type="dxa"/>
          </w:tcPr>
          <w:p>
            <w:r>
              <w:t xml:space="preserve">影石创新招股书（2021–2024 财务）</w:t>
            </w:r>
          </w:p>
        </w:tc>
        <w:tc>
          <w:tcPr>
            <w:tcW w:w="1800" w:type="dxa"/>
          </w:tcPr>
          <w:p>
            <w:r>
              <w:t xml:space="preserve">TIER-2</w:t>
            </w:r>
          </w:p>
        </w:tc>
        <w:tc>
          <w:tcPr>
            <w:tcW w:w="1800" w:type="dxa"/>
          </w:tcPr>
          <w:p>
            <w:r>
              <w:t xml:space="preserve">公司审计财报</w:t>
            </w:r>
          </w:p>
        </w:tc>
        <w:tc>
          <w:tcPr>
            <w:tcW w:w="1800" w:type="dxa"/>
          </w:tcPr>
          <w:p>
            <w:r>
              <w:t xml:space="preserve">无</w:t>
            </w:r>
          </w:p>
        </w:tc>
      </w:tr>
      <w:tr>
        <w:tc>
          <w:tcPr>
            <w:tcW w:w="1800" w:type="dxa"/>
          </w:tcPr>
          <w:p>
            <w:r>
              <w:t xml:space="preserve">S2</w:t>
            </w:r>
          </w:p>
        </w:tc>
        <w:tc>
          <w:tcPr>
            <w:tcW w:w="1800" w:type="dxa"/>
          </w:tcPr>
          <w:p>
            <w:r>
              <w:t xml:space="preserve">影石创新 2025 年报（688775.SH）</w:t>
            </w:r>
          </w:p>
        </w:tc>
        <w:tc>
          <w:tcPr>
            <w:tcW w:w="1800" w:type="dxa"/>
          </w:tcPr>
          <w:p>
            <w:r>
              <w:t xml:space="preserve">TIER-2</w:t>
            </w:r>
          </w:p>
        </w:tc>
        <w:tc>
          <w:tcPr>
            <w:tcW w:w="1800" w:type="dxa"/>
          </w:tcPr>
          <w:p>
            <w:r>
              <w:t xml:space="preserve">公司审计财报</w:t>
            </w:r>
          </w:p>
        </w:tc>
        <w:tc>
          <w:tcPr>
            <w:tcW w:w="1800" w:type="dxa"/>
          </w:tcPr>
          <w:p>
            <w:r>
              <w:t xml:space="preserve">公司自述</w:t>
            </w:r>
          </w:p>
        </w:tc>
      </w:tr>
      <w:tr>
        <w:tc>
          <w:tcPr>
            <w:tcW w:w="1800" w:type="dxa"/>
          </w:tcPr>
          <w:p>
            <w:r>
              <w:t xml:space="preserve">S3</w:t>
            </w:r>
          </w:p>
        </w:tc>
        <w:tc>
          <w:tcPr>
            <w:tcW w:w="1800" w:type="dxa"/>
          </w:tcPr>
          <w:p>
            <w:r>
              <w:t xml:space="preserve">影石创新 2026Q1 财报</w:t>
            </w:r>
          </w:p>
        </w:tc>
        <w:tc>
          <w:tcPr>
            <w:tcW w:w="1800" w:type="dxa"/>
          </w:tcPr>
          <w:p>
            <w:r>
              <w:t xml:space="preserve">TIER-2</w:t>
            </w:r>
          </w:p>
        </w:tc>
        <w:tc>
          <w:tcPr>
            <w:tcW w:w="1800" w:type="dxa"/>
          </w:tcPr>
          <w:p>
            <w:r>
              <w:t xml:space="preserve">公司审计财报</w:t>
            </w:r>
          </w:p>
        </w:tc>
        <w:tc>
          <w:tcPr>
            <w:tcW w:w="1800" w:type="dxa"/>
          </w:tcPr>
          <w:p>
            <w:r>
              <w:t xml:space="preserve">公司自述</w:t>
            </w:r>
          </w:p>
        </w:tc>
      </w:tr>
      <w:tr>
        <w:tc>
          <w:tcPr>
            <w:tcW w:w="1800" w:type="dxa"/>
          </w:tcPr>
          <w:p>
            <w:r>
              <w:t xml:space="preserve">S4</w:t>
            </w:r>
          </w:p>
        </w:tc>
        <w:tc>
          <w:tcPr>
            <w:tcW w:w="1800" w:type="dxa"/>
          </w:tcPr>
          <w:p>
            <w:r>
              <w:t xml:space="preserve">IDC 手持智能相机出货量/份额报告</w:t>
            </w:r>
          </w:p>
        </w:tc>
        <w:tc>
          <w:tcPr>
            <w:tcW w:w="1800" w:type="dxa"/>
          </w:tcPr>
          <w:p>
            <w:r>
              <w:t xml:space="preserve">TIER-2</w:t>
            </w:r>
          </w:p>
        </w:tc>
        <w:tc>
          <w:tcPr>
            <w:tcW w:w="1800" w:type="dxa"/>
          </w:tcPr>
          <w:p>
            <w:r>
              <w:t xml:space="preserve">权威机构报告</w:t>
            </w:r>
          </w:p>
        </w:tc>
        <w:tc>
          <w:tcPr>
            <w:tcW w:w="1800" w:type="dxa"/>
          </w:tcPr>
          <w:p>
            <w:r>
              <w:t xml:space="preserve">无</w:t>
            </w:r>
          </w:p>
        </w:tc>
      </w:tr>
    </w:tbl>
    <w:p>
      <w:r>
        <w:rPr>
          <w:b/>
        </w:rPr>
        <w:t xml:space="preserve">模型假设均为显式估算</w:t>
      </w:r>
      <w:r>
        <w:t xml:space="preserve">，用于场景/敏感性分析，非预测承诺。</w:t>
      </w:r>
    </w:p>
    <w:p>
      <w:r>
        <w:t xml:space="preserve">*生成：2026-09-21 · 数据截至 2026-09*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1"/>
      </w:rPr>
    </w:rPrDefault>
  </w:docDefaults>
  <w:style w:type="paragraph" w:default="1" w:styleId="Normal">
    <w:name w:val="Normal"/>
  </w:style>
  <w:style w:type="paragraph" w:styleId="Title">
    <w:name w:val="Title"/>
    <w:pPr>
      <w:spacing w:after="240"/>
    </w:pPr>
    <w:rPr>
      <w:b/>
      <w:sz w:val="52"/>
      <w:color w:val="1F3864"/>
    </w:rPr>
  </w:style>
  <w:style w:type="paragraph" w:styleId="Heading1">
    <w:name w:val="heading 1"/>
    <w:basedOn w:val="Normal"/>
    <w:pPr>
      <w:spacing w:before="360" w:after="160"/>
      <w:outlineLvl w:val="0"/>
    </w:pPr>
    <w:rPr>
      <w:b/>
      <w:sz w:val="32"/>
      <w:color w:val="1F3864"/>
    </w:rPr>
  </w:style>
  <w:style w:type="paragraph" w:styleId="Heading2">
    <w:name w:val="heading 2"/>
    <w:basedOn w:val="Normal"/>
    <w:pPr>
      <w:spacing w:before="280" w:after="120"/>
      <w:outlineLvl w:val="1"/>
    </w:pPr>
    <w:rPr>
      <w:b/>
      <w:sz w:val="26"/>
      <w:color w:val="2E5496"/>
    </w:rPr>
  </w:style>
  <w:style w:type="paragraph" w:styleId="Heading3">
    <w:name w:val="heading 3"/>
    <w:basedOn w:val="Normal"/>
    <w:pPr>
      <w:spacing w:before="240" w:after="100"/>
      <w:outlineLvl w:val="2"/>
    </w:pPr>
    <w:rPr>
      <w:b/>
      <w:sz w:val="23"/>
      <w:color w:val="2E5496"/>
    </w:rPr>
  </w:style>
  <w:style w:type="paragraph" w:styleId="Heading4">
    <w:name w:val="heading 4"/>
    <w:basedOn w:val="Normal"/>
    <w:pPr>
      <w:outlineLvl w:val="3"/>
    </w:pPr>
    <w:rPr>
      <w:b/>
      <w:sz w:val="21"/>
      <w:color w:val="404040"/>
    </w:rPr>
  </w:style>
</w:styles>
</file>