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A4C8C"/>
          <w:sz w:val="44"/>
        </w:rPr>
        <w:t>Codly FinOps Platform</w:t>
      </w:r>
    </w:p>
    <w:p>
      <w:pPr>
        <w:spacing w:after="240"/>
      </w:pPr>
      <w:r>
        <w:rPr>
          <w:color w:val="546E7A"/>
          <w:sz w:val="24"/>
        </w:rPr>
        <w:t>Standard vs Advanced — Capability Overview</w:t>
      </w:r>
    </w:p>
    <w:p>
      <w:pPr>
        <w:spacing w:after="80" w:before="0"/>
        <w:pBdr>
          <w:bottom w:val="single" w:sz="6" w:space="1" w:color="0078D4"/>
        </w:pBdr>
      </w:pPr>
    </w:p>
    <w:p>
      <w:pPr>
        <w:spacing w:before="200" w:after="60"/>
        <w:jc w:val="left"/>
      </w:pPr>
      <w:r>
        <w:rPr>
          <w:b/>
          <w:color w:val="0A4C8C"/>
          <w:sz w:val="26"/>
        </w:rPr>
        <w:t>What is Codly FinOps?</w:t>
      </w:r>
    </w:p>
    <w:p>
      <w:pPr>
        <w:spacing w:after="80" w:before="0"/>
        <w:pBdr>
          <w:bottom w:val="single" w:sz="6" w:space="1" w:color="0078D4"/>
        </w:pBdr>
      </w:pPr>
    </w:p>
    <w:p>
      <w:pPr>
        <w:spacing w:after="120" w:before="0"/>
        <w:jc w:val="both"/>
      </w:pPr>
      <w:r>
        <w:rPr>
          <w:b w:val="0"/>
          <w:i w:val="0"/>
          <w:color w:val="212121"/>
          <w:sz w:val="18"/>
        </w:rPr>
        <w:t>Codly FinOps is a cloud cost management platform that gives your organisation complete visibility into Azure spending — across all subscriptions, services, and resource types — through a single, unified dashboard. It provides real-time cost breakdowns, historical trends, anomaly alerts, budget tracking, and on-demand reports, all without requiring manual data exports or engineering effort.</w:t>
      </w:r>
    </w:p>
    <w:p>
      <w:pPr>
        <w:spacing w:before="200" w:after="60"/>
        <w:jc w:val="left"/>
      </w:pPr>
      <w:r>
        <w:rPr>
          <w:b/>
          <w:color w:val="0A4C8C"/>
          <w:sz w:val="26"/>
        </w:rPr>
        <w:t>Standard vs Advanced</w:t>
      </w:r>
    </w:p>
    <w:p>
      <w:pPr>
        <w:spacing w:after="80" w:before="0"/>
        <w:pBdr>
          <w:bottom w:val="single" w:sz="6" w:space="1" w:color="0078D4"/>
        </w:pBdr>
      </w:pPr>
    </w:p>
    <w:p>
      <w:pPr>
        <w:spacing w:after="120" w:before="0"/>
        <w:jc w:val="both"/>
      </w:pPr>
      <w:r>
        <w:rPr>
          <w:b w:val="0"/>
          <w:color w:val="212121"/>
          <w:sz w:val="18"/>
        </w:rPr>
        <w:t xml:space="preserve">Codly FinOps is available in two tiers. </w:t>
      </w:r>
      <w:r>
        <w:rPr>
          <w:b/>
          <w:color w:val="212121"/>
          <w:sz w:val="18"/>
        </w:rPr>
        <w:t>Standard</w:t>
      </w:r>
      <w:r>
        <w:rPr>
          <w:b w:val="0"/>
          <w:color w:val="212121"/>
          <w:sz w:val="18"/>
        </w:rPr>
        <w:t xml:space="preserve"> connects directly to Azure's cost APIs and covers all core FinOps needs — service breakdowns, resource-level costs, forecasting, anomaly detection, and optimization recommendations. </w:t>
      </w:r>
      <w:r>
        <w:rPr>
          <w:b/>
          <w:color w:val="212121"/>
          <w:sz w:val="18"/>
        </w:rPr>
        <w:t>Advanced</w:t>
      </w:r>
      <w:r>
        <w:rPr>
          <w:b w:val="0"/>
          <w:color w:val="212121"/>
          <w:sz w:val="18"/>
        </w:rPr>
        <w:t xml:space="preserve"> goes further: it maintains a dedicated analytics layer on top of your billing data, unlocking full historical access, three distinct billing views, tag-based chargeback, and scheduled exports — all at consistently fast response times regardless of how large your Azure footprint is.</w:t>
      </w:r>
    </w:p>
    <w:p>
      <w:pPr>
        <w:spacing w:before="200" w:after="60"/>
        <w:jc w:val="left"/>
      </w:pPr>
      <w:r>
        <w:rPr>
          <w:b/>
          <w:color w:val="0A4C8C"/>
          <w:sz w:val="26"/>
        </w:rPr>
        <w:t>Three billing views — Codly Advanced</w:t>
      </w:r>
    </w:p>
    <w:p>
      <w:pPr>
        <w:spacing w:after="80" w:before="0"/>
        <w:pBdr>
          <w:bottom w:val="single" w:sz="6" w:space="1" w:color="0078D4"/>
        </w:pBdr>
      </w:pPr>
    </w:p>
    <w:p>
      <w:pPr>
        <w:spacing w:after="80" w:before="0"/>
        <w:jc w:val="left"/>
      </w:pPr>
      <w:r>
        <w:rPr>
          <w:b w:val="0"/>
          <w:i w:val="0"/>
          <w:color w:val="212121"/>
          <w:sz w:val="18"/>
        </w:rPr>
        <w:t>Advanced provides three perspectives on the same cost data, each designed for a different audience: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0050A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Amortized</w:t>
            </w:r>
          </w:p>
        </w:tc>
        <w:tc>
          <w:tcPr>
            <w:tcW w:type="dxa" w:w="3324"/>
            <w:vAlign w:val="center"/>
            <w:shd w:val="clear" w:color="auto" w:fill="0050A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3324"/>
            <w:vAlign w:val="center"/>
            <w:shd w:val="clear" w:color="auto" w:fill="0050A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Actual</w:t>
            </w:r>
          </w:p>
        </w:tc>
      </w:tr>
      <w:tr>
        <w:tc>
          <w:tcPr>
            <w:tcW w:type="dxa" w:w="3324"/>
            <w:vAlign w:val="top"/>
            <w:shd w:val="clear" w:color="auto" w:fill="F5F7FA"/>
          </w:tcPr>
          <w:p>
            <w:pPr>
              <w:jc w:val="left"/>
            </w:pPr>
            <w:r>
              <w:rPr>
                <w:color w:val="212121"/>
                <w:sz w:val="16"/>
              </w:rPr>
              <w:t>For Finance &amp; CFOs. Reservation costs spread evenly across the year — no spike in the month of purchase.</w:t>
            </w:r>
          </w:p>
        </w:tc>
        <w:tc>
          <w:tcPr>
            <w:tcW w:type="dxa" w:w="3324"/>
            <w:vAlign w:val="top"/>
            <w:shd w:val="clear" w:color="auto" w:fill="F5F7FA"/>
          </w:tcPr>
          <w:p>
            <w:pPr>
              <w:jc w:val="left"/>
            </w:pPr>
            <w:r>
              <w:rPr>
                <w:color w:val="212121"/>
                <w:sz w:val="16"/>
              </w:rPr>
              <w:t>For FinOps teams. The new industry-standard billing format — makes cross-cloud cost comparison straightforward.</w:t>
            </w:r>
          </w:p>
        </w:tc>
        <w:tc>
          <w:tcPr>
            <w:tcW w:type="dxa" w:w="3324"/>
            <w:vAlign w:val="top"/>
            <w:shd w:val="clear" w:color="auto" w:fill="F5F7FA"/>
          </w:tcPr>
          <w:p>
            <w:pPr>
              <w:jc w:val="left"/>
            </w:pPr>
            <w:r>
              <w:rPr>
                <w:color w:val="212121"/>
                <w:sz w:val="16"/>
              </w:rPr>
              <w:t>For Accounting &amp; Audit. Raw charges exactly as they appear on the Azure invoice.</w:t>
            </w:r>
          </w:p>
        </w:tc>
      </w:tr>
    </w:tbl>
    <w:p>
      <w:pPr>
        <w:spacing w:after="120"/>
      </w:pPr>
    </w:p>
    <w:p>
      <w:pPr>
        <w:spacing w:before="200" w:after="60"/>
        <w:jc w:val="left"/>
      </w:pPr>
      <w:r>
        <w:rPr>
          <w:b/>
          <w:color w:val="0A4C8C"/>
          <w:sz w:val="26"/>
        </w:rPr>
        <w:t>What you get with Codly FinOps</w:t>
      </w:r>
    </w:p>
    <w:p>
      <w:pPr>
        <w:spacing w:after="80" w:before="0"/>
        <w:pBdr>
          <w:bottom w:val="single" w:sz="6" w:space="1" w:color="0078D4"/>
        </w:pBdr>
      </w:pPr>
    </w:p>
    <w:p>
      <w:pPr>
        <w:spacing w:after="120" w:before="0"/>
        <w:jc w:val="both"/>
      </w:pPr>
      <w:r>
        <w:rPr>
          <w:b w:val="0"/>
          <w:i w:val="0"/>
          <w:color w:val="212121"/>
          <w:sz w:val="18"/>
        </w:rPr>
        <w:t>Regardless of tier, Codly provides a unified dashboard covering your full Azure spend with no manual data pulls required. Standard users get real-time cost visibility and actionable recommendations. Advanced users additionally receive full billing history from day one, tag-based allocation and chargeback reports, all three billing views in a single interface, and on-demand exports as PDF, Excel, or CSV — all updated automatically every day.</w:t>
      </w:r>
    </w:p>
    <w:p>
      <w:r>
        <w:br w:type="page"/>
      </w:r>
    </w:p>
    <w:p>
      <w:pPr>
        <w:spacing w:after="40"/>
      </w:pPr>
      <w:r>
        <w:rPr>
          <w:b/>
          <w:color w:val="0A4C8C"/>
          <w:sz w:val="36"/>
        </w:rPr>
        <w:t>Feature Comparison — Standard vs Advanced</w:t>
      </w:r>
    </w:p>
    <w:p>
      <w:pPr>
        <w:spacing w:after="200"/>
      </w:pPr>
      <w:r>
        <w:rPr>
          <w:color w:val="546E7A"/>
          <w:sz w:val="20"/>
        </w:rPr>
        <w:t>A complete breakdown of what each Codly FinOps tier includes</w:t>
      </w:r>
    </w:p>
    <w:p>
      <w:pPr>
        <w:spacing w:after="80" w:before="0"/>
        <w:pBdr>
          <w:bottom w:val="single" w:sz="6" w:space="1" w:color="0078D4"/>
        </w:pBdr>
      </w:pP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685"/>
            <w:shd w:val="clear" w:color="auto" w:fill="0A4C8C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134"/>
            <w:shd w:val="clear" w:color="auto" w:fill="0A4C8C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7"/>
              </w:rPr>
              <w:t>Standard</w:t>
            </w:r>
          </w:p>
        </w:tc>
        <w:tc>
          <w:tcPr>
            <w:tcW w:type="dxa" w:w="1247"/>
            <w:shd w:val="clear" w:color="auto" w:fill="0A4C8C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7"/>
              </w:rPr>
              <w:t>Advanced</w:t>
            </w:r>
          </w:p>
        </w:tc>
        <w:tc>
          <w:tcPr>
            <w:tcW w:type="dxa" w:w="3572"/>
            <w:shd w:val="clear" w:color="auto" w:fill="0A4C8C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7"/>
              </w:rPr>
              <w:t>Remark</w:t>
            </w:r>
          </w:p>
        </w:tc>
      </w:tr>
      <w:tr>
        <w:tc>
          <w:tcPr>
            <w:tcW w:type="dxa" w:w="3685"/>
            <w:shd w:val="clear" w:color="auto" w:fill="EBF3FB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color w:val="0078D4"/>
                <w:sz w:val="16"/>
              </w:rPr>
              <w:t xml:space="preserve">  Cost Visibility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after="40" w:before="40"/>
            </w:pPr>
          </w:p>
        </w:tc>
        <w:tc>
          <w:tcPr>
            <w:tcW w:type="dxa" w:w="1247"/>
            <w:shd w:val="clear" w:color="auto" w:fill="EBF3FB"/>
            <w:vAlign w:val="center"/>
          </w:tcPr>
          <w:p>
            <w:pPr>
              <w:spacing w:after="40" w:before="40"/>
            </w:pPr>
          </w:p>
        </w:tc>
        <w:tc>
          <w:tcPr>
            <w:tcW w:type="dxa" w:w="3572"/>
            <w:shd w:val="clear" w:color="auto" w:fill="EBF3FB"/>
            <w:vAlign w:val="center"/>
          </w:tcPr>
          <w:p>
            <w:pPr>
              <w:spacing w:after="40" w:before="40"/>
            </w:pPr>
          </w:p>
        </w:tc>
      </w:tr>
      <w:tr>
        <w:tc>
          <w:tcPr>
            <w:tcW w:type="dxa" w:w="3685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Service-level cost breakdown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1247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Costs grouped by Azure service (VMs, Storage, Networking, etc.)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Resource-level cost breakdown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Drill down to individual VMs, databases, and storage accounts</w:t>
            </w:r>
          </w:p>
        </w:tc>
      </w:tr>
      <w:tr>
        <w:tc>
          <w:tcPr>
            <w:tcW w:type="dxa" w:w="3685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Subscription-level breakdown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1247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View and compare spend across multiple subscriptions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Usage-type breakdown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Split costs by what you consumed — compute hours, storage GB, etc.</w:t>
            </w:r>
          </w:p>
        </w:tc>
      </w:tr>
      <w:tr>
        <w:tc>
          <w:tcPr>
            <w:tcW w:type="dxa" w:w="3685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Custom date range queries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1247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Pull cost data for any time window you choose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Last N months snapshot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Quick multi-month summary view</w:t>
            </w:r>
          </w:p>
        </w:tc>
      </w:tr>
      <w:tr>
        <w:tc>
          <w:tcPr>
            <w:tcW w:type="dxa" w:w="3685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Full billing history (12+ months)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Advanced retains all historical data — Standard is limited by API history windows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Day-by-day cost trend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See daily spend movement to catch unexpected jumps early</w:t>
            </w:r>
          </w:p>
        </w:tc>
      </w:tr>
      <w:tr>
        <w:tc>
          <w:tcPr>
            <w:tcW w:type="dxa" w:w="3685"/>
            <w:shd w:val="clear" w:color="auto" w:fill="EBF3FB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color w:val="0078D4"/>
                <w:sz w:val="16"/>
              </w:rPr>
              <w:t xml:space="preserve">  Billing Views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after="40" w:before="40"/>
            </w:pPr>
          </w:p>
        </w:tc>
        <w:tc>
          <w:tcPr>
            <w:tcW w:type="dxa" w:w="1247"/>
            <w:shd w:val="clear" w:color="auto" w:fill="EBF3FB"/>
            <w:vAlign w:val="center"/>
          </w:tcPr>
          <w:p>
            <w:pPr>
              <w:spacing w:after="40" w:before="40"/>
            </w:pPr>
          </w:p>
        </w:tc>
        <w:tc>
          <w:tcPr>
            <w:tcW w:type="dxa" w:w="3572"/>
            <w:shd w:val="clear" w:color="auto" w:fill="EBF3FB"/>
            <w:vAlign w:val="center"/>
          </w:tcPr>
          <w:p>
            <w:pPr>
              <w:spacing w:after="40" w:before="40"/>
            </w:pP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Standard cost view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Default view — actual charges as billed by Azure</w:t>
            </w:r>
          </w:p>
        </w:tc>
      </w:tr>
      <w:tr>
        <w:tc>
          <w:tcPr>
            <w:tcW w:type="dxa" w:w="3685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Amortized view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Spreads reservation costs evenly across the year — no single-month billing spike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Focus view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New industry-standard billing format — simplifies multi-cloud cost comparison</w:t>
            </w:r>
          </w:p>
        </w:tc>
      </w:tr>
      <w:tr>
        <w:tc>
          <w:tcPr>
            <w:tcW w:type="dxa" w:w="3685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All three views side by side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Compare Amortized, Focus, and Actual in one report</w:t>
            </w:r>
          </w:p>
        </w:tc>
      </w:tr>
      <w:tr>
        <w:tc>
          <w:tcPr>
            <w:tcW w:type="dxa" w:w="3685"/>
            <w:shd w:val="clear" w:color="auto" w:fill="EBF3FB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color w:val="0078D4"/>
                <w:sz w:val="16"/>
              </w:rPr>
              <w:t xml:space="preserve">  Tag-Based Allocation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after="40" w:before="40"/>
            </w:pPr>
          </w:p>
        </w:tc>
        <w:tc>
          <w:tcPr>
            <w:tcW w:type="dxa" w:w="1247"/>
            <w:shd w:val="clear" w:color="auto" w:fill="EBF3FB"/>
            <w:vAlign w:val="center"/>
          </w:tcPr>
          <w:p>
            <w:pPr>
              <w:spacing w:after="40" w:before="40"/>
            </w:pPr>
          </w:p>
        </w:tc>
        <w:tc>
          <w:tcPr>
            <w:tcW w:type="dxa" w:w="3572"/>
            <w:shd w:val="clear" w:color="auto" w:fill="EBF3FB"/>
            <w:vAlign w:val="center"/>
          </w:tcPr>
          <w:p>
            <w:pPr>
              <w:spacing w:after="40" w:before="40"/>
            </w:pPr>
          </w:p>
        </w:tc>
      </w:tr>
      <w:tr>
        <w:tc>
          <w:tcPr>
            <w:tcW w:type="dxa" w:w="3685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Filter costs by tag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1247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Narrow down spend by labels applied to your resources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Cost breakdown by any tag dimension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Group by team, project, environment, application — any tag you use</w:t>
            </w:r>
          </w:p>
        </w:tc>
      </w:tr>
      <w:tr>
        <w:tc>
          <w:tcPr>
            <w:tcW w:type="dxa" w:w="3685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Chargeback / showback by tag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Each team or department sees exactly what they spent — ready for internal billing</w:t>
            </w:r>
          </w:p>
        </w:tc>
      </w:tr>
      <w:tr>
        <w:tc>
          <w:tcPr>
            <w:tcW w:type="dxa" w:w="3685"/>
            <w:shd w:val="clear" w:color="auto" w:fill="EBF3FB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color w:val="0078D4"/>
                <w:sz w:val="16"/>
              </w:rPr>
              <w:t xml:space="preserve">  Reserved Instances (RI)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after="40" w:before="40"/>
            </w:pPr>
          </w:p>
        </w:tc>
        <w:tc>
          <w:tcPr>
            <w:tcW w:type="dxa" w:w="1247"/>
            <w:shd w:val="clear" w:color="auto" w:fill="EBF3FB"/>
            <w:vAlign w:val="center"/>
          </w:tcPr>
          <w:p>
            <w:pPr>
              <w:spacing w:after="40" w:before="40"/>
            </w:pPr>
          </w:p>
        </w:tc>
        <w:tc>
          <w:tcPr>
            <w:tcW w:type="dxa" w:w="3572"/>
            <w:shd w:val="clear" w:color="auto" w:fill="EBF3FB"/>
            <w:vAlign w:val="center"/>
          </w:tcPr>
          <w:p>
            <w:pPr>
              <w:spacing w:after="40" w:before="40"/>
            </w:pPr>
          </w:p>
        </w:tc>
      </w:tr>
      <w:tr>
        <w:tc>
          <w:tcPr>
            <w:tcW w:type="dxa" w:w="3685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RI utilization report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1247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See how much of your reserved capacity is actually being used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Amortized RI cost per month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Monthly view with reservation cost spread evenly — easier for budgeting</w:t>
            </w:r>
          </w:p>
        </w:tc>
      </w:tr>
      <w:tr>
        <w:tc>
          <w:tcPr>
            <w:tcW w:type="dxa" w:w="3685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Actual RI charge (invoice-matched)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Exact figure matching your Azure invoice — useful for audit and reconciliation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RI savings vs pay-as-you-go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Shows how much you saved by reserving versus paying the hourly rate</w:t>
            </w:r>
          </w:p>
        </w:tc>
      </w:tr>
      <w:tr>
        <w:tc>
          <w:tcPr>
            <w:tcW w:type="dxa" w:w="3685"/>
            <w:shd w:val="clear" w:color="auto" w:fill="EBF3FB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color w:val="0078D4"/>
                <w:sz w:val="16"/>
              </w:rPr>
              <w:t xml:space="preserve">  Reports &amp; Exports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after="40" w:before="40"/>
            </w:pPr>
          </w:p>
        </w:tc>
        <w:tc>
          <w:tcPr>
            <w:tcW w:type="dxa" w:w="1247"/>
            <w:shd w:val="clear" w:color="auto" w:fill="EBF3FB"/>
            <w:vAlign w:val="center"/>
          </w:tcPr>
          <w:p>
            <w:pPr>
              <w:spacing w:after="40" w:before="40"/>
            </w:pPr>
          </w:p>
        </w:tc>
        <w:tc>
          <w:tcPr>
            <w:tcW w:type="dxa" w:w="3572"/>
            <w:shd w:val="clear" w:color="auto" w:fill="EBF3FB"/>
            <w:vAlign w:val="center"/>
          </w:tcPr>
          <w:p>
            <w:pPr>
              <w:spacing w:after="40" w:before="40"/>
            </w:pP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Cost breakdown report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On-demand report covering spend by any dimension</w:t>
            </w:r>
          </w:p>
        </w:tc>
      </w:tr>
      <w:tr>
        <w:tc>
          <w:tcPr>
            <w:tcW w:type="dxa" w:w="3685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Export as CSV / Excel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Download cost data for offline analysis or sharing with finance teams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Export as PDF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Formatted, ready-to-share report for stakeholders</w:t>
            </w:r>
          </w:p>
        </w:tc>
      </w:tr>
      <w:tr>
        <w:tc>
          <w:tcPr>
            <w:tcW w:type="dxa" w:w="3685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Automated weekly report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Report generated and delivered automatically — no manual action needed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Anomaly detection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Alerts when spending deviates from expected patterns</w:t>
            </w:r>
          </w:p>
        </w:tc>
      </w:tr>
      <w:tr>
        <w:tc>
          <w:tcPr>
            <w:tcW w:type="dxa" w:w="3685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Cost forecast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1247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Projected spend based on current usage trends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Optimization recommendations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Actionable suggestions to reduce waste — Standard only, sourced from Azure Advisor</w:t>
            </w:r>
          </w:p>
        </w:tc>
      </w:tr>
      <w:tr>
        <w:tc>
          <w:tcPr>
            <w:tcW w:type="dxa" w:w="3685"/>
            <w:shd w:val="clear" w:color="auto" w:fill="EBF3FB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color w:val="0078D4"/>
                <w:sz w:val="16"/>
              </w:rPr>
              <w:t xml:space="preserve">  Platform &amp; Scale</w:t>
            </w:r>
          </w:p>
        </w:tc>
        <w:tc>
          <w:tcPr>
            <w:tcW w:type="dxa" w:w="1134"/>
            <w:shd w:val="clear" w:color="auto" w:fill="EBF3FB"/>
            <w:vAlign w:val="center"/>
          </w:tcPr>
          <w:p>
            <w:pPr>
              <w:spacing w:after="40" w:before="40"/>
            </w:pPr>
          </w:p>
        </w:tc>
        <w:tc>
          <w:tcPr>
            <w:tcW w:type="dxa" w:w="1247"/>
            <w:shd w:val="clear" w:color="auto" w:fill="EBF3FB"/>
            <w:vAlign w:val="center"/>
          </w:tcPr>
          <w:p>
            <w:pPr>
              <w:spacing w:after="40" w:before="40"/>
            </w:pPr>
          </w:p>
        </w:tc>
        <w:tc>
          <w:tcPr>
            <w:tcW w:type="dxa" w:w="3572"/>
            <w:shd w:val="clear" w:color="auto" w:fill="EBF3FB"/>
            <w:vAlign w:val="center"/>
          </w:tcPr>
          <w:p>
            <w:pPr>
              <w:spacing w:after="40" w:before="40"/>
            </w:pP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Real-time resource data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Live resource metadata — Standard only</w:t>
            </w:r>
          </w:p>
        </w:tc>
      </w:tr>
      <w:tr>
        <w:tc>
          <w:tcPr>
            <w:tcW w:type="dxa" w:w="3685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No query rate limits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Advanced has no throttling — Standard can hit Azure API limits under heavy load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Multiple users, no slowdown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Advanced handles concurrent users running reports at the same time</w:t>
            </w:r>
          </w:p>
        </w:tc>
      </w:tr>
      <w:tr>
        <w:tc>
          <w:tcPr>
            <w:tcW w:type="dxa" w:w="3685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Consistent speed at scale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Performance stays the same whether you have 10 or 1,000 subscriptions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Automatic configuration on connect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Advanced detects your data structure and configures itself — no manual setup</w:t>
            </w:r>
          </w:p>
        </w:tc>
      </w:tr>
      <w:tr>
        <w:tc>
          <w:tcPr>
            <w:tcW w:type="dxa" w:w="3685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212121"/>
                <w:sz w:val="17"/>
              </w:rPr>
              <w:t xml:space="preserve">  Secure credential management</w:t>
            </w:r>
          </w:p>
        </w:tc>
        <w:tc>
          <w:tcPr>
            <w:tcW w:type="dxa" w:w="1134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546E7A"/>
                <w:sz w:val="17"/>
              </w:rPr>
              <w:t>—</w:t>
            </w:r>
          </w:p>
        </w:tc>
        <w:tc>
          <w:tcPr>
            <w:tcW w:type="dxa" w:w="1247"/>
            <w:shd w:val="clear" w:color="auto" w:fill="F5F7FA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color w:val="1B5E20"/>
                <w:sz w:val="17"/>
              </w:rPr>
              <w:t>Yes</w:t>
            </w:r>
          </w:p>
        </w:tc>
        <w:tc>
          <w:tcPr>
            <w:tcW w:type="dxa" w:w="3572"/>
            <w:shd w:val="clear" w:color="auto" w:fill="F5F7FA"/>
            <w:vAlign w:val="center"/>
          </w:tcPr>
          <w:p>
            <w:pPr>
              <w:spacing w:after="40" w:before="40"/>
              <w:jc w:val="left"/>
            </w:pPr>
            <w:r>
              <w:rPr>
                <w:color w:val="546E7A"/>
                <w:sz w:val="15"/>
              </w:rPr>
              <w:t>Access credentials stored securely — not in plain text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i/>
          <w:color w:val="546E7A"/>
          <w:sz w:val="15"/>
        </w:rPr>
        <w:t>"Yes" in Standard means the feature is available in the core Codly FinOps tier. "Yes" in Advanced means it is available in the enterprise tier. Features marked Advanced-only deliver capabilities that go beyond what Azure's standard APIs provide.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