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Lognormal Return Distributions: META &amp; ORCL</w:t>
      </w:r>
    </w:p>
    <w:p>
      <w:r>
        <w:rPr>
          <w:i w:val="0"/>
          <w:color w:val="5F6B7A"/>
          <w:sz w:val="19"/>
        </w:rPr>
        <w:t>TAMID Fall 2026 · Oscar · Daily data Aug 31, 2021 – Sep 04, 2026 · source: Excel STOCKHISTORY via xlwings</w:t>
      </w:r>
    </w:p>
    <w:p>
      <w:pPr>
        <w:pStyle w:val="Heading1"/>
      </w:pPr>
      <w:r>
        <w:t>1. Executive summary</w:t>
      </w:r>
    </w:p>
    <w:p>
      <w:r>
        <w:rPr>
          <w:i w:val="0"/>
          <w:sz w:val="21"/>
        </w:rPr>
        <w:t>We pulled five years of daily closing prices for Meta Platforms (META) and Oracle (ORCL) out of the club's StockDatabase.xlsx with Python (xlwings), converted them to logarithmic returns, fitted a normal distribution to those returns, and computed the 1σ, 2σ and 3σ bounds that theory says should contain 68.27%, 95.45% and 99.73% of daily moves. All tables and charts were written to a new Excel workbook as live formulas so the numbers can be audited in Excel.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META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ORCL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Return observations (days)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7"/>
              </w:rPr>
              <w:t>1,258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7"/>
              </w:rPr>
              <w:t>1,258</w:t>
            </w:r>
          </w:p>
        </w:tc>
      </w:tr>
      <w:tr>
        <w:tc>
          <w:tcPr>
            <w:tcW w:type="dxa" w:w="4032"/>
            <w:shd w:val="clear" w:color="auto" w:fill="F3F6FA"/>
          </w:tcPr>
          <w:p>
            <w:r/>
            <w:r>
              <w:rPr>
                <w:sz w:val="17"/>
              </w:rPr>
              <w:t>Last close</w:t>
            </w:r>
          </w:p>
        </w:tc>
        <w:tc>
          <w:tcPr>
            <w:tcW w:type="dxa" w:w="2592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$616.77</w:t>
            </w:r>
          </w:p>
        </w:tc>
        <w:tc>
          <w:tcPr>
            <w:tcW w:type="dxa" w:w="2592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$158.78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Daily σ (std. dev. of log returns)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7"/>
              </w:rPr>
              <w:t>2.85%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7"/>
              </w:rPr>
              <w:t>2.69%</w:t>
            </w:r>
          </w:p>
        </w:tc>
      </w:tr>
      <w:tr>
        <w:tc>
          <w:tcPr>
            <w:tcW w:type="dxa" w:w="4032"/>
            <w:shd w:val="clear" w:color="auto" w:fill="F3F6FA"/>
          </w:tcPr>
          <w:p>
            <w:r/>
            <w:r>
              <w:rPr>
                <w:sz w:val="17"/>
              </w:rPr>
              <w:t>Annualized volatility</w:t>
            </w:r>
          </w:p>
        </w:tc>
        <w:tc>
          <w:tcPr>
            <w:tcW w:type="dxa" w:w="2592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45.3%</w:t>
            </w:r>
          </w:p>
        </w:tc>
        <w:tc>
          <w:tcPr>
            <w:tcW w:type="dxa" w:w="2592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42.6%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Annualized drift (mean log return × 252)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7"/>
              </w:rPr>
              <w:t>9.7%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7"/>
              </w:rPr>
              <w:t>11.6%</w:t>
            </w:r>
          </w:p>
        </w:tc>
      </w:tr>
      <w:tr>
        <w:tc>
          <w:tcPr>
            <w:tcW w:type="dxa" w:w="4032"/>
            <w:shd w:val="clear" w:color="auto" w:fill="F3F6FA"/>
          </w:tcPr>
          <w:p>
            <w:r/>
            <w:r>
              <w:rPr>
                <w:sz w:val="17"/>
              </w:rPr>
              <w:t>1σ daily move (68.27%)</w:t>
            </w:r>
          </w:p>
        </w:tc>
        <w:tc>
          <w:tcPr>
            <w:tcW w:type="dxa" w:w="2592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-2.77% / +2.93%</w:t>
            </w:r>
          </w:p>
        </w:tc>
        <w:tc>
          <w:tcPr>
            <w:tcW w:type="dxa" w:w="2592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-2.61% / +2.77%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2σ daily move (95.45%)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7"/>
              </w:rPr>
              <w:t>-5.51% / +5.91%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7"/>
              </w:rPr>
              <w:t>-5.19% / +5.57%</w:t>
            </w:r>
          </w:p>
        </w:tc>
      </w:tr>
      <w:tr>
        <w:tc>
          <w:tcPr>
            <w:tcW w:type="dxa" w:w="4032"/>
            <w:shd w:val="clear" w:color="auto" w:fill="F3F6FA"/>
          </w:tcPr>
          <w:p>
            <w:r/>
            <w:r>
              <w:rPr>
                <w:sz w:val="17"/>
              </w:rPr>
              <w:t>3σ daily move (99.73%)</w:t>
            </w:r>
          </w:p>
        </w:tc>
        <w:tc>
          <w:tcPr>
            <w:tcW w:type="dxa" w:w="2592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-8.16% / +8.97%</w:t>
            </w:r>
          </w:p>
        </w:tc>
        <w:tc>
          <w:tcPr>
            <w:tcW w:type="dxa" w:w="2592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-7.70% / +8.44%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Actual days inside ±1σ / ±2σ / ±3σ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7"/>
              </w:rPr>
              <w:t>82.0% / 96.3% / 98.8%</w:t>
            </w:r>
          </w:p>
        </w:tc>
        <w:tc>
          <w:tcPr>
            <w:tcW w:type="dxa" w:w="2592"/>
          </w:tcPr>
          <w:p>
            <w:pPr>
              <w:jc w:val="right"/>
            </w:pPr>
            <w:r/>
            <w:r>
              <w:rPr>
                <w:sz w:val="17"/>
              </w:rPr>
              <w:t>81.4% / 95.4% / 98.4%</w:t>
            </w:r>
          </w:p>
        </w:tc>
      </w:tr>
      <w:tr>
        <w:tc>
          <w:tcPr>
            <w:tcW w:type="dxa" w:w="4032"/>
            <w:shd w:val="clear" w:color="auto" w:fill="F3F6FA"/>
          </w:tcPr>
          <w:p>
            <w:r/>
            <w:r>
              <w:rPr>
                <w:sz w:val="17"/>
              </w:rPr>
              <w:t>Skewness / excess kurtosis</w:t>
            </w:r>
          </w:p>
        </w:tc>
        <w:tc>
          <w:tcPr>
            <w:tcW w:type="dxa" w:w="2592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-1.10 / 23.4</w:t>
            </w:r>
          </w:p>
        </w:tc>
        <w:tc>
          <w:tcPr>
            <w:tcW w:type="dxa" w:w="2592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+1.25 / 17.9</w:t>
            </w:r>
          </w:p>
        </w:tc>
      </w:tr>
    </w:tbl>
    <w:p/>
    <w:p>
      <w:r>
        <w:rPr>
          <w:b/>
          <w:i w:val="0"/>
          <w:sz w:val="21"/>
        </w:rPr>
        <w:t>Key takeaways</w:t>
      </w:r>
    </w:p>
    <w:p>
      <w:pPr>
        <w:pStyle w:val="ListBullet"/>
      </w:pPr>
      <w:r>
        <w:rPr>
          <w:b/>
        </w:rPr>
        <w:t xml:space="preserve">Both stocks are high-volatility names. </w:t>
      </w:r>
      <w:r>
        <w:t>A typical (1σ) day moves META about ±2.9% and ORCL about ±2.7%, i.e. roughly 43–45% annualized — about 2–3× the long-run volatility of the S&amp;P 500.</w:t>
      </w:r>
    </w:p>
    <w:p>
      <w:pPr>
        <w:pStyle w:val="ListBullet"/>
      </w:pPr>
      <w:r>
        <w:rPr>
          <w:b/>
        </w:rPr>
        <w:t xml:space="preserve">The normal model gets the middle wrong. </w:t>
      </w:r>
      <w:r>
        <w:t>About 82% of days fall inside ±1σ, not 68%: most days are quieter than σ suggests.</w:t>
      </w:r>
    </w:p>
    <w:p>
      <w:pPr>
        <w:pStyle w:val="ListBullet"/>
      </w:pPr>
      <w:r>
        <w:rPr>
          <w:b/>
        </w:rPr>
        <w:t xml:space="preserve">…and the tails wrong. </w:t>
      </w:r>
      <w:r>
        <w:t>Moves beyond 3σ happened 15 times for META and 20 times for ORCL, versus ~3.4 expected. Excess kurtosis of 23 and 18 (normal = 0) and Jarque-Bera p-values of ≈0 formally reject normality.</w:t>
      </w:r>
    </w:p>
    <w:p>
      <w:pPr>
        <w:pStyle w:val="ListBullet"/>
      </w:pPr>
      <w:r>
        <w:rPr>
          <w:b/>
        </w:rPr>
        <w:t xml:space="preserve">The tails are earnings days. </w:t>
      </w:r>
      <w:r>
        <w:t>META's −26% (Feb-2022) and −25% (Oct-2022) and ORCL's +36% (Sep-2025) are single scheduled events that σ-based bands cannot capture.</w:t>
      </w:r>
    </w:p>
    <w:p>
      <w:pPr>
        <w:pStyle w:val="ListBullet"/>
      </w:pPr>
      <w:r>
        <w:rPr>
          <w:b/>
        </w:rPr>
        <w:t xml:space="preserve">Use the bands as a baseline, not a guarantee. </w:t>
      </w:r>
      <w:r>
        <w:t>±2σ is a sensible 'normal-day' range; for risk limits, use empirical percentiles or a fat-tailed model and treat earnings dates separately.</w:t>
      </w:r>
    </w:p>
    <w:p>
      <w:pPr>
        <w:pStyle w:val="Heading1"/>
      </w:pPr>
      <w:r>
        <w:t>2. The assignment and how the tooling is set up</w:t>
      </w:r>
    </w:p>
    <w:p>
      <w:r>
        <w:rPr>
          <w:i w:val="0"/>
          <w:sz w:val="21"/>
        </w:rPr>
        <w:t>The assignment: read the stock-price data from the Excel workbook into Python, calculate log returns, find the 68/95/99% (1, 2, 3 sigma) bounds, build a table and a chart, and output everything to a new Excel workbook. Oscar runs daily META and ORCL; Haas runs daily AAPL and MSFT with the same tool.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93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3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A"/>
          <w:sz w:val="17"/>
        </w:rPr>
        <w:t>Figure 1 — Data flow. Excel remains the front end at both ends; Python does the computation.</w:t>
      </w:r>
    </w:p>
    <w:p>
      <w:pPr>
        <w:pStyle w:val="Heading2"/>
      </w:pPr>
      <w:r>
        <w:t>2.1 Where the data comes from: STOCKHISTORY</w:t>
      </w:r>
    </w:p>
    <w:p>
      <w:r>
        <w:rPr>
          <w:i w:val="0"/>
          <w:sz w:val="21"/>
        </w:rPr>
        <w:t>StockDatabase.xlsx does not store prices: cell Data!A1 contains =STOCKHISTORY(O1, O2, O3, interval, 1, 0, 2, 3, 4, 1, 5), an Excel 365 function that downloads history from Microsoft's market-data provider and ‘spills’ Date, Open, High, Low, Close, Volume. The inputs are:</w:t>
      </w:r>
    </w:p>
    <w:p>
      <w:pPr>
        <w:pStyle w:val="ListBullet"/>
      </w:pPr>
      <w:r>
        <w:rPr>
          <w:b/>
        </w:rPr>
        <w:t xml:space="preserve">O1 — ticker. </w:t>
      </w:r>
      <w:r>
        <w:t>Typing META there refreshes the whole table.</w:t>
      </w:r>
    </w:p>
    <w:p>
      <w:pPr>
        <w:pStyle w:val="ListBullet"/>
      </w:pPr>
      <w:r>
        <w:rPr>
          <w:b/>
        </w:rPr>
        <w:t xml:space="preserve">O4 — timeframe dropdown (DAILY / WEEKLY / MONTHLY), </w:t>
      </w:r>
      <w:r>
        <w:t>mapped through the lookup table R1:S3 to STOCKHISTORY's interval argument 0 / 1 / 2.</w:t>
      </w:r>
    </w:p>
    <w:p>
      <w:pPr>
        <w:pStyle w:val="ListBullet"/>
      </w:pPr>
      <w:r>
        <w:rPr>
          <w:b/>
        </w:rPr>
        <w:t xml:space="preserve">O2 / O3 — start and end date. </w:t>
      </w:r>
      <w:r>
        <w:t>O3 = TODAY(); O2 = EOMONTH(O3, −61 / −121 / −241), i.e. ≈5 years of daily, ≈10 years of weekly, or ≈20 years of monthly bars.</w:t>
      </w:r>
    </w:p>
    <w:p>
      <w:r>
        <w:rPr>
          <w:i w:val="0"/>
          <w:sz w:val="21"/>
        </w:rPr>
        <w:t>Because STOCKHISTORY refreshes asynchronously (Excel shows #BUSY! while downloading), the Python script cannot read a saved file — it must drive a running Excel, change O1/O4, and wait until the table is fully refreshed. That is exactly what xlwings is for.</w:t>
      </w:r>
    </w:p>
    <w:p>
      <w:pPr>
        <w:pStyle w:val="Heading2"/>
      </w:pPr>
      <w:r>
        <w:t>2.2 The tools</w:t>
      </w:r>
    </w:p>
    <w:p>
      <w:pPr>
        <w:pStyle w:val="ListBullet"/>
      </w:pPr>
      <w:r>
        <w:rPr>
          <w:b/>
        </w:rPr>
        <w:t xml:space="preserve">xlwings (desktop). </w:t>
      </w:r>
      <w:r>
        <w:t>A Python library that remote-controls an open Excel (AppleScript on Mac, COM on Windows). We use it to set Data!O1/O4, poll until the spill is stable, and read A:F straight into a pandas DataFrame. It also powers the Run button in TAMID_Control.xlsm (RunPython calls our script).</w:t>
      </w:r>
    </w:p>
    <w:p>
      <w:pPr>
        <w:pStyle w:val="ListBullet"/>
      </w:pPr>
      <w:r>
        <w:rPr>
          <w:b/>
        </w:rPr>
        <w:t xml:space="preserve">xlwings Lite. </w:t>
      </w:r>
      <w:r>
        <w:t>The add-in visible in the Excel side-panel. It runs Python inside Excel itself (WebAssembly), so nothing needs to be installed, but it is sandboxed: it can only edit the workbook it lives in and cannot wait for STOCKHISTORY. We ship a Lite script for a quick single-ticker analysis on a new sheet.</w:t>
      </w:r>
    </w:p>
    <w:p>
      <w:pPr>
        <w:pStyle w:val="ListBullet"/>
      </w:pPr>
      <w:r>
        <w:rPr>
          <w:b/>
        </w:rPr>
        <w:t xml:space="preserve">pandas / numpy / scipy. </w:t>
      </w:r>
      <w:r>
        <w:t>DataFrames, vectorised math, and the statistical functions (skewness, kurtosis, normal CDF, chi-square).</w:t>
      </w:r>
    </w:p>
    <w:p>
      <w:pPr>
        <w:pStyle w:val="ListBullet"/>
      </w:pPr>
      <w:r>
        <w:rPr>
          <w:b/>
        </w:rPr>
        <w:t xml:space="preserve">openpyxl. </w:t>
      </w:r>
      <w:r>
        <w:t>Writes the new .xlsx file: formatted tables, live formulas, native Excel charts, and embedded images.</w:t>
      </w:r>
    </w:p>
    <w:p>
      <w:pPr>
        <w:pStyle w:val="ListBullet"/>
      </w:pPr>
      <w:r>
        <w:rPr>
          <w:b/>
        </w:rPr>
        <w:t xml:space="preserve">matplotlib. </w:t>
      </w:r>
      <w:r>
        <w:t>Publication-quality charts (histogram with normal overlay, price/returns, Q-Q plot).</w:t>
      </w:r>
    </w:p>
    <w:p>
      <w:pPr>
        <w:pStyle w:val="Heading2"/>
      </w:pPr>
      <w:r>
        <w:t>2.3 Design choices</w:t>
      </w:r>
    </w:p>
    <w:p>
      <w:pPr>
        <w:pStyle w:val="ListBullet"/>
      </w:pPr>
      <w:r>
        <w:rPr>
          <w:b/>
        </w:rPr>
        <w:t xml:space="preserve">Control panel in Excel. </w:t>
      </w:r>
      <w:r>
        <w:t>Tickers and timeframe live in yellow cells in TAMID_Control.xlsm, so switching from META/ORCL to AAPL/MSFT weekly is an edit in Excel, not in code.</w:t>
      </w:r>
    </w:p>
    <w:p>
      <w:pPr>
        <w:pStyle w:val="ListBullet"/>
      </w:pPr>
      <w:r>
        <w:rPr>
          <w:b/>
        </w:rPr>
        <w:t xml:space="preserve">Formulas, not pasted numbers. </w:t>
      </w:r>
      <w:r>
        <w:t>Every statistic in the output (e.g. σ = STDEV(G3:G1259)) is an Excel formula pointing at the raw prices. Python computes the same numbers independently and we verified they match to machine precision — a built-in audit trail.</w:t>
      </w:r>
    </w:p>
    <w:p>
      <w:pPr>
        <w:pStyle w:val="ListBullet"/>
      </w:pPr>
      <w:r>
        <w:rPr>
          <w:b/>
        </w:rPr>
        <w:t xml:space="preserve">Non-destructive. </w:t>
      </w:r>
      <w:r>
        <w:t>The script remembers the ticker/timeframe that was in StockDatabase.xlsx and puts it back, and never saves that file.</w:t>
      </w:r>
    </w:p>
    <w:p>
      <w:pPr>
        <w:pStyle w:val="Heading1"/>
      </w:pPr>
      <w:r>
        <w:t>3. Concepts, and why we use each one</w:t>
      </w:r>
    </w:p>
    <w:p>
      <w:pPr>
        <w:pStyle w:val="Heading2"/>
      </w:pPr>
      <w:r>
        <w:t>3.1 Returns instead of prices</w:t>
      </w:r>
    </w:p>
    <w:p>
      <w:r>
        <w:rPr>
          <w:i w:val="0"/>
          <w:sz w:val="21"/>
        </w:rPr>
        <w:t>Prices are not comparable across stocks or over time (a $5 move means something different at $90 and at $790) and they trend, so their ‘distribution’ is meaningless. Returns are unit-free percentages and are roughly stationary — their behaviour is similar across time — which is what makes a distribution useful for forecasting ranges.</w:t>
      </w:r>
    </w:p>
    <w:p>
      <w:pPr>
        <w:pStyle w:val="Heading2"/>
      </w:pPr>
      <w:r>
        <w:t>3.2 Simple vs. logarithmic returns</w:t>
      </w:r>
    </w:p>
    <w:p>
      <w:pPr>
        <w:jc w:val="center"/>
      </w:pPr>
      <w:r>
        <w:rPr>
          <w:rFonts w:ascii="Cambria Math" w:hAnsi="Cambria Math"/>
          <w:i/>
          <w:sz w:val="22"/>
        </w:rPr>
        <w:t>Simple return:  R_t = P_t / P_(t−1) − 1          Log return:  r_t = ln(P_t / P_(t−1)) = ln(1 + R_t)</w:t>
      </w:r>
    </w:p>
    <w:p>
      <w:r>
        <w:rPr>
          <w:i w:val="0"/>
          <w:sz w:val="21"/>
        </w:rPr>
        <w:t>For small moves they are almost identical (ln(1.01) = 0.995%). We use log returns because:</w:t>
      </w:r>
    </w:p>
    <w:p>
      <w:pPr>
        <w:pStyle w:val="ListBullet"/>
      </w:pPr>
      <w:r>
        <w:rPr>
          <w:b/>
        </w:rPr>
        <w:t xml:space="preserve">They add up over time. </w:t>
      </w:r>
      <w:r>
        <w:t>The log return over n days is the sum of the daily log returns: ln(P_n/P_0) = r_1 + r_2 + … + r_n. Sums of random variables are what the Central Limit Theorem and the √t scaling rule are built on. Simple returns compound multiplicatively, which is messy.</w:t>
      </w:r>
    </w:p>
    <w:p>
      <w:pPr>
        <w:pStyle w:val="ListBullet"/>
      </w:pPr>
      <w:r>
        <w:rPr>
          <w:b/>
        </w:rPr>
        <w:t xml:space="preserve">They are symmetric. </w:t>
      </w:r>
      <w:r>
        <w:t>+10% then −10% in simple terms leaves you down 1%; in log terms +0.0953 then −0.0953 brings you exactly back to zero.</w:t>
      </w:r>
    </w:p>
    <w:p>
      <w:pPr>
        <w:pStyle w:val="ListBullet"/>
      </w:pPr>
      <w:r>
        <w:rPr>
          <w:b/>
        </w:rPr>
        <w:t xml:space="preserve">They imply prices that cannot go negative. </w:t>
      </w:r>
      <w:r>
        <w:t>If r is normal, P = P₀·e^r is lognormal: always positive and right-skewed. A normal model on simple returns would allow a −150% move.</w:t>
      </w:r>
    </w:p>
    <w:p>
      <w:pPr>
        <w:pStyle w:val="ListBullet"/>
      </w:pPr>
      <w:r>
        <w:rPr>
          <w:b/>
        </w:rPr>
        <w:t xml:space="preserve">They are the standard in finance. </w:t>
      </w:r>
      <w:r>
        <w:t>Black-Scholes, geometric Brownian motion, and volatility quoted on option desks all assume normally distributed log returns.</w:t>
      </w:r>
    </w:p>
    <w:p>
      <w:pPr>
        <w:pStyle w:val="Heading2"/>
      </w:pPr>
      <w:r>
        <w:t>3.3 The lognormal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08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normal_vs_lognorm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8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A"/>
          <w:sz w:val="17"/>
        </w:rPr>
        <w:t>Figure 2 — If log returns are normal (left), prices are lognormal (right): bounded at zero, with a long right tail.</w:t>
      </w:r>
    </w:p>
    <w:p>
      <w:r>
        <w:rPr>
          <w:i w:val="0"/>
          <w:sz w:val="21"/>
        </w:rPr>
        <w:t>The model (geometric Brownian motion, in discrete form) says each period's log return is an independent draw from the same normal distribution:</w:t>
      </w:r>
    </w:p>
    <w:p>
      <w:pPr>
        <w:jc w:val="center"/>
      </w:pPr>
      <w:r>
        <w:rPr>
          <w:rFonts w:ascii="Cambria Math" w:hAnsi="Cambria Math"/>
          <w:i/>
          <w:sz w:val="22"/>
        </w:rPr>
        <w:t>r_t ~ N(μ, σ²)  independently  ⇒  P_T = P_0 · exp(r_1 + … + r_T),   ln(P_T / P_0) ~ N(μT, σ²T)</w:t>
      </w:r>
    </w:p>
    <w:p>
      <w:r>
        <w:rPr>
          <w:i w:val="0"/>
          <w:sz w:val="21"/>
        </w:rPr>
        <w:t>Two parameters describe everything: the drift μ (average log return per bar) and the volatility σ (standard deviation per bar). We estimate them from history.</w:t>
      </w:r>
    </w:p>
    <w:p>
      <w:pPr>
        <w:pStyle w:val="Heading2"/>
      </w:pPr>
      <w:r>
        <w:t>3.4 Estimating μ and σ</w:t>
      </w:r>
    </w:p>
    <w:p>
      <w:pPr>
        <w:jc w:val="center"/>
      </w:pPr>
      <w:r>
        <w:rPr>
          <w:rFonts w:ascii="Cambria Math" w:hAnsi="Cambria Math"/>
          <w:i/>
          <w:sz w:val="22"/>
        </w:rPr>
        <w:t>μ̂ = (1/n) Σ r_t          σ̂ = √[ Σ (r_t − μ̂)² / (n − 1) ]</w:t>
      </w:r>
    </w:p>
    <w:p>
      <w:pPr>
        <w:pStyle w:val="ListBullet"/>
      </w:pPr>
      <w:r>
        <w:rPr>
          <w:b/>
        </w:rPr>
        <w:t xml:space="preserve">Why n − 1 (sample standard deviation, Excel STDEV / STDEV.S). </w:t>
      </w:r>
      <w:r>
        <w:t>We are estimating a population parameter from a sample; dividing by n−1 (Bessel's correction) removes the downward bias.</w:t>
      </w:r>
    </w:p>
    <w:p>
      <w:pPr>
        <w:pStyle w:val="ListBullet"/>
      </w:pPr>
      <w:r>
        <w:rPr>
          <w:b/>
        </w:rPr>
        <w:t xml:space="preserve">μ is small and noisy; σ is large and reliable. </w:t>
      </w:r>
      <w:r>
        <w:t>META's daily μ is 0.039% against σ of 2.85%. Over one day the drift barely matters, which is why the bounds are almost symmetric around zero. The standard error of μ̂ is σ/√n ≈ 0.080% — larger than μ itself — so the historical drift should not be read as a forecast.</w:t>
      </w:r>
    </w:p>
    <w:p>
      <w:pPr>
        <w:pStyle w:val="Heading2"/>
      </w:pPr>
      <w:r>
        <w:t>3.5 Annualizing: the square-root-of-time rule</w:t>
      </w:r>
    </w:p>
    <w:p>
      <w:pPr>
        <w:jc w:val="center"/>
      </w:pPr>
      <w:r>
        <w:rPr>
          <w:rFonts w:ascii="Cambria Math" w:hAnsi="Cambria Math"/>
          <w:i/>
          <w:sz w:val="22"/>
        </w:rPr>
        <w:t>μ_annual = μ · N          σ_annual = σ · √N          (N = 252 trading days, 52 weeks, or 12 months)</w:t>
      </w:r>
    </w:p>
    <w:p>
      <w:r>
        <w:rPr>
          <w:i w:val="0"/>
          <w:sz w:val="21"/>
        </w:rPr>
        <w:t>Means add linearly over time, but for independent returns it is variances that add, so standard deviation grows with √time. This is how the tool compares daily, weekly and monthly runs on the same scale, and how the multi-horizon price table in the workbook is built. It relies on returns being independent; we check that in section 5.4.</w:t>
      </w:r>
    </w:p>
    <w:p>
      <w:pPr>
        <w:pStyle w:val="Heading2"/>
      </w:pPr>
      <w:r>
        <w:t>3.6 Sigma bounds and the 68-95-99.7 rule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959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empirical_r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9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A"/>
          <w:sz w:val="17"/>
        </w:rPr>
        <w:t>Figure 3 — For a normal variable, the probability of landing within k standard deviations of the mean is 68.27% (k=1), 95.45% (k=2), 99.73% (k=3).</w:t>
      </w:r>
    </w:p>
    <w:p>
      <w:r>
        <w:rPr>
          <w:i w:val="0"/>
          <w:sz w:val="21"/>
        </w:rPr>
        <w:t>The z-score z = (r − μ)/σ says how many standard deviations a move was. The bounds are computed in log space and then converted back to a percentage move and a price using the last close P₀:</w:t>
      </w:r>
    </w:p>
    <w:p>
      <w:pPr>
        <w:jc w:val="center"/>
      </w:pPr>
      <w:r>
        <w:rPr>
          <w:rFonts w:ascii="Cambria Math" w:hAnsi="Cambria Math"/>
          <w:i/>
          <w:sz w:val="22"/>
        </w:rPr>
        <w:t>log bounds: μ ± kσ        % move: e^(μ ± kσ) − 1        price: P₀ · e^(μ ± kσ)</w:t>
      </w:r>
    </w:p>
    <w:p>
      <w:r>
        <w:rPr>
          <w:i w:val="0"/>
          <w:sz w:val="21"/>
        </w:rPr>
        <w:t>Note the asymmetry this creates: for META the 3σ band is -8.16% / +8.97%. The upside is larger than the downside because a lognormal price can rise without limit but can fall at most 100%. (The request mentioned ‘99%’; strictly, 3σ is 99.73% and the exact 99% band would be ±2.576σ.)</w:t>
      </w:r>
    </w:p>
    <w:p>
      <w:pPr>
        <w:pStyle w:val="Heading2"/>
      </w:pPr>
      <w:r>
        <w:t>3.7 Longer horizons</w:t>
      </w:r>
    </w:p>
    <w:p>
      <w:pPr>
        <w:jc w:val="center"/>
      </w:pPr>
      <w:r>
        <w:rPr>
          <w:rFonts w:ascii="Cambria Math" w:hAnsi="Cambria Math"/>
          <w:i/>
          <w:sz w:val="22"/>
        </w:rPr>
        <w:t>Price range over h bars:  P₀ · exp(μh ± kσ√h)</w:t>
      </w:r>
    </w:p>
    <w:p>
      <w:r>
        <w:rPr>
          <w:i w:val="0"/>
          <w:sz w:val="21"/>
        </w:rPr>
        <w:t>Because log returns add, the h-day distribution is N(μh, σ²h). The workbook tabulates 1-day, 1-week, 1-month, 1-quarter and 1-year ranges. The ‘median price’ P₀·e^(μh) is the 50th percentile; the mean of a lognormal is higher, P₀·e^(μh + σ²h/2), again because of the right skew.</w:t>
      </w:r>
    </w:p>
    <w:p>
      <w:pPr>
        <w:pStyle w:val="Heading2"/>
      </w:pPr>
      <w:r>
        <w:t>3.8 Testing whether returns are actually normal</w:t>
      </w:r>
    </w:p>
    <w:p>
      <w:pPr>
        <w:pStyle w:val="ListBullet"/>
      </w:pPr>
      <w:r>
        <w:rPr>
          <w:b/>
        </w:rPr>
        <w:t xml:space="preserve">Empirical coverage. </w:t>
      </w:r>
      <w:r>
        <w:t>Count the share of historical days that really fell inside ±kσ and compare with 68.27/95.45/99.73%. The simplest and most intuitive test.</w:t>
      </w:r>
    </w:p>
    <w:p>
      <w:pPr>
        <w:pStyle w:val="ListBullet"/>
      </w:pPr>
      <w:r>
        <w:rPr>
          <w:b/>
        </w:rPr>
        <w:t xml:space="preserve">Histogram vs. normal curve. </w:t>
      </w:r>
      <w:r>
        <w:t>Overlay the fitted N(μ, σ²) density on the histogram. The workbook also tabulates actual vs. expected counts per bin.</w:t>
      </w:r>
    </w:p>
    <w:p>
      <w:pPr>
        <w:pStyle w:val="ListBullet"/>
      </w:pPr>
      <w:r>
        <w:rPr>
          <w:b/>
        </w:rPr>
        <w:t xml:space="preserve">Skewness </w:t>
      </w:r>
      <w:r>
        <w:t>(third standardized moment) measures asymmetry: negative means the big moves are mostly down.</w:t>
      </w:r>
    </w:p>
    <w:p>
      <w:pPr>
        <w:pStyle w:val="ListBullet"/>
      </w:pPr>
      <w:r>
        <w:rPr>
          <w:b/>
        </w:rPr>
        <w:t xml:space="preserve">Excess kurtosis </w:t>
      </w:r>
      <w:r>
        <w:t>(fourth moment − 3) measures tail heaviness. Normal = 0. Positive (‘leptokurtic’) means a taller, narrower peak AND fatter tails — more quiet days and more extreme days than a normal predicts.</w:t>
      </w:r>
    </w:p>
    <w:p>
      <w:pPr>
        <w:pStyle w:val="ListBullet"/>
      </w:pPr>
      <w:r>
        <w:rPr>
          <w:b/>
        </w:rPr>
        <w:t xml:space="preserve">Jarque-Bera test. </w:t>
      </w:r>
      <w:r>
        <w:t>JB = n/6 · (S² + K²/4) combines skewness S and excess kurtosis K; under normality it follows a χ² distribution with 2 degrees of freedom. A p-value below 0.05 rejects normality.</w:t>
      </w:r>
    </w:p>
    <w:p>
      <w:pPr>
        <w:pStyle w:val="ListBullet"/>
      </w:pPr>
      <w:r>
        <w:rPr>
          <w:b/>
        </w:rPr>
        <w:t xml:space="preserve">Q-Q plot. </w:t>
      </w:r>
      <w:r>
        <w:t>Plots sorted actual z-scores against the z-scores a normal distribution would produce. A normal sample lies on the 45° line; an S-shape bending away at both ends is the visual fingerprint of fat tails.</w:t>
      </w:r>
    </w:p>
    <w:p>
      <w:pPr>
        <w:pStyle w:val="Heading1"/>
      </w:pPr>
      <w:r>
        <w:t>4. Methodology, step by 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691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Implementation (Python → Excel formula in output)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6"/>
              </w:rPr>
              <w:t>Select ticker &amp; timeframe</w:t>
            </w:r>
          </w:p>
        </w:tc>
        <w:tc>
          <w:tcPr>
            <w:tcW w:type="dxa" w:w="6912"/>
          </w:tcPr>
          <w:p>
            <w:pPr>
              <w:jc w:val="right"/>
            </w:pPr>
            <w:r/>
            <w:r>
              <w:rPr>
                <w:sz w:val="16"/>
              </w:rPr>
              <w:t>TAMID_Control.xlsm → xlwings writes Data!O4 then Data!O1</w:t>
            </w:r>
          </w:p>
        </w:tc>
      </w:tr>
      <w:tr>
        <w:tc>
          <w:tcPr>
            <w:tcW w:type="dxa" w:w="432"/>
            <w:shd w:val="clear" w:color="auto" w:fill="F3F6FA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304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Wait for data</w:t>
            </w:r>
          </w:p>
        </w:tc>
        <w:tc>
          <w:tcPr>
            <w:tcW w:type="dxa" w:w="6912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Poll A1:F2 and the last row every 1.5 s until the table has changed and is stable twice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6"/>
              </w:rPr>
              <w:t>Read &amp; clean</w:t>
            </w:r>
          </w:p>
        </w:tc>
        <w:tc>
          <w:tcPr>
            <w:tcW w:type="dxa" w:w="6912"/>
          </w:tcPr>
          <w:p>
            <w:pPr>
              <w:jc w:val="right"/>
            </w:pPr>
            <w:r/>
            <w:r>
              <w:rPr>
                <w:sz w:val="16"/>
              </w:rPr>
              <w:t>Read A1:F(last) into pandas; coerce types, drop blanks/non-positive prices, sort by date</w:t>
            </w:r>
          </w:p>
        </w:tc>
      </w:tr>
      <w:tr>
        <w:tc>
          <w:tcPr>
            <w:tcW w:type="dxa" w:w="432"/>
            <w:shd w:val="clear" w:color="auto" w:fill="F3F6FA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304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Log returns</w:t>
            </w:r>
          </w:p>
        </w:tc>
        <w:tc>
          <w:tcPr>
            <w:tcW w:type="dxa" w:w="6912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np.log(Close / Close.shift(1))  →  =LN(E3/E2)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6"/>
              </w:rPr>
              <w:t>μ, σ, moments</w:t>
            </w:r>
          </w:p>
        </w:tc>
        <w:tc>
          <w:tcPr>
            <w:tcW w:type="dxa" w:w="6912"/>
          </w:tcPr>
          <w:p>
            <w:pPr>
              <w:jc w:val="right"/>
            </w:pPr>
            <w:r/>
            <w:r>
              <w:rPr>
                <w:sz w:val="16"/>
              </w:rPr>
              <w:t>mean, std(ddof=1), skew, kurtosis  →  =AVERAGE, =STDEV, =SKEW, =KURT</w:t>
            </w:r>
          </w:p>
        </w:tc>
      </w:tr>
      <w:tr>
        <w:tc>
          <w:tcPr>
            <w:tcW w:type="dxa" w:w="432"/>
            <w:shd w:val="clear" w:color="auto" w:fill="F3F6FA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304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Sigma bounds</w:t>
            </w:r>
          </w:p>
        </w:tc>
        <w:tc>
          <w:tcPr>
            <w:tcW w:type="dxa" w:w="6912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μ ± kσ; e^x − 1; P₀·e^x  →  =EXP(D29)−1, =P₀*EXP(D29)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6"/>
              </w:rPr>
              <w:t>Empirical coverage</w:t>
            </w:r>
          </w:p>
        </w:tc>
        <w:tc>
          <w:tcPr>
            <w:tcW w:type="dxa" w:w="6912"/>
          </w:tcPr>
          <w:p>
            <w:pPr>
              <w:jc w:val="right"/>
            </w:pPr>
            <w:r/>
            <w:r>
              <w:rPr>
                <w:sz w:val="16"/>
              </w:rPr>
              <w:t>share with lo ≤ r ≤ hi  →  =COUNTIFS(r, "&gt;="&amp;lo, r, "&lt;="&amp;hi)/n</w:t>
            </w:r>
          </w:p>
        </w:tc>
      </w:tr>
      <w:tr>
        <w:tc>
          <w:tcPr>
            <w:tcW w:type="dxa" w:w="432"/>
            <w:shd w:val="clear" w:color="auto" w:fill="F3F6FA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304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Normality</w:t>
            </w:r>
          </w:p>
        </w:tc>
        <w:tc>
          <w:tcPr>
            <w:tcW w:type="dxa" w:w="6912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Jarque-Bera, percentiles vs NORMSINV, 32-bin histogram vs NORMDIST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6"/>
              </w:rPr>
              <w:t>Output</w:t>
            </w:r>
          </w:p>
        </w:tc>
        <w:tc>
          <w:tcPr>
            <w:tcW w:type="dxa" w:w="6912"/>
          </w:tcPr>
          <w:p>
            <w:pPr>
              <w:jc w:val="right"/>
            </w:pPr>
            <w:r/>
            <w:r>
              <w:rPr>
                <w:sz w:val="16"/>
              </w:rPr>
              <w:t>openpyxl workbook (Summary, META, META_Data, ORCL, ORCL_Data) + charts; Excel recalculates</w:t>
            </w:r>
          </w:p>
        </w:tc>
      </w:tr>
      <w:tr>
        <w:tc>
          <w:tcPr>
            <w:tcW w:type="dxa" w:w="432"/>
            <w:shd w:val="clear" w:color="auto" w:fill="F3F6FA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304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Verify</w:t>
            </w:r>
          </w:p>
        </w:tc>
        <w:tc>
          <w:tcPr>
            <w:tcW w:type="dxa" w:w="6912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Excel-computed μ, σ, skew, kurtosis, coverage compared with Python: identical</w:t>
            </w:r>
          </w:p>
        </w:tc>
      </w:tr>
    </w:tbl>
    <w:p/>
    <w:p>
      <w:r>
        <w:rPr>
          <w:i w:val="0"/>
          <w:color w:val="5F6B7A"/>
          <w:sz w:val="19"/>
        </w:rPr>
        <w:t>Data notes: STOCKHISTORY's Close is split-adjusted but not dividend-adjusted. Dividends are tiny for META and ORCL (&lt;1.5% a year), so the effect on daily σ is negligible, but for high-yield stocks total-return data would be more accurate. The first bar has no return, so n = number of prices − 1.</w:t>
      </w:r>
    </w:p>
    <w:p>
      <w:pPr>
        <w:pStyle w:val="Heading1"/>
      </w:pPr>
      <w:r>
        <w:t>5. Results</w:t>
      </w:r>
    </w:p>
    <w:p>
      <w:r>
        <w:rPr>
          <w:i w:val="0"/>
          <w:color w:val="5F6B7A"/>
          <w:sz w:val="19"/>
        </w:rPr>
        <w:t>Run date September 14, 2026. Data: 1,259 daily closes from 08/31/2021 to 09/04/2026. Every figure below is reproduced as a live formula in output/LogReturns_DAILY_META_ORCL_2026-09-14.xlsx.</w:t>
      </w:r>
    </w:p>
    <w:p>
      <w:pPr>
        <w:pStyle w:val="Heading2"/>
      </w:pPr>
      <w:r>
        <w:t>5.1 META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Statistic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Statistic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Mean log return μ (daily)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0.0386%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7"/>
              </w:rPr>
              <w:t>Annualized drift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9.73%</w:t>
            </w:r>
          </w:p>
        </w:tc>
      </w:tr>
      <w:tr>
        <w:tc>
          <w:tcPr>
            <w:tcW w:type="dxa" w:w="2736"/>
            <w:shd w:val="clear" w:color="auto" w:fill="F3F6FA"/>
          </w:tcPr>
          <w:p>
            <w:r/>
            <w:r>
              <w:rPr>
                <w:sz w:val="17"/>
              </w:rPr>
              <w:t>Std. deviation σ (daily)</w:t>
            </w:r>
          </w:p>
        </w:tc>
        <w:tc>
          <w:tcPr>
            <w:tcW w:type="dxa" w:w="1728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2.8505%</w:t>
            </w:r>
          </w:p>
        </w:tc>
        <w:tc>
          <w:tcPr>
            <w:tcW w:type="dxa" w:w="273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Annualized volatility</w:t>
            </w:r>
          </w:p>
        </w:tc>
        <w:tc>
          <w:tcPr>
            <w:tcW w:type="dxa" w:w="1728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45.25%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Worst day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-30.64%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7"/>
              </w:rPr>
              <w:t>Best day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20.93%</w:t>
            </w:r>
          </w:p>
        </w:tc>
      </w:tr>
      <w:tr>
        <w:tc>
          <w:tcPr>
            <w:tcW w:type="dxa" w:w="2736"/>
            <w:shd w:val="clear" w:color="auto" w:fill="F3F6FA"/>
          </w:tcPr>
          <w:p>
            <w:r/>
            <w:r>
              <w:rPr>
                <w:sz w:val="17"/>
              </w:rPr>
              <w:t>Skewness</w:t>
            </w:r>
          </w:p>
        </w:tc>
        <w:tc>
          <w:tcPr>
            <w:tcW w:type="dxa" w:w="1728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-1.096</w:t>
            </w:r>
          </w:p>
        </w:tc>
        <w:tc>
          <w:tcPr>
            <w:tcW w:type="dxa" w:w="273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Excess kurtosis</w:t>
            </w:r>
          </w:p>
        </w:tc>
        <w:tc>
          <w:tcPr>
            <w:tcW w:type="dxa" w:w="1728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23.41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Jarque-Bera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28,986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7"/>
              </w:rPr>
              <w:t>p-value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0.0e+00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Band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Normal prob.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Down move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Up move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Price low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Price high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Actual inside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Days outside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±1σ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68.27%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-2.77%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+2.93%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$599.67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$634.85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81.96%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6"/>
              </w:rPr>
              <w:t>227 (exp. 399)</w:t>
            </w:r>
          </w:p>
        </w:tc>
      </w:tr>
      <w:tr>
        <w:tc>
          <w:tcPr>
            <w:tcW w:type="dxa" w:w="720"/>
            <w:shd w:val="clear" w:color="auto" w:fill="F3F6FA"/>
          </w:tcPr>
          <w:p>
            <w:r/>
            <w:r>
              <w:rPr>
                <w:sz w:val="16"/>
              </w:rPr>
              <w:t>±2σ</w:t>
            </w:r>
          </w:p>
        </w:tc>
        <w:tc>
          <w:tcPr>
            <w:tcW w:type="dxa" w:w="1224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95.45%</w:t>
            </w:r>
          </w:p>
        </w:tc>
        <w:tc>
          <w:tcPr>
            <w:tcW w:type="dxa" w:w="1152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-5.51%</w:t>
            </w:r>
          </w:p>
        </w:tc>
        <w:tc>
          <w:tcPr>
            <w:tcW w:type="dxa" w:w="1152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+5.91%</w:t>
            </w:r>
          </w:p>
        </w:tc>
        <w:tc>
          <w:tcPr>
            <w:tcW w:type="dxa" w:w="1224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$582.82</w:t>
            </w:r>
          </w:p>
        </w:tc>
        <w:tc>
          <w:tcPr>
            <w:tcW w:type="dxa" w:w="1224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$653.21</w:t>
            </w:r>
          </w:p>
        </w:tc>
        <w:tc>
          <w:tcPr>
            <w:tcW w:type="dxa" w:w="1224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96.34%</w:t>
            </w:r>
          </w:p>
        </w:tc>
        <w:tc>
          <w:tcPr>
            <w:tcW w:type="dxa" w:w="1440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46 (exp. 57)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±3σ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99.73%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-8.16%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+8.97%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$566.44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$672.09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98.81%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6"/>
              </w:rPr>
              <w:t>15 (exp. 3)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1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A"/>
          <w:sz w:val="17"/>
        </w:rPr>
        <w:t>Figure — META daily log-return histogram with fitted normal curve and ±1/2/3σ 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30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price_retur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0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A"/>
          <w:sz w:val="17"/>
        </w:rPr>
        <w:t>Figure — META close price and daily log returns; red bars are beyond ±2σ.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Largest moves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Close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Log return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Simple return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σ multiple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Feb 03, 2022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$237.76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-30.64%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-26.39%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-10.8σ</w:t>
            </w:r>
          </w:p>
        </w:tc>
      </w:tr>
      <w:tr>
        <w:tc>
          <w:tcPr>
            <w:tcW w:type="dxa" w:w="2160"/>
            <w:shd w:val="clear" w:color="auto" w:fill="F3F6FA"/>
          </w:tcPr>
          <w:p>
            <w:r/>
            <w:r>
              <w:rPr>
                <w:sz w:val="17"/>
              </w:rPr>
              <w:t>Oct 27, 2022</w:t>
            </w:r>
          </w:p>
        </w:tc>
        <w:tc>
          <w:tcPr>
            <w:tcW w:type="dxa" w:w="144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$97.94</w:t>
            </w:r>
          </w:p>
        </w:tc>
        <w:tc>
          <w:tcPr>
            <w:tcW w:type="dxa" w:w="158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-28.18%</w:t>
            </w:r>
          </w:p>
        </w:tc>
        <w:tc>
          <w:tcPr>
            <w:tcW w:type="dxa" w:w="158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-24.56%</w:t>
            </w:r>
          </w:p>
        </w:tc>
        <w:tc>
          <w:tcPr>
            <w:tcW w:type="dxa" w:w="144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-9.9σ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Feb 02, 2023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$188.77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+20.93%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+23.28%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+7.3σ</w:t>
            </w:r>
          </w:p>
        </w:tc>
      </w:tr>
      <w:tr>
        <w:tc>
          <w:tcPr>
            <w:tcW w:type="dxa" w:w="2160"/>
            <w:shd w:val="clear" w:color="auto" w:fill="F3F6FA"/>
          </w:tcPr>
          <w:p>
            <w:r/>
            <w:r>
              <w:rPr>
                <w:sz w:val="17"/>
              </w:rPr>
              <w:t>Feb 02, 2024</w:t>
            </w:r>
          </w:p>
        </w:tc>
        <w:tc>
          <w:tcPr>
            <w:tcW w:type="dxa" w:w="144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$474.99</w:t>
            </w:r>
          </w:p>
        </w:tc>
        <w:tc>
          <w:tcPr>
            <w:tcW w:type="dxa" w:w="158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+18.50%</w:t>
            </w:r>
          </w:p>
        </w:tc>
        <w:tc>
          <w:tcPr>
            <w:tcW w:type="dxa" w:w="158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+20.32%</w:t>
            </w:r>
          </w:p>
        </w:tc>
        <w:tc>
          <w:tcPr>
            <w:tcW w:type="dxa" w:w="144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+6.5σ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Apr 28, 2022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$205.73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+16.21%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+17.59%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+5.7σ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Median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1σ range (68%)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2σ range (95%)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3σ range (99.7%)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 day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$617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7"/>
              </w:rPr>
              <w:t>$600 – $635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7"/>
              </w:rPr>
              <w:t>$583 – $653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7"/>
              </w:rPr>
              <w:t>$566 – $672</w:t>
            </w:r>
          </w:p>
        </w:tc>
      </w:tr>
      <w:tr>
        <w:tc>
          <w:tcPr>
            <w:tcW w:type="dxa" w:w="1440"/>
            <w:shd w:val="clear" w:color="auto" w:fill="F3F6FA"/>
          </w:tcPr>
          <w:p>
            <w:r/>
            <w:r>
              <w:rPr>
                <w:sz w:val="17"/>
              </w:rPr>
              <w:t>1 week</w:t>
            </w:r>
          </w:p>
        </w:tc>
        <w:tc>
          <w:tcPr>
            <w:tcW w:type="dxa" w:w="129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$618</w:t>
            </w:r>
          </w:p>
        </w:tc>
        <w:tc>
          <w:tcPr>
            <w:tcW w:type="dxa" w:w="216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$580 – $659</w:t>
            </w:r>
          </w:p>
        </w:tc>
        <w:tc>
          <w:tcPr>
            <w:tcW w:type="dxa" w:w="216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$544 – $702</w:t>
            </w:r>
          </w:p>
        </w:tc>
        <w:tc>
          <w:tcPr>
            <w:tcW w:type="dxa" w:w="230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$510 – $748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 month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$622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7"/>
              </w:rPr>
              <w:t>$546 – $709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7"/>
              </w:rPr>
              <w:t>$479 – $807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7"/>
              </w:rPr>
              <w:t>$420 – $920</w:t>
            </w:r>
          </w:p>
        </w:tc>
      </w:tr>
      <w:tr>
        <w:tc>
          <w:tcPr>
            <w:tcW w:type="dxa" w:w="1440"/>
            <w:shd w:val="clear" w:color="auto" w:fill="F3F6FA"/>
          </w:tcPr>
          <w:p>
            <w:r/>
            <w:r>
              <w:rPr>
                <w:sz w:val="17"/>
              </w:rPr>
              <w:t>1 quarter</w:t>
            </w:r>
          </w:p>
        </w:tc>
        <w:tc>
          <w:tcPr>
            <w:tcW w:type="dxa" w:w="129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$632</w:t>
            </w:r>
          </w:p>
        </w:tc>
        <w:tc>
          <w:tcPr>
            <w:tcW w:type="dxa" w:w="216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$504 – $792</w:t>
            </w:r>
          </w:p>
        </w:tc>
        <w:tc>
          <w:tcPr>
            <w:tcW w:type="dxa" w:w="216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$402 – $994</w:t>
            </w:r>
          </w:p>
        </w:tc>
        <w:tc>
          <w:tcPr>
            <w:tcW w:type="dxa" w:w="230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$321 – $1,246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 year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$680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7"/>
              </w:rPr>
              <w:t>$432 – $1,069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7"/>
              </w:rPr>
              <w:t>$275 – $1,681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7"/>
              </w:rPr>
              <w:t>$175 – $2,642</w:t>
            </w:r>
          </w:p>
        </w:tc>
      </w:tr>
    </w:tbl>
    <w:p/>
    <w:p>
      <w:pPr>
        <w:pStyle w:val="Heading2"/>
      </w:pPr>
      <w:r>
        <w:t>5.2 ORCL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Statistic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Statistic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Mean log return μ (daily)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0.0459%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7"/>
              </w:rPr>
              <w:t>Annualized drift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11.57%</w:t>
            </w:r>
          </w:p>
        </w:tc>
      </w:tr>
      <w:tr>
        <w:tc>
          <w:tcPr>
            <w:tcW w:type="dxa" w:w="2736"/>
            <w:shd w:val="clear" w:color="auto" w:fill="F3F6FA"/>
          </w:tcPr>
          <w:p>
            <w:r/>
            <w:r>
              <w:rPr>
                <w:sz w:val="17"/>
              </w:rPr>
              <w:t>Std. deviation σ (daily)</w:t>
            </w:r>
          </w:p>
        </w:tc>
        <w:tc>
          <w:tcPr>
            <w:tcW w:type="dxa" w:w="1728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2.6864%</w:t>
            </w:r>
          </w:p>
        </w:tc>
        <w:tc>
          <w:tcPr>
            <w:tcW w:type="dxa" w:w="273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Annualized volatility</w:t>
            </w:r>
          </w:p>
        </w:tc>
        <w:tc>
          <w:tcPr>
            <w:tcW w:type="dxa" w:w="1728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42.65%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Worst day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-14.84%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7"/>
              </w:rPr>
              <w:t>Best day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30.71%</w:t>
            </w:r>
          </w:p>
        </w:tc>
      </w:tr>
      <w:tr>
        <w:tc>
          <w:tcPr>
            <w:tcW w:type="dxa" w:w="2736"/>
            <w:shd w:val="clear" w:color="auto" w:fill="F3F6FA"/>
          </w:tcPr>
          <w:p>
            <w:r/>
            <w:r>
              <w:rPr>
                <w:sz w:val="17"/>
              </w:rPr>
              <w:t>Skewness</w:t>
            </w:r>
          </w:p>
        </w:tc>
        <w:tc>
          <w:tcPr>
            <w:tcW w:type="dxa" w:w="1728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+1.250</w:t>
            </w:r>
          </w:p>
        </w:tc>
        <w:tc>
          <w:tcPr>
            <w:tcW w:type="dxa" w:w="273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Excess kurtosis</w:t>
            </w:r>
          </w:p>
        </w:tc>
        <w:tc>
          <w:tcPr>
            <w:tcW w:type="dxa" w:w="1728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17.87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Jarque-Bera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17,062</w:t>
            </w:r>
          </w:p>
        </w:tc>
        <w:tc>
          <w:tcPr>
            <w:tcW w:type="dxa" w:w="2736"/>
          </w:tcPr>
          <w:p>
            <w:pPr>
              <w:jc w:val="right"/>
            </w:pPr>
            <w:r/>
            <w:r>
              <w:rPr>
                <w:sz w:val="17"/>
              </w:rPr>
              <w:t>p-value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sz w:val="17"/>
              </w:rPr>
              <w:t>0.0e+00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Band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Normal prob.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Down move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Up move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Price low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Price high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Actual inside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Days outside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±1σ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68.27%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-2.61%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+2.77%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$154.64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$163.18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81.40%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6"/>
              </w:rPr>
              <w:t>234 (exp. 399)</w:t>
            </w:r>
          </w:p>
        </w:tc>
      </w:tr>
      <w:tr>
        <w:tc>
          <w:tcPr>
            <w:tcW w:type="dxa" w:w="720"/>
            <w:shd w:val="clear" w:color="auto" w:fill="F3F6FA"/>
          </w:tcPr>
          <w:p>
            <w:r/>
            <w:r>
              <w:rPr>
                <w:sz w:val="16"/>
              </w:rPr>
              <w:t>±2σ</w:t>
            </w:r>
          </w:p>
        </w:tc>
        <w:tc>
          <w:tcPr>
            <w:tcW w:type="dxa" w:w="1224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95.45%</w:t>
            </w:r>
          </w:p>
        </w:tc>
        <w:tc>
          <w:tcPr>
            <w:tcW w:type="dxa" w:w="1152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-5.19%</w:t>
            </w:r>
          </w:p>
        </w:tc>
        <w:tc>
          <w:tcPr>
            <w:tcW w:type="dxa" w:w="1152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+5.57%</w:t>
            </w:r>
          </w:p>
        </w:tc>
        <w:tc>
          <w:tcPr>
            <w:tcW w:type="dxa" w:w="1224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$150.54</w:t>
            </w:r>
          </w:p>
        </w:tc>
        <w:tc>
          <w:tcPr>
            <w:tcW w:type="dxa" w:w="1224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$167.62</w:t>
            </w:r>
          </w:p>
        </w:tc>
        <w:tc>
          <w:tcPr>
            <w:tcW w:type="dxa" w:w="1224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95.39%</w:t>
            </w:r>
          </w:p>
        </w:tc>
        <w:tc>
          <w:tcPr>
            <w:tcW w:type="dxa" w:w="1440"/>
            <w:shd w:val="clear" w:color="auto" w:fill="F3F6FA"/>
          </w:tcPr>
          <w:p>
            <w:pPr>
              <w:jc w:val="right"/>
            </w:pPr>
            <w:r/>
            <w:r>
              <w:rPr>
                <w:sz w:val="16"/>
              </w:rPr>
              <w:t>58 (exp. 57)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±3σ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99.73%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-7.70%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sz w:val="16"/>
              </w:rPr>
              <w:t>+8.44%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$146.55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$172.19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sz w:val="16"/>
              </w:rPr>
              <w:t>98.41%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6"/>
              </w:rPr>
              <w:t>20 (exp. 3)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14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CL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A"/>
          <w:sz w:val="17"/>
        </w:rPr>
        <w:t>Figure — ORCL daily log-return histogram with fitted normal curve and ±1/2/3σ 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305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CL_price_retur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0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A"/>
          <w:sz w:val="17"/>
        </w:rPr>
        <w:t>Figure — ORCL close price and daily log returns; red bars are beyond ±2σ.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Largest moves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Close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Log return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Simple return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σ multiple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Sep 10, 2025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$328.33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+30.71%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+35.95%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+11.4σ</w:t>
            </w:r>
          </w:p>
        </w:tc>
      </w:tr>
      <w:tr>
        <w:tc>
          <w:tcPr>
            <w:tcW w:type="dxa" w:w="2160"/>
            <w:shd w:val="clear" w:color="auto" w:fill="F3F6FA"/>
          </w:tcPr>
          <w:p>
            <w:r/>
            <w:r>
              <w:rPr>
                <w:sz w:val="17"/>
              </w:rPr>
              <w:t>Jan 27, 2025</w:t>
            </w:r>
          </w:p>
        </w:tc>
        <w:tc>
          <w:tcPr>
            <w:tcW w:type="dxa" w:w="144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$158.28</w:t>
            </w:r>
          </w:p>
        </w:tc>
        <w:tc>
          <w:tcPr>
            <w:tcW w:type="dxa" w:w="158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-14.84%</w:t>
            </w:r>
          </w:p>
        </w:tc>
        <w:tc>
          <w:tcPr>
            <w:tcW w:type="dxa" w:w="158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-13.79%</w:t>
            </w:r>
          </w:p>
        </w:tc>
        <w:tc>
          <w:tcPr>
            <w:tcW w:type="dxa" w:w="144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-5.5σ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Dec 10, 2021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$102.63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+14.51%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+15.61%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+5.4σ</w:t>
            </w:r>
          </w:p>
        </w:tc>
      </w:tr>
      <w:tr>
        <w:tc>
          <w:tcPr>
            <w:tcW w:type="dxa" w:w="2160"/>
            <w:shd w:val="clear" w:color="auto" w:fill="F3F6FA"/>
          </w:tcPr>
          <w:p>
            <w:r/>
            <w:r>
              <w:rPr>
                <w:sz w:val="17"/>
              </w:rPr>
              <w:t>Sep 12, 2023</w:t>
            </w:r>
          </w:p>
        </w:tc>
        <w:tc>
          <w:tcPr>
            <w:tcW w:type="dxa" w:w="144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$109.61</w:t>
            </w:r>
          </w:p>
        </w:tc>
        <w:tc>
          <w:tcPr>
            <w:tcW w:type="dxa" w:w="158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-14.50%</w:t>
            </w:r>
          </w:p>
        </w:tc>
        <w:tc>
          <w:tcPr>
            <w:tcW w:type="dxa" w:w="158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-13.50%</w:t>
            </w:r>
          </w:p>
        </w:tc>
        <w:tc>
          <w:tcPr>
            <w:tcW w:type="dxa" w:w="144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-5.4σ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Dec 12, 2023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$100.81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-13.28%</w:t>
            </w:r>
          </w:p>
        </w:tc>
        <w:tc>
          <w:tcPr>
            <w:tcW w:type="dxa" w:w="1584"/>
          </w:tcPr>
          <w:p>
            <w:pPr>
              <w:jc w:val="right"/>
            </w:pPr>
            <w:r/>
            <w:r>
              <w:rPr>
                <w:sz w:val="17"/>
              </w:rPr>
              <w:t>-12.44%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7"/>
              </w:rPr>
              <w:t>-5.0σ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Median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1σ range (68%)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2σ range (95%)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3σ range (99.7%)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 day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$159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7"/>
              </w:rPr>
              <w:t>$155 – $163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7"/>
              </w:rPr>
              <w:t>$151 – $168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7"/>
              </w:rPr>
              <w:t>$147 – $172</w:t>
            </w:r>
          </w:p>
        </w:tc>
      </w:tr>
      <w:tr>
        <w:tc>
          <w:tcPr>
            <w:tcW w:type="dxa" w:w="1440"/>
            <w:shd w:val="clear" w:color="auto" w:fill="F3F6FA"/>
          </w:tcPr>
          <w:p>
            <w:r/>
            <w:r>
              <w:rPr>
                <w:sz w:val="17"/>
              </w:rPr>
              <w:t>1 week</w:t>
            </w:r>
          </w:p>
        </w:tc>
        <w:tc>
          <w:tcPr>
            <w:tcW w:type="dxa" w:w="129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$159</w:t>
            </w:r>
          </w:p>
        </w:tc>
        <w:tc>
          <w:tcPr>
            <w:tcW w:type="dxa" w:w="216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$150 – $169</w:t>
            </w:r>
          </w:p>
        </w:tc>
        <w:tc>
          <w:tcPr>
            <w:tcW w:type="dxa" w:w="216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$141 – $179</w:t>
            </w:r>
          </w:p>
        </w:tc>
        <w:tc>
          <w:tcPr>
            <w:tcW w:type="dxa" w:w="230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$133 – $191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 month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$160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7"/>
              </w:rPr>
              <w:t>$142 – $181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7"/>
              </w:rPr>
              <w:t>$125 – $205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7"/>
              </w:rPr>
              <w:t>$111 – $232</w:t>
            </w:r>
          </w:p>
        </w:tc>
      </w:tr>
      <w:tr>
        <w:tc>
          <w:tcPr>
            <w:tcW w:type="dxa" w:w="1440"/>
            <w:shd w:val="clear" w:color="auto" w:fill="F3F6FA"/>
          </w:tcPr>
          <w:p>
            <w:r/>
            <w:r>
              <w:rPr>
                <w:sz w:val="17"/>
              </w:rPr>
              <w:t>1 quarter</w:t>
            </w:r>
          </w:p>
        </w:tc>
        <w:tc>
          <w:tcPr>
            <w:tcW w:type="dxa" w:w="129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$163</w:t>
            </w:r>
          </w:p>
        </w:tc>
        <w:tc>
          <w:tcPr>
            <w:tcW w:type="dxa" w:w="216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$132 – $202</w:t>
            </w:r>
          </w:p>
        </w:tc>
        <w:tc>
          <w:tcPr>
            <w:tcW w:type="dxa" w:w="2160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$107 – $250</w:t>
            </w:r>
          </w:p>
        </w:tc>
        <w:tc>
          <w:tcPr>
            <w:tcW w:type="dxa" w:w="230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$86 – $310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 year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sz w:val="17"/>
              </w:rPr>
              <w:t>$178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7"/>
              </w:rPr>
              <w:t>$116 – $273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17"/>
              </w:rPr>
              <w:t>$76 – $418</w:t>
            </w:r>
          </w:p>
        </w:tc>
        <w:tc>
          <w:tcPr>
            <w:tcW w:type="dxa" w:w="2304"/>
          </w:tcPr>
          <w:p>
            <w:pPr>
              <w:jc w:val="right"/>
            </w:pPr>
            <w:r/>
            <w:r>
              <w:rPr>
                <w:sz w:val="17"/>
              </w:rPr>
              <w:t>$50 – $641</w:t>
            </w:r>
          </w:p>
        </w:tc>
      </w:tr>
    </w:tbl>
    <w:p/>
    <w:p>
      <w:pPr>
        <w:pStyle w:val="Heading2"/>
      </w:pPr>
      <w:r>
        <w:t>5.3 Is the normal model right? Comparing the two stocks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613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1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A"/>
          <w:sz w:val="17"/>
        </w:rPr>
        <w:t>Figure — Actual share of days inside each sigma band versus the normal-distribution benchmark.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6217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_qq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21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6217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L_qq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21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F6B7A"/>
          <w:sz w:val="17"/>
        </w:rPr>
        <w:t>Figure — Q-Q plots. Points bend away from the line at both ends: the extreme days are far more extreme than a normal distribution allows.</w:t>
      </w:r>
    </w:p>
    <w:p>
      <w:pPr>
        <w:pStyle w:val="ListBullet"/>
      </w:pPr>
      <w:r>
        <w:rPr>
          <w:b/>
        </w:rPr>
        <w:t xml:space="preserve">Too many quiet days (leptokurtosis). </w:t>
      </w:r>
      <w:r>
        <w:t>82.0% (META) and 81.4% (ORCL) of days stayed within ±1σ, about 13–14 points more than the 68.3% benchmark. The histograms show a taller, narrower peak than the fitted curve.</w:t>
      </w:r>
    </w:p>
    <w:p>
      <w:pPr>
        <w:pStyle w:val="ListBullet"/>
      </w:pPr>
      <w:r>
        <w:rPr>
          <w:b/>
        </w:rPr>
        <w:t xml:space="preserve">About right at 2σ — by coincidence. </w:t>
      </w:r>
      <w:r>
        <w:t>Coverage of 96.3% and 95.4% is close to 95.45%. Excess quiet days and excess extreme days offset each other here, which is why a 2σ range can look ‘validated’ even though the distribution is not normal.</w:t>
      </w:r>
    </w:p>
    <w:p>
      <w:pPr>
        <w:pStyle w:val="ListBullet"/>
      </w:pPr>
      <w:r>
        <w:rPr>
          <w:b/>
        </w:rPr>
        <w:t xml:space="preserve">Too many extreme days (fat tails). </w:t>
      </w:r>
      <w:r>
        <w:t>At 3σ only 98.81% / 98.41% of days were inside the band, so extreme days happened roughly 4× (META) and 6× (ORCL) as often as the model predicts. META's worst day was a -10.7σ event; under normality a move that size should essentially never happen in the lifetime of the universe.</w:t>
      </w:r>
    </w:p>
    <w:p>
      <w:pPr>
        <w:pStyle w:val="ListBullet"/>
      </w:pPr>
      <w:r>
        <w:rPr>
          <w:b/>
        </w:rPr>
        <w:t xml:space="preserve">Skew points in opposite directions. </w:t>
      </w:r>
      <w:r>
        <w:t>META is negatively skewed (-1.10): its biggest moves were crashes (2022 earnings). ORCL is positively skewed (+1.25), dominated by the +36% cloud-backlog surprise in September 2025.</w:t>
      </w:r>
    </w:p>
    <w:p>
      <w:pPr>
        <w:pStyle w:val="ListBullet"/>
      </w:pPr>
      <w:r>
        <w:rPr>
          <w:b/>
        </w:rPr>
        <w:t xml:space="preserve">A handful of days drive the tails. </w:t>
      </w:r>
      <w:r>
        <w:t>Removing just the five largest days cuts META's excess kurtosis from 23 to about 3.5 and ORCL's from 18 to about 4. The fat tails are mostly earnings-announcement jumps; the rest of the distribution is still fatter than normal but far less so.</w:t>
      </w:r>
    </w:p>
    <w:p>
      <w:pPr>
        <w:pStyle w:val="Heading2"/>
      </w:pPr>
      <w:r>
        <w:t>5.4 Volatility is not constant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558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arly_vo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A"/>
          <w:sz w:val="17"/>
        </w:rPr>
        <w:t>Figure — Realized annualized volatility by calendar year.</w:t>
      </w:r>
    </w:p>
    <w:p>
      <w:r>
        <w:rPr>
          <w:i w:val="0"/>
          <w:sz w:val="21"/>
        </w:rPr>
        <w:t>The model uses one σ for five years, but realized volatility moves a lot: META ran at ~67% in its 2022 drawdown and ~36% in 2024, while ORCL went from ~30–32% (2022–2024) to ~59% in 2025–2026 as it was re-rated as an AI-infrastructure name. This volatility clustering (calm periods and turbulent periods) is a second reason for the fat tails: mixing a low-σ regime and a high-σ regime produces a fat-tailed overall distribution. The day-to-day autocorrelation of returns themselves is close to zero for both stocks (META −0.01, ORCL +0.04), so the ‘independent returns’ assumption behind √t scaling is reasonable for the direction of moves, but not for their size. The correlation between META and ORCL daily returns is 0.27.</w:t>
      </w:r>
    </w:p>
    <w:p>
      <w:pPr>
        <w:pStyle w:val="Heading1"/>
      </w:pPr>
      <w:r>
        <w:t>6. How to use these numbers</w:t>
      </w:r>
    </w:p>
    <w:p>
      <w:pPr>
        <w:pStyle w:val="ListBullet"/>
      </w:pPr>
      <w:r>
        <w:rPr>
          <w:b/>
        </w:rPr>
        <w:t xml:space="preserve">Expected daily range. </w:t>
      </w:r>
      <w:r>
        <w:t>On a normal day, expect META within roughly $600–$635 and ORCL within $155–$163 (1σ from the last close). In practice this band holds about 4 days out of 5.</w:t>
      </w:r>
    </w:p>
    <w:p>
      <w:pPr>
        <w:pStyle w:val="ListBullet"/>
      </w:pPr>
      <w:r>
        <w:rPr>
          <w:b/>
        </w:rPr>
        <w:t xml:space="preserve">Position sizing and stops. </w:t>
      </w:r>
      <w:r>
        <w:t>A stop placed inside the 1σ band will be hit by ordinary noise. Stops or risk limits are more robust at 2σ or beyond, sized so that a 3σ day — which happens a few times a year for these names, not once a lifetime — is survivable.</w:t>
      </w:r>
    </w:p>
    <w:p>
      <w:pPr>
        <w:pStyle w:val="ListBullet"/>
      </w:pPr>
      <w:r>
        <w:rPr>
          <w:b/>
        </w:rPr>
        <w:t xml:space="preserve">Comparison with options. </w:t>
      </w:r>
      <w:r>
        <w:t>Realized σ can be compared with the implied volatility on META/ORCL options. If implied vol is well below the ~43–45% realized here, options look cheap relative to history, and vice versa. Around earnings, implied vol rises precisely because of the jump days identified above.</w:t>
      </w:r>
    </w:p>
    <w:p>
      <w:pPr>
        <w:pStyle w:val="ListBullet"/>
      </w:pPr>
      <w:r>
        <w:rPr>
          <w:b/>
        </w:rPr>
        <w:t xml:space="preserve">Relative risk. </w:t>
      </w:r>
      <w:r>
        <w:t>Dividing the 1σ move by the S&amp;P 500's gives a quick measure of how much more a stock moves than the market; running SPY through the same tool gives the benchmark.</w:t>
      </w:r>
    </w:p>
    <w:p>
      <w:pPr>
        <w:pStyle w:val="ListBullet"/>
      </w:pPr>
      <w:r>
        <w:rPr>
          <w:b/>
        </w:rPr>
        <w:t xml:space="preserve">Don't treat 3σ as a worst case. </w:t>
      </w:r>
      <w:r>
        <w:t>The empirical 0.135% percentile was −16.9% for META and −13.7% for ORCL, about twice the normal-model 3σ bound. For risk work, quote empirical percentiles alongside σ bands.</w:t>
      </w:r>
    </w:p>
    <w:p>
      <w:pPr>
        <w:pStyle w:val="Heading1"/>
      </w:pPr>
      <w:r>
        <w:t>7. Limitations and possible extensions</w:t>
      </w:r>
    </w:p>
    <w:p>
      <w:pPr>
        <w:pStyle w:val="ListBullet"/>
      </w:pPr>
      <w:r>
        <w:rPr>
          <w:b/>
        </w:rPr>
        <w:t xml:space="preserve">Normality is rejected </w:t>
      </w:r>
      <w:r>
        <w:t>(section 5). Alternatives: a Student-t distribution (fits fat tails with one extra parameter), or historical simulation using the actual empirical distribution.</w:t>
      </w:r>
    </w:p>
    <w:p>
      <w:pPr>
        <w:pStyle w:val="ListBullet"/>
      </w:pPr>
      <w:r>
        <w:rPr>
          <w:b/>
        </w:rPr>
        <w:t xml:space="preserve">Constant σ. </w:t>
      </w:r>
      <w:r>
        <w:t>Use EWMA volatility (RiskMetrics, λ = 0.94) or a GARCH(1,1) model so the bands widen in turbulent periods and shrink in calm ones.</w:t>
      </w:r>
    </w:p>
    <w:p>
      <w:pPr>
        <w:pStyle w:val="ListBullet"/>
      </w:pPr>
      <w:r>
        <w:rPr>
          <w:b/>
        </w:rPr>
        <w:t xml:space="preserve">Event risk. </w:t>
      </w:r>
      <w:r>
        <w:t>Flag earnings dates and analyse ex-earnings returns separately; the bands are much more reliable away from announcements.</w:t>
      </w:r>
    </w:p>
    <w:p>
      <w:pPr>
        <w:pStyle w:val="ListBullet"/>
      </w:pPr>
      <w:r>
        <w:rPr>
          <w:b/>
        </w:rPr>
        <w:t xml:space="preserve">Window choice. </w:t>
      </w:r>
      <w:r>
        <w:t>Five years mixes very different regimes (META's 2022 crash, ORCL's 2025 re-rating). Try the WEEKLY/MONTHLY settings, or a rolling 1-year window, and compare σ.</w:t>
      </w:r>
    </w:p>
    <w:p>
      <w:pPr>
        <w:pStyle w:val="ListBullet"/>
      </w:pPr>
      <w:r>
        <w:rPr>
          <w:b/>
        </w:rPr>
        <w:t xml:space="preserve">Price data. </w:t>
      </w:r>
      <w:r>
        <w:t>Close is not dividend-adjusted and historical estimates say nothing about new information; past volatility is a guide, not a forecast.</w:t>
      </w:r>
    </w:p>
    <w:p>
      <w:pPr>
        <w:pStyle w:val="Heading1"/>
      </w:pPr>
      <w:r>
        <w:t>Appendix A —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66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TAMID_Control.xlsm</w:t>
            </w:r>
          </w:p>
        </w:tc>
        <w:tc>
          <w:tcPr>
            <w:tcW w:type="dxa" w:w="6624"/>
          </w:tcPr>
          <w:p>
            <w:pPr>
              <w:jc w:val="right"/>
            </w:pPr>
            <w:r/>
            <w:r>
              <w:rPr>
                <w:sz w:val="17"/>
              </w:rPr>
              <w:t>Control panel: tickers, timeframe, Run button (xlwings RunPython)</w:t>
            </w:r>
          </w:p>
        </w:tc>
      </w:tr>
      <w:tr>
        <w:tc>
          <w:tcPr>
            <w:tcW w:type="dxa" w:w="3024"/>
            <w:shd w:val="clear" w:color="auto" w:fill="F3F6FA"/>
          </w:tcPr>
          <w:p>
            <w:r/>
            <w:r>
              <w:rPr>
                <w:sz w:val="17"/>
              </w:rPr>
              <w:t>run_analysis.py</w:t>
            </w:r>
          </w:p>
        </w:tc>
        <w:tc>
          <w:tcPr>
            <w:tcW w:type="dxa" w:w="662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Main script: drives StockDatabase.xlsx, computes, writes the output workbook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lognormal/excel_source.py</w:t>
            </w:r>
          </w:p>
        </w:tc>
        <w:tc>
          <w:tcPr>
            <w:tcW w:type="dxa" w:w="6624"/>
          </w:tcPr>
          <w:p>
            <w:pPr>
              <w:jc w:val="right"/>
            </w:pPr>
            <w:r/>
            <w:r>
              <w:rPr>
                <w:sz w:val="17"/>
              </w:rPr>
              <w:t>xlwings: set O1/O4, wait for STOCKHISTORY, read prices</w:t>
            </w:r>
          </w:p>
        </w:tc>
      </w:tr>
      <w:tr>
        <w:tc>
          <w:tcPr>
            <w:tcW w:type="dxa" w:w="3024"/>
            <w:shd w:val="clear" w:color="auto" w:fill="F3F6FA"/>
          </w:tcPr>
          <w:p>
            <w:r/>
            <w:r>
              <w:rPr>
                <w:sz w:val="17"/>
              </w:rPr>
              <w:t>lognormal/core.py</w:t>
            </w:r>
          </w:p>
        </w:tc>
        <w:tc>
          <w:tcPr>
            <w:tcW w:type="dxa" w:w="662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Math: cleaning, log returns, statistics, sigma bounds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lognormal/workbook.py</w:t>
            </w:r>
          </w:p>
        </w:tc>
        <w:tc>
          <w:tcPr>
            <w:tcW w:type="dxa" w:w="6624"/>
          </w:tcPr>
          <w:p>
            <w:pPr>
              <w:jc w:val="right"/>
            </w:pPr>
            <w:r/>
            <w:r>
              <w:rPr>
                <w:sz w:val="17"/>
              </w:rPr>
              <w:t>openpyxl: formatted tables, live formulas, native charts, images</w:t>
            </w:r>
          </w:p>
        </w:tc>
      </w:tr>
      <w:tr>
        <w:tc>
          <w:tcPr>
            <w:tcW w:type="dxa" w:w="3024"/>
            <w:shd w:val="clear" w:color="auto" w:fill="F3F6FA"/>
          </w:tcPr>
          <w:p>
            <w:r/>
            <w:r>
              <w:rPr>
                <w:sz w:val="17"/>
              </w:rPr>
              <w:t>lognormal/charts.py</w:t>
            </w:r>
          </w:p>
        </w:tc>
        <w:tc>
          <w:tcPr>
            <w:tcW w:type="dxa" w:w="662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matplotlib figures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xlwings_lite/main.py</w:t>
            </w:r>
          </w:p>
        </w:tc>
        <w:tc>
          <w:tcPr>
            <w:tcW w:type="dxa" w:w="6624"/>
          </w:tcPr>
          <w:p>
            <w:pPr>
              <w:jc w:val="right"/>
            </w:pPr>
            <w:r/>
            <w:r>
              <w:rPr>
                <w:sz w:val="17"/>
              </w:rPr>
              <w:t>Single-ticker version that runs inside Excel via the xlwings Lite add-in</w:t>
            </w:r>
          </w:p>
        </w:tc>
      </w:tr>
      <w:tr>
        <w:tc>
          <w:tcPr>
            <w:tcW w:type="dxa" w:w="3024"/>
            <w:shd w:val="clear" w:color="auto" w:fill="F3F6FA"/>
          </w:tcPr>
          <w:p>
            <w:r/>
            <w:r>
              <w:rPr>
                <w:sz w:val="17"/>
              </w:rPr>
              <w:t>output/LogReturns_*.xlsx</w:t>
            </w:r>
          </w:p>
        </w:tc>
        <w:tc>
          <w:tcPr>
            <w:tcW w:type="dxa" w:w="6624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Results (one workbook per run)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SETUP_GUIDE.md</w:t>
            </w:r>
          </w:p>
        </w:tc>
        <w:tc>
          <w:tcPr>
            <w:tcW w:type="dxa" w:w="6624"/>
          </w:tcPr>
          <w:p>
            <w:pPr>
              <w:jc w:val="right"/>
            </w:pPr>
            <w:r/>
            <w:r>
              <w:rPr>
                <w:sz w:val="17"/>
              </w:rPr>
              <w:t>Step-by-step installation and usage guide</w:t>
            </w:r>
          </w:p>
        </w:tc>
      </w:tr>
    </w:tbl>
    <w:p/>
    <w:p>
      <w:pPr>
        <w:pStyle w:val="Heading1"/>
      </w:pPr>
      <w:r>
        <w:t>Appendix B —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705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Log return</w:t>
            </w:r>
          </w:p>
        </w:tc>
        <w:tc>
          <w:tcPr>
            <w:tcW w:type="dxa" w:w="7056"/>
          </w:tcPr>
          <w:p>
            <w:pPr>
              <w:jc w:val="right"/>
            </w:pPr>
            <w:r/>
            <w:r>
              <w:rPr>
                <w:sz w:val="17"/>
              </w:rPr>
              <w:t>ln(P_t/P_(t−1)); additive over time</w:t>
            </w:r>
          </w:p>
        </w:tc>
      </w:tr>
      <w:tr>
        <w:tc>
          <w:tcPr>
            <w:tcW w:type="dxa" w:w="2592"/>
            <w:shd w:val="clear" w:color="auto" w:fill="F3F6FA"/>
          </w:tcPr>
          <w:p>
            <w:r/>
            <w:r>
              <w:rPr>
                <w:sz w:val="17"/>
              </w:rPr>
              <w:t>μ (drift)</w:t>
            </w:r>
          </w:p>
        </w:tc>
        <w:tc>
          <w:tcPr>
            <w:tcW w:type="dxa" w:w="705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Average log return per bar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σ (volatility)</w:t>
            </w:r>
          </w:p>
        </w:tc>
        <w:tc>
          <w:tcPr>
            <w:tcW w:type="dxa" w:w="7056"/>
          </w:tcPr>
          <w:p>
            <w:pPr>
              <w:jc w:val="right"/>
            </w:pPr>
            <w:r/>
            <w:r>
              <w:rPr>
                <w:sz w:val="17"/>
              </w:rPr>
              <w:t>Standard deviation of log returns per bar</w:t>
            </w:r>
          </w:p>
        </w:tc>
      </w:tr>
      <w:tr>
        <w:tc>
          <w:tcPr>
            <w:tcW w:type="dxa" w:w="2592"/>
            <w:shd w:val="clear" w:color="auto" w:fill="F3F6FA"/>
          </w:tcPr>
          <w:p>
            <w:r/>
            <w:r>
              <w:rPr>
                <w:sz w:val="17"/>
              </w:rPr>
              <w:t>Annualized volatility</w:t>
            </w:r>
          </w:p>
        </w:tc>
        <w:tc>
          <w:tcPr>
            <w:tcW w:type="dxa" w:w="705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σ × √(bars per year)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z-score</w:t>
            </w:r>
          </w:p>
        </w:tc>
        <w:tc>
          <w:tcPr>
            <w:tcW w:type="dxa" w:w="7056"/>
          </w:tcPr>
          <w:p>
            <w:pPr>
              <w:jc w:val="right"/>
            </w:pPr>
            <w:r/>
            <w:r>
              <w:rPr>
                <w:sz w:val="17"/>
              </w:rPr>
              <w:t>(r − μ)/σ: how many σ a move was</w:t>
            </w:r>
          </w:p>
        </w:tc>
      </w:tr>
      <w:tr>
        <w:tc>
          <w:tcPr>
            <w:tcW w:type="dxa" w:w="2592"/>
            <w:shd w:val="clear" w:color="auto" w:fill="F3F6FA"/>
          </w:tcPr>
          <w:p>
            <w:r/>
            <w:r>
              <w:rPr>
                <w:sz w:val="17"/>
              </w:rPr>
              <w:t>Lognormal</w:t>
            </w:r>
          </w:p>
        </w:tc>
        <w:tc>
          <w:tcPr>
            <w:tcW w:type="dxa" w:w="705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Distribution of a variable whose logarithm is normal; used for prices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Skewness</w:t>
            </w:r>
          </w:p>
        </w:tc>
        <w:tc>
          <w:tcPr>
            <w:tcW w:type="dxa" w:w="7056"/>
          </w:tcPr>
          <w:p>
            <w:pPr>
              <w:jc w:val="right"/>
            </w:pPr>
            <w:r/>
            <w:r>
              <w:rPr>
                <w:sz w:val="17"/>
              </w:rPr>
              <w:t>Asymmetry of the distribution (0 for normal)</w:t>
            </w:r>
          </w:p>
        </w:tc>
      </w:tr>
      <w:tr>
        <w:tc>
          <w:tcPr>
            <w:tcW w:type="dxa" w:w="2592"/>
            <w:shd w:val="clear" w:color="auto" w:fill="F3F6FA"/>
          </w:tcPr>
          <w:p>
            <w:r/>
            <w:r>
              <w:rPr>
                <w:sz w:val="17"/>
              </w:rPr>
              <w:t>Excess kurtosis</w:t>
            </w:r>
          </w:p>
        </w:tc>
        <w:tc>
          <w:tcPr>
            <w:tcW w:type="dxa" w:w="705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Tail heaviness relative to normal (0 for normal)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Fat tails</w:t>
            </w:r>
          </w:p>
        </w:tc>
        <w:tc>
          <w:tcPr>
            <w:tcW w:type="dxa" w:w="7056"/>
          </w:tcPr>
          <w:p>
            <w:pPr>
              <w:jc w:val="right"/>
            </w:pPr>
            <w:r/>
            <w:r>
              <w:rPr>
                <w:sz w:val="17"/>
              </w:rPr>
              <w:t>Extreme moves occur more often than a normal distribution predicts</w:t>
            </w:r>
          </w:p>
        </w:tc>
      </w:tr>
      <w:tr>
        <w:tc>
          <w:tcPr>
            <w:tcW w:type="dxa" w:w="2592"/>
            <w:shd w:val="clear" w:color="auto" w:fill="F3F6FA"/>
          </w:tcPr>
          <w:p>
            <w:r/>
            <w:r>
              <w:rPr>
                <w:sz w:val="17"/>
              </w:rPr>
              <w:t>Jarque-Bera</w:t>
            </w:r>
          </w:p>
        </w:tc>
        <w:tc>
          <w:tcPr>
            <w:tcW w:type="dxa" w:w="705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Test of normality based on skewness and kurtosis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Q-Q plot</w:t>
            </w:r>
          </w:p>
        </w:tc>
        <w:tc>
          <w:tcPr>
            <w:tcW w:type="dxa" w:w="7056"/>
          </w:tcPr>
          <w:p>
            <w:pPr>
              <w:jc w:val="right"/>
            </w:pPr>
            <w:r/>
            <w:r>
              <w:rPr>
                <w:sz w:val="17"/>
              </w:rPr>
              <w:t>Actual vs. theoretical quantiles; straight line = normal</w:t>
            </w:r>
          </w:p>
        </w:tc>
      </w:tr>
      <w:tr>
        <w:tc>
          <w:tcPr>
            <w:tcW w:type="dxa" w:w="2592"/>
            <w:shd w:val="clear" w:color="auto" w:fill="F3F6FA"/>
          </w:tcPr>
          <w:p>
            <w:r/>
            <w:r>
              <w:rPr>
                <w:sz w:val="17"/>
              </w:rPr>
              <w:t>Volatility clustering</w:t>
            </w:r>
          </w:p>
        </w:tc>
        <w:tc>
          <w:tcPr>
            <w:tcW w:type="dxa" w:w="705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Big moves tend to follow big moves; σ changes over time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STOCKHISTORY</w:t>
            </w:r>
          </w:p>
        </w:tc>
        <w:tc>
          <w:tcPr>
            <w:tcW w:type="dxa" w:w="7056"/>
          </w:tcPr>
          <w:p>
            <w:pPr>
              <w:jc w:val="right"/>
            </w:pPr>
            <w:r/>
            <w:r>
              <w:rPr>
                <w:sz w:val="17"/>
              </w:rPr>
              <w:t>Excel 365 function that downloads historical prices</w:t>
            </w:r>
          </w:p>
        </w:tc>
      </w:tr>
      <w:tr>
        <w:tc>
          <w:tcPr>
            <w:tcW w:type="dxa" w:w="2592"/>
            <w:shd w:val="clear" w:color="auto" w:fill="F3F6FA"/>
          </w:tcPr>
          <w:p>
            <w:r/>
            <w:r>
              <w:rPr>
                <w:sz w:val="17"/>
              </w:rPr>
              <w:t>xlwings</w:t>
            </w:r>
          </w:p>
        </w:tc>
        <w:tc>
          <w:tcPr>
            <w:tcW w:type="dxa" w:w="7056"/>
            <w:shd w:val="clear" w:color="auto" w:fill="F3F6FA"/>
          </w:tcPr>
          <w:p>
            <w:pPr>
              <w:jc w:val="right"/>
            </w:pPr>
            <w:r/>
            <w:r>
              <w:rPr>
                <w:sz w:val="17"/>
              </w:rPr>
              <w:t>Python library that reads/writes a running Excel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