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4: EXPERIMENTAL RESULTS</w:t>
      </w:r>
    </w:p>
    <w:p>
      <w:pPr>
        <w:pStyle w:val="Heading2"/>
      </w:pPr>
      <w:r>
        <w:t>4.1 Introduction</w:t>
      </w:r>
    </w:p>
    <w:p>
      <w:r>
        <w:t>This chapter delineates the empirical evaluation of the proposed defensive system, encompassing both the Observation Module and the RL Defense Agent. The assessment proceeds along two primary trajectories: the accuracy of feature extraction and the processing efficiency of the Observation Module; and the training convergence behavior and terminal policy efficacy of the RL Agent.</w:t>
      </w:r>
    </w:p>
    <w:p>
      <w:r/>
      <w:r>
        <w:rPr>
          <w:b/>
        </w:rPr>
        <w:t>4.1.1 Definition of Evaluation Metrics</w:t>
      </w:r>
      <w:r/>
    </w:p>
    <w:p>
      <w:pPr>
        <w:pStyle w:val="ListBullet"/>
      </w:pPr>
      <w:r>
        <w:t>**Detection Rate:** Computed exclusively over *active-threat steps* (timesteps where the attack is actively manifesting). Silent steps subsequent to a Block action are deliberately excluded from the sample space to preclude artificial inflation of the metrics.</w:t>
      </w:r>
    </w:p>
    <w:p>
      <w:pPr>
        <w:pStyle w:val="ListBullet"/>
      </w:pPr>
      <w:r>
        <w:t>**False Positive Rate (FPR):** Calculated over *normal-traffic steps* (timesteps involving purely benign, legitimate traffic).</w:t>
      </w:r>
    </w:p>
    <w:p>
      <w:pPr>
        <w:pStyle w:val="ListBullet"/>
      </w:pPr>
      <w:r>
        <w:t>**Per-Window vs. Per-Session Evaluation:** The *per-window* metric assesses detection on a isolated 1-second interval basis. Conversely, the *per-session* metric deems an entire session successfully detected if at least one constituent window within that session breaches the detection threshold.</w:t>
      </w:r>
    </w:p>
    <w:p>
      <w:r>
        <w:t>The entirety of the experimental framework was executed on a Linux environment utilizing the Containernet platform. The operational architecture is anchored in Python 3.x, deploying Stable-Baselines3 (which necessitates `numpy &lt; 2.0`). Reproducibility is enforced by locking the random seed at 42 across all stochastic functions.</w:t>
      </w:r>
    </w:p>
    <w:p>
      <w:r>
        <w:t>Three distinct data sources were leveraged to fulfill varied evaluative objectives. The LSNM2024 Labeled URI Dataset [19]—a public repository disseminated by the University of New Brunswick—supplied 3,000 benign URIs and 2,809 SQLi URIs to calibrate the CRS Paranoia Level. The Mutated Packets PCAP Dataset [20]—a public dataset curated by Abu Al-Haija et al. (2025), comprising 15 attack typologies captured via authentic tools in a controlled laboratory environment—served as the primary evaluation corpus for feature detection performance. Finally, the MockIPBehavior simulated environment—engineered internally to inject distributional noise (Normal/LogNormal/Beta/Poisson)—was utilized exclusively for PPO training to augment the model's generalization capacity.</w:t>
      </w:r>
    </w:p>
    <w:p>
      <w:r>
        <w:t>---</w:t>
      </w:r>
    </w:p>
    <w:p>
      <w:pPr>
        <w:pStyle w:val="Heading2"/>
      </w:pPr>
      <w:r>
        <w:t>4.2 Data Presentation</w:t>
      </w:r>
    </w:p>
    <w:p>
      <w:pPr>
        <w:pStyle w:val="Heading3"/>
      </w:pPr>
      <w:r>
        <w:t>4.2.1 Payload Normalization Pipeline Results</w:t>
      </w:r>
    </w:p>
    <w:p>
      <w:r>
        <w:t>Intrusion detection systems predicated on pattern matching confront a fundamental challenge: an identical attack payload can be instantiated across multiple encoding schemas while preserving semantic equivalence at the target server. Handley et al. [29] formalized this as the "ambiguity in the packet stream" problem, proving that a detection engine must holistically resolve this ambiguity prior to pattern application—otherwise, adversaries can systematically bypass the engine by selecting an unrecognized representational format. While individual normalization techniques in the academic literature typically address specific evasion classes, a concatenated pipeline is indispensable because real-world attackers routinely stack multiple encoding layers simultaneously, generating a combinatorial space that no single step can adequately cover [30].</w:t>
      </w:r>
    </w:p>
    <w:p>
      <w:r>
        <w:t>To address this, the system constructs a sequential 8-step payload normalization pipeline preceding the CRS pattern matching. The execution sequence constitutes a rigid constraint: HTML entity decoding must precede URL decoding (e.g., `&amp;#x25;27` → `%27` → `'`); similarly, URL decoding must occur before Base64 decoding because `%3D` serves as the Base64 padding character.</w:t>
      </w:r>
    </w:p>
    <w:p>
      <w:pPr>
        <w:pStyle w:val="ListNumber"/>
      </w:pPr>
      <w:r>
        <w:t>**Size Limitation (64 KB):** Mitigates resource exhaustion attacks via excessively large payloads that could induce ReDoS (Regular Expression Denial of Service) within complex CRS regex evaluations.</w:t>
      </w:r>
    </w:p>
    <w:p>
      <w:pPr>
        <w:pStyle w:val="ListNumber"/>
      </w:pPr>
      <w:r>
        <w:t>**Bytes-to-String Conversion** (UTF-8 with Latin-1 fallback): Ensures uniform byte representation, circumventing data loss.</w:t>
      </w:r>
    </w:p>
    <w:p>
      <w:pPr>
        <w:pStyle w:val="ListNumber"/>
      </w:pPr>
      <w:r>
        <w:t>**HTML Entity Decoding:** Counters a prevalent XSS bypass technique, acknowledging that `&amp;lt;script&amp;gt;` and `&lt;script&gt;` possess identical execution semantics within a browser environment [30].</w:t>
      </w:r>
    </w:p>
    <w:p>
      <w:pPr>
        <w:pStyle w:val="ListNumber"/>
      </w:pPr>
      <w:r>
        <w:t>**Unicode NFKC and Smart Quotes Normalization:** Prevents bypasses utilizing full-width characters (e.g., `ａｌｅｒｔ` → `alert`) and Unicode homoglyphs embedded within SQL keywords [30].</w:t>
      </w:r>
    </w:p>
    <w:p>
      <w:pPr>
        <w:pStyle w:val="ListNumber"/>
      </w:pPr>
      <w:r>
        <w:t>**Recursive URL Decoding (Maximum 2 Iterations):** Addresses double-encoding (`%2527` → `%27` → `'`)—a technique identified by Akhavani et al. [30] as the most ubiquitous cause of WAF bypasses in empirical analyses.</w:t>
      </w:r>
    </w:p>
    <w:p>
      <w:pPr>
        <w:pStyle w:val="ListNumber"/>
      </w:pPr>
      <w:r>
        <w:t>**Recursive Base64 Decoding (Maximum 2 Iterations):** Detects attack payloads encapsulated within Base64 strings, a documented evasion tactic observed in live CRS deployments [27].</w:t>
      </w:r>
    </w:p>
    <w:p>
      <w:pPr>
        <w:pStyle w:val="ListNumber"/>
      </w:pPr>
      <w:r>
        <w:t>**Whitespace Normalization:** Eliminates whitespace manipulations (tabs, multi-spaces, newlines within SQL queries) engineered to fracture pattern matching mechanisms [31].</w:t>
      </w:r>
    </w:p>
    <w:p>
      <w:pPr>
        <w:pStyle w:val="ListNumber"/>
      </w:pPr>
      <w:r>
        <w:t>**Lowercase Conversion:** Imposes consistent case-insensitive matching across the entire analytical pipeline [31].</w:t>
      </w:r>
    </w:p>
    <w:p>
      <w:r>
        <w:t>The normalized outputs are systematically cached via packet identifiers, ensuring that each packet traverses the pipeline precisely once, even if multiple feature extractors access the identical payload.</w:t>
      </w:r>
    </w:p>
    <w:p>
      <w:pPr>
        <w:pStyle w:val="Heading3"/>
      </w:pPr>
      <w:r>
        <w:t>4.2.2 CRS Paranoia Level Analysis</w:t>
      </w:r>
    </w:p>
    <w:p>
      <w:r>
        <w:t>A rigorous CRS benchmark was executed against the LSNM2024 SQLi dataset to determine the optimal Paranoia Level (PL) for F13:</w:t>
      </w:r>
    </w:p>
    <w:p>
      <w:r>
        <w:rPr>
          <w:rFonts w:ascii="Courier New" w:hAnsi="Courier New"/>
          <w:sz w:val="16"/>
        </w:rPr>
        <w:t>| PL | Rules | TP | FP | F1-Score | FPR | Decision |</w:t>
      </w:r>
    </w:p>
    <w:p>
      <w:r>
        <w:rPr>
          <w:rFonts w:ascii="Courier New" w:hAnsi="Courier New"/>
          <w:sz w:val="16"/>
        </w:rPr>
        <w:t>|---|---|---|---|---|---|---|</w:t>
      </w:r>
    </w:p>
    <w:p>
      <w:r>
        <w:rPr>
          <w:rFonts w:ascii="Courier New" w:hAnsi="Courier New"/>
          <w:sz w:val="16"/>
        </w:rPr>
        <w:t>| PL1 | 19 | 1,695 | 0 | 0.753 | 0.0% | FPR=0, but misses 40% of attacks. |</w:t>
      </w:r>
    </w:p>
    <w:p>
      <w:r>
        <w:rPr>
          <w:rFonts w:ascii="Courier New" w:hAnsi="Courier New"/>
          <w:sz w:val="16"/>
        </w:rPr>
        <w:t>| **PL2** | **50** | **2,809** | **459** | **0.925** | **15.3%** | **Optimal — Selected.** |</w:t>
      </w:r>
    </w:p>
    <w:p>
      <w:r>
        <w:rPr>
          <w:rFonts w:ascii="Courier New" w:hAnsi="Courier New"/>
          <w:sz w:val="16"/>
        </w:rPr>
        <w:t>| PL3 | 57 | 2,809 | 520 | 0.915 | 17.3% | Higher FP; no improvement over PL2. |</w:t>
      </w:r>
    </w:p>
    <w:p>
      <w:r/>
      <w:r>
        <w:rPr>
          <w:i/>
        </w:rPr>
        <w:t>n = 2,809 SQLi URIs + 3,000 benign URIs from LSNM2024 (Lashkari et al., 2024). Note: This evaluation is performed on isolated URIs (not 1-second windows); hence, the TP/FP/FPR metrics reflect the isolated efficacy of F13 prior to its integration into the 20D vector.</w:t>
      </w:r>
      <w:r/>
    </w:p>
    <w:p>
      <w:r>
        <w:t>PL2 was selected: it yields an F1-score of 0.925 and a Recall of 1.0 (zero missed attacks), alongside a 15.3% FPR—delegating the mitigation of residual false positives to the downstream RL Agent.</w:t>
      </w:r>
    </w:p>
    <w:p>
      <w:r/>
      <w:r>
        <w:rPr>
          <w:b/>
        </w:rPr>
        <w:t>CRS XSS (F18) Analysis:</w:t>
      </w:r>
      <w:r>
        <w:t xml:space="preserve"> The CRS-941 benchmark against the LSNM2024 XSS dataset utilized n = </w:t>
      </w:r>
      <w:r>
        <w:rPr>
          <w:b/>
        </w:rPr>
        <w:t>123</w:t>
      </w:r>
      <w:r>
        <w:t xml:space="preserve"> labeled GET-parameter attack URIs (script-tag and event-handler injections extracted from XSS-1.csv and XSS-2.csv), augmented with 3,000 benign URIs. POST-body XSS attacks were excluded from this specific benchmark as the URI column within the CSV does not contain the request body. Results across the three paranoia levels:</w:t>
      </w:r>
    </w:p>
    <w:p>
      <w:r>
        <w:rPr>
          <w:rFonts w:ascii="Courier New" w:hAnsi="Courier New"/>
          <w:sz w:val="16"/>
        </w:rPr>
        <w:t>| PL | Rules | TP | FP | F1-Score | Decision |</w:t>
      </w:r>
    </w:p>
    <w:p>
      <w:r>
        <w:rPr>
          <w:rFonts w:ascii="Courier New" w:hAnsi="Courier New"/>
          <w:sz w:val="16"/>
        </w:rPr>
        <w:t>|---|---|---|---|---|---|</w:t>
      </w:r>
    </w:p>
    <w:p>
      <w:r>
        <w:rPr>
          <w:rFonts w:ascii="Courier New" w:hAnsi="Courier New"/>
          <w:sz w:val="16"/>
        </w:rPr>
        <w:t>| PL1 | 22 | 123 | 0 | 1.000 | Sufficient on test set. |</w:t>
      </w:r>
    </w:p>
    <w:p>
      <w:r>
        <w:rPr>
          <w:rFonts w:ascii="Courier New" w:hAnsi="Courier New"/>
          <w:sz w:val="16"/>
        </w:rPr>
        <w:t>| **PL2** | **27** | **123** | **0** | **1.000** | **Selected.** |</w:t>
      </w:r>
    </w:p>
    <w:p>
      <w:r>
        <w:rPr>
          <w:rFonts w:ascii="Courier New" w:hAnsi="Courier New"/>
          <w:sz w:val="16"/>
        </w:rPr>
        <w:t>| PL3 | 27 | 123 | 0 | 1.000 | No improvement over PL2. |</w:t>
      </w:r>
    </w:p>
    <w:p>
      <w:r/>
      <w:r>
        <w:rPr>
          <w:i/>
        </w:rPr>
        <w:t>Recall = 1.0, FPR = 0.0% across all levels with the URI-embedded test set.</w:t>
      </w:r>
      <w:r/>
    </w:p>
    <w:p>
      <w:r>
        <w:t>PL2 was selected to guarantee broader coverage against obfuscated event-handler patterns. Within the system architecture, F18 serves as a supplementary signal to F19/F20 (binary indicators)—the RL Agent is purposefully not solely reliant on F18 to classify XSS vectors.</w:t>
      </w:r>
    </w:p>
    <w:p>
      <w:pPr>
        <w:pStyle w:val="Heading3"/>
      </w:pPr>
      <w:r>
        <w:t>4.2.3 Feature-Level Detection Performance</w:t>
      </w:r>
    </w:p>
    <w:p>
      <w:r>
        <w:t xml:space="preserve">Each feature cluster underwent independent evaluation via binary classification (RandomForest comprising 200 trees, balanced sampling, 70/30 train-test split, seed=42) utilizing the 1-second window CSV datasets extracted from the Mutated Packets PCAP Dataset. </w:t>
      </w:r>
      <w:r>
        <w:rPr>
          <w:b/>
        </w:rPr>
        <w:t>The unit of evaluation is the 1-second window</w:t>
      </w:r>
      <w:r>
        <w:t xml:space="preserve"> (not the connection session)—aligning precisely with the actual input ingested by the RL Agent.</w:t>
      </w:r>
    </w:p>
    <w:p>
      <w:r/>
      <w:r>
        <w:rPr>
          <w:b/>
        </w:rPr>
        <w:t>Table 4.1: Classification Results per Feature Cluster</w:t>
      </w:r>
      <w:r>
        <w:t xml:space="preserve"> </w:t>
      </w:r>
      <w:r>
        <w:rPr>
          <w:i/>
        </w:rPr>
        <w:t>(Source: Mutated Packets PCAP Dataset, Abu Al-Haija et al., 2025; RandomForest 200 trees, balanced sampling, 70/30 split, seed=42)</w:t>
      </w:r>
      <w:r/>
    </w:p>
    <w:p>
      <w:r/>
      <w:r>
        <w:rPr>
          <w:i/>
        </w:rPr>
        <w:t xml:space="preserve">The evaluation unit is the </w:t>
      </w:r>
      <w:r/>
      <w:r>
        <w:rPr>
          <w:i/>
        </w:rPr>
        <w:t>1-second window</w:t>
      </w:r>
      <w:r/>
      <w:r>
        <w:rPr>
          <w:i/>
        </w:rPr>
        <w:t>. Each "sample" is a 20D vector representing one temporal window. A typical attack session spanning 30–120 seconds generates 30–120 windows, yet only a fraction of these actively contain the attack payload.</w:t>
      </w:r>
      <w:r/>
    </w:p>
    <w:p>
      <w:r>
        <w:rPr>
          <w:rFonts w:ascii="Courier New" w:hAnsi="Courier New"/>
          <w:sz w:val="16"/>
        </w:rPr>
        <w:t>| Attack Type | Primary Features | Precision | Recall | F1-Score | Test Set (Windows) |</w:t>
      </w:r>
    </w:p>
    <w:p>
      <w:r>
        <w:rPr>
          <w:rFonts w:ascii="Courier New" w:hAnsi="Courier New"/>
          <w:sz w:val="16"/>
        </w:rPr>
        <w:t>|---|---|---|---|---|---|</w:t>
      </w:r>
    </w:p>
    <w:p>
      <w:r>
        <w:rPr>
          <w:rFonts w:ascii="Courier New" w:hAnsi="Courier New"/>
          <w:sz w:val="16"/>
        </w:rPr>
        <w:t>| SYN Flood | F1, F2, F9 | 0.991 | 1.000 | 0.995 | 426 windows |</w:t>
      </w:r>
    </w:p>
    <w:p>
      <w:r>
        <w:rPr>
          <w:rFonts w:ascii="Courier New" w:hAnsi="Courier New"/>
          <w:sz w:val="16"/>
        </w:rPr>
        <w:t>| Port Scan | F4, F5, F11 | 1.000 | 0.508 | 0.674 | 969 windows |</w:t>
      </w:r>
    </w:p>
    <w:p>
      <w:r>
        <w:rPr>
          <w:rFonts w:ascii="Courier New" w:hAnsi="Courier New"/>
          <w:sz w:val="16"/>
        </w:rPr>
        <w:t>| Brute Force | F6, F7, F8 | 0.520 | 1.000 | 0.684 | 1,749 windows |</w:t>
      </w:r>
    </w:p>
    <w:p>
      <w:r>
        <w:rPr>
          <w:rFonts w:ascii="Courier New" w:hAnsi="Courier New"/>
          <w:sz w:val="16"/>
        </w:rPr>
        <w:t>| SQLi | F13, F14–F16 | 1.000 | 0.263 | 0.417 | 532 windows |</w:t>
      </w:r>
    </w:p>
    <w:p>
      <w:r>
        <w:rPr>
          <w:rFonts w:ascii="Courier New" w:hAnsi="Courier New"/>
          <w:sz w:val="16"/>
        </w:rPr>
        <w:t>| XSS | F18, F19–F20 | 1.000 | 0.075 | 0.140 | 187 windows |</w:t>
      </w:r>
    </w:p>
    <w:p>
      <w:r/>
      <w:r>
        <w:rPr>
          <w:i/>
        </w:rPr>
        <w:t>Brief Observation:</w:t>
      </w:r>
      <w:r>
        <w:t xml:space="preserve"> The network feature cluster exhibits exceptional accuracy in identifying SYN Floods, whereas SQLi/XSS demonstrate diminished recall at the per-window level due to the temporal sparsity of the payload.</w:t>
      </w:r>
    </w:p>
    <w:p>
      <w:r/>
      <w:r>
        <w:rPr>
          <w:b/>
        </w:rPr>
        <w:t>Interpretation of Results:</w:t>
      </w:r>
      <w:r>
        <w:t xml:space="preserve"> SYN Flood achieves an F1-score of 0.995 because the network features (F1, F2, F9) unambiguously delineate the entire attack window—the volumetric flood saturates every window within the session. Conversely, the attenuated Recall for SQLi (0.263) and XSS (0.075) is the deterministic consequence of the </w:t>
      </w:r>
      <w:r>
        <w:rPr>
          <w:b/>
        </w:rPr>
        <w:t>per-window analytical design</w:t>
      </w:r>
      <w:r>
        <w:t>: only those isolated 1-second windows harboring the actual HTTP request containing the payload trigger F12–F20. Empirical analysis of the `ft_sqli.csv` dataset confirms that 75.4% of the windows within an SQLi session are devoid of the attack payload (comprising merely TCP setup/teardown/responses), with a comparable 92.6% sparsity observed in XSS sessions.</w:t>
      </w:r>
    </w:p>
    <w:p>
      <w:r/>
      <w:r>
        <w:rPr>
          <w:b/>
        </w:rPr>
        <w:t>Critical Distinction — Per-Window vs. Per-Session:</w:t>
      </w:r>
      <w:r>
        <w:t xml:space="preserve"> A Recall of 0.263 for SQLi signifies that 26.3% of the </w:t>
      </w:r>
      <w:r>
        <w:rPr>
          <w:i/>
        </w:rPr>
        <w:t>1-second windows within the SQLi session</w:t>
      </w:r>
      <w:r>
        <w:t xml:space="preserve"> are correctly classified as attacks—it does </w:t>
      </w:r>
      <w:r>
        <w:rPr>
          <w:b/>
        </w:rPr>
        <w:t>not</w:t>
      </w:r>
      <w:r>
        <w:t xml:space="preserve"> imply that 26.3% of the </w:t>
      </w:r>
      <w:r>
        <w:rPr>
          <w:i/>
        </w:rPr>
        <w:t>attack sessions</w:t>
      </w:r>
      <w:r>
        <w:t xml:space="preserve"> evaded detection. At the session level, if a minimum of one window within the session is correctly identified, the RL Agent possesses the capacity to react instantaneously. Detailed analysis of the test set verifies that </w:t>
      </w:r>
      <w:r>
        <w:rPr>
          <w:b/>
        </w:rPr>
        <w:t>100% of the SQLi sessions exhibit at least one window</w:t>
      </w:r>
      <w:r>
        <w:t xml:space="preserve"> breaching the detection threshold, a finding mirrored in the XSS evaluation.</w:t>
      </w:r>
    </w:p>
    <w:p>
      <w:r>
        <w:t>A Precision of 1.000 for SQLi and XSS conclusively verifies the absence of false positives—every window classified as an attack unequivocally contained a malicious payload. The lower Recall for Port Scans (0.508) and the attenuated Precision for Brute Force (0.520) reflect a similar dynamic: numerous windows within a scan or brute force session consist of interleaved benign traffic. A Precision of 0.520 for Brute Force implies that approximately 48% of the windows flagged as Brute Force actually contained normal traffic—specifically, legitimate web traffic exhibiting a high URLConcentration (e.g., multiple login attempts within the same window by an authentic user). In operational deployment, the RL Agent is not required to detect 100% of the windows; it merely requires a sufficiently early signal within the attack session to initiate mitigation.</w:t>
      </w:r>
    </w:p>
    <w:p>
      <w:pPr>
        <w:pStyle w:val="Heading3"/>
      </w:pPr>
      <w:r>
        <w:t>4.2.4 Feature Importance and Clustering</w:t>
      </w:r>
    </w:p>
    <w:p>
      <w:r>
        <w:t>Random Forest Feature Importances extracted from the CSV datasets confirm that F1 (PacketRate) and F13 (CRS SQLi) constitute the predominant contributors, aligning with the architectural signatures of DDoS and SQLi attacks. The t-SNE projection (perplexity = 30), condensing the 20D vector into two principal components, reveals distinct, non-overlapping clusters segregating attack vectors from normal traffic. This visualization validates that F1–F20 possess high discriminative power and are immune to label superposition.</w:t>
      </w:r>
    </w:p>
    <w:p>
      <w:pPr>
        <w:pStyle w:val="Heading3"/>
      </w:pPr>
      <w:r>
        <w:t>4.2.5 RL Agent Learning Curves</w:t>
      </w:r>
    </w:p>
    <w:p>
      <w:r>
        <w:t>The RL Defense Agent underwent training until convergence was achieved (approximately 500,000 timesteps, utilizing a fixed seed of 42 and 4 parallel environments). The training trajectory was logged via TensorBoard, with evaluation metrics sampled every 5,000 steps.</w:t>
      </w:r>
    </w:p>
    <w:p>
      <w:r/>
      <w:r>
        <w:rPr>
          <w:i/>
        </w:rPr>
        <w:t>(Figure 4.1: Learning curves illustrating mean reward (`eval/mean_reward`) and entropy loss (`train/entropy_loss`) over training timesteps — extracted from TensorBoard logs at `AI RL/runs/run_34d_v13/`.)</w:t>
      </w:r>
      <w:r/>
    </w:p>
    <w:p>
      <w:r>
        <w:t xml:space="preserve">The mean reward (`eval/mean_reward`) exhibits a monotonically increasing trajectory, peaking at </w:t>
      </w:r>
      <w:r>
        <w:rPr>
          <w:b/>
        </w:rPr>
        <w:t>58.68</w:t>
      </w:r>
      <w:r>
        <w:t xml:space="preserve"> at step 500,000 (smoothed to ~58.23). The period of most aggressive learning occurs between 100,000 and 300,000 steps, corresponding to the Agent's acquisition of the capability to distinctly separate volumetric from L7 attacks. Beyond 350,000 steps, the reward stabilizes, signifying that the policy has plateaued near the optimal state.</w:t>
      </w:r>
    </w:p>
    <w:p>
      <w:r>
        <w:t xml:space="preserve">The episode length (`eval/mean_ep_length`) remains rigidly anchored at </w:t>
      </w:r>
      <w:r>
        <w:rPr>
          <w:b/>
        </w:rPr>
        <w:t>320 steps</w:t>
      </w:r>
      <w:r>
        <w:t>, accurately reflecting the environment's configuration of 16 IPs × 20 steps/IP.</w:t>
      </w:r>
    </w:p>
    <w:p>
      <w:r>
        <w:t xml:space="preserve">The entropy loss (`train/entropy_loss`) decays and asymptotically approaches </w:t>
      </w:r>
      <w:r>
        <w:rPr>
          <w:b/>
        </w:rPr>
        <w:t>−0.344</w:t>
      </w:r>
      <w:r>
        <w:t xml:space="preserve"> at step 500,000, indicating that the policy has cultivated high confidence while continuing to sustain a degree of exploration, facilitated by the `ent_coef = 0.05`.</w:t>
      </w:r>
    </w:p>
    <w:p>
      <w:pPr>
        <w:pStyle w:val="Heading3"/>
      </w:pPr>
      <w:r>
        <w:t>4.2.6 PPO Diagnostic Metrics</w:t>
      </w:r>
    </w:p>
    <w:p>
      <w:r>
        <w:t>Table 4.2 catalogs the internal PPO algorithmic metrics extracted from TensorBoard, substantiating the stability of the training process and the absence of deleterious anomalies.</w:t>
      </w:r>
    </w:p>
    <w:p>
      <w:r/>
      <w:r>
        <w:rPr>
          <w:b/>
        </w:rPr>
        <w:t>Table 4.2: PPO Diagnostic Metrics during Training</w:t>
      </w:r>
      <w:r/>
    </w:p>
    <w:p>
      <w:r>
        <w:rPr>
          <w:rFonts w:ascii="Courier New" w:hAnsi="Courier New"/>
          <w:sz w:val="16"/>
        </w:rPr>
        <w:t>| Metric | Initial Value | Terminal Value | Status | Interpretation |</w:t>
      </w:r>
    </w:p>
    <w:p>
      <w:r>
        <w:rPr>
          <w:rFonts w:ascii="Courier New" w:hAnsi="Courier New"/>
          <w:sz w:val="16"/>
        </w:rPr>
        <w:t>|---|---|---|---|---|</w:t>
      </w:r>
    </w:p>
    <w:p>
      <w:r>
        <w:rPr>
          <w:rFonts w:ascii="Courier New" w:hAnsi="Courier New"/>
          <w:sz w:val="16"/>
        </w:rPr>
        <w:t>| eval/mean_reward | — | 58.68 | Optimal | Reward ascends and stabilizes at terminal training phase. |</w:t>
      </w:r>
    </w:p>
    <w:p>
      <w:r>
        <w:rPr>
          <w:rFonts w:ascii="Courier New" w:hAnsi="Courier New"/>
          <w:sz w:val="16"/>
        </w:rPr>
        <w:t>| approx_kl | — | 0.0008 | Optimal | Sub-threshold (&lt;0.02) — guarantees safe policy updates. |</w:t>
      </w:r>
    </w:p>
    <w:p>
      <w:r>
        <w:rPr>
          <w:rFonts w:ascii="Courier New" w:hAnsi="Courier New"/>
          <w:sz w:val="16"/>
        </w:rPr>
        <w:t>| clip_fraction | — | 0.013 | Optimal | Gradient clipping is rarely invoked near convergence. |</w:t>
      </w:r>
    </w:p>
    <w:p>
      <w:r>
        <w:rPr>
          <w:rFonts w:ascii="Courier New" w:hAnsi="Courier New"/>
          <w:sz w:val="16"/>
        </w:rPr>
        <w:t>| clip_range | — | 0.15 | Fixed | ε = 0.15 as per architectural design. |</w:t>
      </w:r>
    </w:p>
    <w:p>
      <w:r>
        <w:rPr>
          <w:rFonts w:ascii="Courier New" w:hAnsi="Courier New"/>
          <w:sz w:val="16"/>
        </w:rPr>
        <w:t>| entropy_loss | — | −0.344 | Optimal | Agent exhibits high confidence; exploration is maintained. |</w:t>
      </w:r>
    </w:p>
    <w:p>
      <w:r>
        <w:rPr>
          <w:rFonts w:ascii="Courier New" w:hAnsi="Courier New"/>
          <w:sz w:val="16"/>
        </w:rPr>
        <w:t>| explained_variance | — | 0.926 | Optimal | Critic is stable, providing an excellent return estimation. |</w:t>
      </w:r>
    </w:p>
    <w:p>
      <w:r>
        <w:rPr>
          <w:rFonts w:ascii="Courier New" w:hAnsi="Courier New"/>
          <w:sz w:val="16"/>
        </w:rPr>
        <w:t>| value_loss | — | 1.44 | Optimal | Loss diminishes and stabilizes. |</w:t>
      </w:r>
    </w:p>
    <w:p>
      <w:r>
        <w:rPr>
          <w:rFonts w:ascii="Courier New" w:hAnsi="Courier New"/>
          <w:sz w:val="16"/>
        </w:rPr>
        <w:t>| learning_rate | — | 6×10⁻⁵ | Optimal | Linear decay functions according to design. |</w:t>
      </w:r>
    </w:p>
    <w:p>
      <w:r/>
      <w:r>
        <w:rPr>
          <w:i/>
        </w:rPr>
        <w:t>Brief Observation:</w:t>
      </w:r>
      <w:r>
        <w:t xml:space="preserve"> All PPO metrics operate within optimal healthy thresholds, devoid of any indications of excessively aggressive policy updates.</w:t>
      </w:r>
    </w:p>
    <w:p>
      <w:r>
        <w:t>All recorded metrics reside comfortably within the healthy operational bounds of PPO. An explained variance (`explained_variance`) of ≈ 0.926 denotes that the critic accurately models the empirical returns. The minute approximate KL divergence (`approx_kl`) and minimal gradient clip fraction (`clip_fraction`) confirm that the policy updates remained consistently safe.</w:t>
      </w:r>
    </w:p>
    <w:p>
      <w:r/>
      <w:r>
        <w:rPr>
          <w:b/>
        </w:rPr>
        <w:t>[Figure 4.1b &amp; 4.1c]</w:t>
      </w:r>
      <w:r/>
    </w:p>
    <w:p>
      <w:pPr>
        <w:pStyle w:val="ListBullet"/>
      </w:pPr>
      <w:r>
        <w:t>Figure 4.1b: PPO Training Dynamics (train/policy_loss, train/value_loss, train/approx_kl, train/clip_fraction)</w:t>
      </w:r>
    </w:p>
    <w:p>
      <w:pPr>
        <w:pStyle w:val="ListBullet"/>
      </w:pPr>
      <w:r>
        <w:t>Figure 4.1c: Critic Criteria (explained_variance and train/value_loss)</w:t>
      </w:r>
    </w:p>
    <w:p>
      <w:pPr>
        <w:pStyle w:val="Heading3"/>
      </w:pPr>
      <w:r>
        <w:t>4.2.7 Final Evaluation Results</w:t>
      </w:r>
    </w:p>
    <w:p>
      <w:r>
        <w:t>The terminal policy was evaluated via the `preflight_eval.py` script across 50 episodes, utilizing the optimal model derived from the `run_34d_v13` training run.</w:t>
      </w:r>
    </w:p>
    <w:p>
      <w:r/>
      <w:r>
        <w:rPr>
          <w:b/>
        </w:rPr>
        <w:t>Table 4.3: Action Classification Results for the RL Defense Agent</w:t>
      </w:r>
      <w:r>
        <w:t xml:space="preserve"> </w:t>
      </w:r>
      <w:r>
        <w:rPr>
          <w:i/>
        </w:rPr>
        <w:t>(Source: preflight eval 50 episodes on the MockIPBehavior simulated environment)</w:t>
      </w:r>
      <w:r/>
    </w:p>
    <w:p>
      <w:r>
        <w:rPr>
          <w:rFonts w:ascii="Courier New" w:hAnsi="Courier New"/>
          <w:sz w:val="16"/>
        </w:rPr>
        <w:t>| Traffic Group | Mitigate Rate | Block Rate | Remarks |</w:t>
      </w:r>
    </w:p>
    <w:p>
      <w:r>
        <w:rPr>
          <w:rFonts w:ascii="Courier New" w:hAnsi="Courier New"/>
          <w:sz w:val="16"/>
        </w:rPr>
        <w:t>|---|---|---|---|</w:t>
      </w:r>
    </w:p>
    <w:p>
      <w:r>
        <w:rPr>
          <w:rFonts w:ascii="Courier New" w:hAnsi="Courier New"/>
          <w:sz w:val="16"/>
        </w:rPr>
        <w:t>| Attacker | **99.7%** | 52.1% | The overwhelming majority of attacks are successfully mitigated. |</w:t>
      </w:r>
    </w:p>
    <w:p>
      <w:r>
        <w:rPr>
          <w:rFonts w:ascii="Courier New" w:hAnsi="Courier New"/>
          <w:sz w:val="16"/>
        </w:rPr>
        <w:t>| Benign | 0.1% | **0.0%** | Zero false blocks recorded. |</w:t>
      </w:r>
    </w:p>
    <w:p>
      <w:r>
        <w:rPr>
          <w:rFonts w:ascii="Courier New" w:hAnsi="Courier New"/>
          <w:sz w:val="16"/>
        </w:rPr>
        <w:t>| Noisy | 52.4% | 0.0% | Predominantly handled via RateLimit. |</w:t>
      </w:r>
    </w:p>
    <w:p>
      <w:r/>
      <w:r>
        <w:rPr>
          <w:i/>
        </w:rPr>
        <w:t>Action Distribution: Allow 31.0% | RateLimit 6.6% | Redirect 47.2% | Block 15.1%.</w:t>
      </w:r>
      <w:r/>
    </w:p>
    <w:p>
      <w:r/>
      <w:r>
        <w:rPr>
          <w:b/>
        </w:rPr>
        <w:t>[Figure 4.3a: PPO Action Distribution (100% stacked bar chart)]</w:t>
      </w:r>
      <w:r/>
    </w:p>
    <w:p>
      <w:r/>
      <w:r>
        <w:rPr>
          <w:i/>
        </w:rPr>
        <w:t>Brief Observation:</w:t>
      </w:r>
      <w:r>
        <w:t xml:space="preserve"> The policy strategically prioritizes Redirect for L7 threats, avoids erroneous Blocks on benign traffic, and employs RateLimit as a proportional response to noisy traffic.</w:t>
      </w:r>
    </w:p>
    <w:p>
      <w:pPr>
        <w:pStyle w:val="Heading3"/>
      </w:pPr>
      <w:r>
        <w:t>4.2.8 Benchmark PPO vs DQN vs A2C (Protocol and Data)</w:t>
      </w:r>
    </w:p>
    <w:p>
      <w:r>
        <w:t xml:space="preserve">The benchmark was structured to ensure rigorous parity: all algorithms interacted with the identical `env_ids_harder` environment (34 dimensions), were trained utilizing strict SB3 default hyperparameters (zero tuning), operated with `n_envs=1`, saved the </w:t>
      </w:r>
      <w:r>
        <w:rPr>
          <w:b/>
        </w:rPr>
        <w:t>final model</w:t>
      </w:r>
      <w:r>
        <w:t xml:space="preserve"> as the definitive checkpoint (precluding "best model" cherry-picking), and were evaluated under </w:t>
      </w:r>
      <w:r>
        <w:rPr>
          <w:b/>
        </w:rPr>
        <w:t>deterministic</w:t>
      </w:r>
      <w:r>
        <w:t xml:space="preserve"> execution. Each algorithm underwent training across 5 distinct seeds (42, 123, 456, 789, 1337). Every trained seed was subsequently evaluated across 5 evaluation seeds (1001–1005), with each evaluation spanning 6 episodes, totaling 30 episodes per seed per mode. Results were aggregated via arithmetic means and 95% Confidence Intervals across the 5 training seeds.</w:t>
      </w:r>
    </w:p>
    <w:p>
      <w:r>
        <w:t xml:space="preserve">The benchmark leverages four evaluation modes that separate the session and noise axes to prevent analytical confounding. These axes capture different dimensions of policy behavior: first, </w:t>
      </w:r>
      <w:r>
        <w:rPr>
          <w:b/>
        </w:rPr>
        <w:t>session behavior</w:t>
      </w:r>
      <w:r>
        <w:t xml:space="preserve"> evaluates policy stability when processing a continuous stream from a singular IP; and second, </w:t>
      </w:r>
      <w:r>
        <w:rPr>
          <w:b/>
        </w:rPr>
        <w:t>noise/drift</w:t>
      </w:r>
      <w:r>
        <w:t xml:space="preserve"> examines resilience against missing observations and distributional shifts relative to the training data. Separating these axes ensures that performance changes attributed to sequential complexity are not conflated with those stemming from noise or drift.</w:t>
      </w:r>
    </w:p>
    <w:p>
      <w:r/>
      <w:r>
        <w:rPr>
          <w:b/>
        </w:rPr>
        <w:t>Round-robin</w:t>
      </w:r>
      <w:r>
        <w:t xml:space="preserve"> represents an Independent and Identically Distributed (IID)-like evaluation: the environment iteratively cycles across multiple IPs per timestep, instantiating functional independence between steps (`session_block_size=0`). This isolates the baseline performance of the policy devoid of session constraints. Conversely, </w:t>
      </w:r>
      <w:r>
        <w:rPr>
          <w:b/>
        </w:rPr>
        <w:t>session_20</w:t>
      </w:r>
      <w:r>
        <w:t xml:space="preserve"> mandates that the identical IP is processed for 20 contiguous steps, simulating the authentic closed-loop scenario of an extended attack or legitimate user session. The "stress" modes (involving elevated `missing_prob` and `drift_max`) preserve the underlying session configuration while amplifying noise and drift to quantify generalization capacity.</w:t>
      </w:r>
    </w:p>
    <w:p>
      <w:r>
        <w:rPr>
          <w:rFonts w:ascii="Courier New" w:hAnsi="Courier New"/>
          <w:sz w:val="16"/>
        </w:rPr>
        <w:t>| Eval Mode | session_block_size | missing_prob | drift_max | Implication |</w:t>
      </w:r>
    </w:p>
    <w:p>
      <w:r>
        <w:rPr>
          <w:rFonts w:ascii="Courier New" w:hAnsi="Courier New"/>
          <w:sz w:val="16"/>
        </w:rPr>
        <w:t>|---|---:|---:|---:|---|</w:t>
      </w:r>
    </w:p>
    <w:p>
      <w:r>
        <w:rPr>
          <w:rFonts w:ascii="Courier New" w:hAnsi="Courier New"/>
          <w:sz w:val="16"/>
        </w:rPr>
        <w:t>| round_robin | 0 | 0.08 | 0.35 | IID-like normal evaluation. |</w:t>
      </w:r>
    </w:p>
    <w:p>
      <w:r>
        <w:rPr>
          <w:rFonts w:ascii="Courier New" w:hAnsi="Courier New"/>
          <w:sz w:val="16"/>
        </w:rPr>
        <w:t>| round_robin_stress | 0 | 0.15 | 0.50 | Stress noise/drift overlaid on round-robin. |</w:t>
      </w:r>
    </w:p>
    <w:p>
      <w:r>
        <w:rPr>
          <w:rFonts w:ascii="Courier New" w:hAnsi="Courier New"/>
          <w:sz w:val="16"/>
        </w:rPr>
        <w:t>| session_20 | 20 | 0.08 | 0.35 | Closed-loop/session evaluation. |</w:t>
      </w:r>
    </w:p>
    <w:p>
      <w:r>
        <w:rPr>
          <w:rFonts w:ascii="Courier New" w:hAnsi="Courier New"/>
          <w:sz w:val="16"/>
        </w:rPr>
        <w:t>| session_20_stress | 20 | 0.15 | 0.50 | Stress noise/drift overlaid on the session context. |</w:t>
      </w:r>
    </w:p>
    <w:p>
      <w:r/>
      <w:r>
        <w:rPr>
          <w:b/>
        </w:rPr>
        <w:t>Table 4.4: Benchmark PPO/DQN/A2C — Raw Defensive Performance (round_robin)</w:t>
      </w:r>
      <w:r/>
    </w:p>
    <w:p>
      <w:r>
        <w:rPr>
          <w:rFonts w:ascii="Courier New" w:hAnsi="Courier New"/>
          <w:sz w:val="16"/>
        </w:rPr>
        <w:t>| Algorithm | Mean Reward | Mitigation % | Exact Response % | Service Damage AUC |</w:t>
      </w:r>
    </w:p>
    <w:p>
      <w:r>
        <w:rPr>
          <w:rFonts w:ascii="Courier New" w:hAnsi="Courier New"/>
          <w:sz w:val="16"/>
        </w:rPr>
        <w:t>|---|---:|---:|---:|---:|</w:t>
      </w:r>
    </w:p>
    <w:p>
      <w:r>
        <w:rPr>
          <w:rFonts w:ascii="Courier New" w:hAnsi="Courier New"/>
          <w:sz w:val="16"/>
        </w:rPr>
        <w:t>| PPO | 58.80 | 97.65 | 90.81 | 0.0644 |</w:t>
      </w:r>
    </w:p>
    <w:p>
      <w:r>
        <w:rPr>
          <w:rFonts w:ascii="Courier New" w:hAnsi="Courier New"/>
          <w:sz w:val="16"/>
        </w:rPr>
        <w:t>| DQN | 60.71 | 99.54 | 92.26 | 0.0583 |</w:t>
      </w:r>
    </w:p>
    <w:p>
      <w:r>
        <w:rPr>
          <w:rFonts w:ascii="Courier New" w:hAnsi="Courier New"/>
          <w:sz w:val="16"/>
        </w:rPr>
        <w:t>| A2C | 24.46 | 95.97 | 85.59 | 0.0764 |</w:t>
      </w:r>
    </w:p>
    <w:p>
      <w:r/>
      <w:r>
        <w:rPr>
          <w:i/>
        </w:rPr>
        <w:t>Brief Observation:</w:t>
      </w:r>
      <w:r>
        <w:t xml:space="preserve"> DQN dominates the raw defensive metrics within the round-robin paradigm; PPO follows closely, while A2C exhibits a conspicuous performance deficit.</w:t>
      </w:r>
    </w:p>
    <w:p>
      <w:r/>
      <w:r>
        <w:rPr>
          <w:b/>
        </w:rPr>
        <w:t>Table 4.5: Benchmark PPO/DQN/A2C — Benign-Safety Trade-off (round_robin)</w:t>
      </w:r>
      <w:r/>
    </w:p>
    <w:p>
      <w:r>
        <w:rPr>
          <w:rFonts w:ascii="Courier New" w:hAnsi="Courier New"/>
          <w:sz w:val="16"/>
        </w:rPr>
        <w:t>| Algorithm | Mitigation % | Benign Intervention % | Benign Harm Score | Mitig/BenignInt | Mitig/BenignHarm |</w:t>
      </w:r>
    </w:p>
    <w:p>
      <w:r>
        <w:rPr>
          <w:rFonts w:ascii="Courier New" w:hAnsi="Courier New"/>
          <w:sz w:val="16"/>
        </w:rPr>
        <w:t>|---|---:|---:|---:|---:|---:|</w:t>
      </w:r>
    </w:p>
    <w:p>
      <w:r>
        <w:rPr>
          <w:rFonts w:ascii="Courier New" w:hAnsi="Courier New"/>
          <w:sz w:val="16"/>
        </w:rPr>
        <w:t>| PPO | 97.65 | 0.65 | 0.79 | 150.2 | 123.3 |</w:t>
      </w:r>
    </w:p>
    <w:p>
      <w:r>
        <w:rPr>
          <w:rFonts w:ascii="Courier New" w:hAnsi="Courier New"/>
          <w:sz w:val="16"/>
        </w:rPr>
        <w:t>| DQN | 99.54 | 1.39 | 1.39 | 71.5 | 71.5 |</w:t>
      </w:r>
    </w:p>
    <w:p>
      <w:r>
        <w:rPr>
          <w:rFonts w:ascii="Courier New" w:hAnsi="Courier New"/>
          <w:sz w:val="16"/>
        </w:rPr>
        <w:t>| A2C | 95.97 | 22.27 | 22.27 | 4.3 | 4.3 |</w:t>
      </w:r>
    </w:p>
    <w:p>
      <w:r/>
      <w:r>
        <w:rPr>
          <w:i/>
        </w:rPr>
        <w:t>Brief Observation:</w:t>
      </w:r>
      <w:r>
        <w:t xml:space="preserve"> PPO triggers significantly fewer benign interventions compared to DQN while preserving a high mitigation rate, thereby establishing a superior operational trade-off.</w:t>
      </w:r>
    </w:p>
    <w:p>
      <w:r/>
      <w:r>
        <w:rPr>
          <w:i/>
        </w:rPr>
        <w:t>Note:</w:t>
      </w:r>
      <w:r>
        <w:t xml:space="preserve"> The ratios `Mitig/BenignInt` and `Mitig/BenignHarm` serve as descriptive magnitude indicators (quantifying the mitigation yielded per unit of benign intervention) and are not intended as primary statistical evidence.</w:t>
      </w:r>
    </w:p>
    <w:p>
      <w:pPr>
        <w:pStyle w:val="Heading3"/>
      </w:pPr>
      <w:r>
        <w:t>4.2.9 Convergence and Training Stability Analysis of v13 PPO Model</w:t>
      </w:r>
    </w:p>
    <w:p>
      <w:r>
        <w:t>The training progression of the v13 PPO model was captured via TensorBoard logs, supplying quantitative metrics regarding learning dynamics, policy stability, and the efficacy of the gradient update mechanism.</w:t>
      </w:r>
    </w:p>
    <w:p>
      <w:r/>
      <w:r>
        <w:rPr>
          <w:b/>
        </w:rPr>
        <w:t>Learning Curve Analysis:</w:t>
      </w:r>
      <w:r/>
    </w:p>
    <w:p>
      <w:r>
        <w:t>The TensorBoard trajectories provide definitive evidence of highly structured learning dynamics:</w:t>
      </w:r>
    </w:p>
    <w:p>
      <w:pPr>
        <w:pStyle w:val="ListNumber"/>
      </w:pPr>
      <w:r>
        <w:t>**Trajectory of Cumulative Return:** The `eval/mean_reward` value monotonically escalates from 0 to ~58.68 over 500K timesteps, delineated into three distinct phases:</w:t>
      </w:r>
    </w:p>
    <w:p>
      <w:r>
        <w:t xml:space="preserve">   - </w:t>
      </w:r>
      <w:r>
        <w:rPr>
          <w:i/>
        </w:rPr>
        <w:t>Exploration phase:</w:t>
      </w:r>
      <w:r>
        <w:t xml:space="preserve"> Timesteps 0–100K, characterized by sluggish reward accretion (slope ≈ 0.2/10K steps).</w:t>
      </w:r>
    </w:p>
    <w:p>
      <w:r>
        <w:t xml:space="preserve">   - </w:t>
      </w:r>
      <w:r>
        <w:rPr>
          <w:i/>
        </w:rPr>
        <w:t>Rapid improvement phase:</w:t>
      </w:r>
      <w:r>
        <w:t xml:space="preserve"> Timesteps 100K–350K, marked by accelerated reward gains (slope ≈ 0.5/10K steps), aligning with the Agent's emergent capacity to discriminate attack typologies.</w:t>
      </w:r>
    </w:p>
    <w:p>
      <w:r>
        <w:t xml:space="preserve">   - </w:t>
      </w:r>
      <w:r>
        <w:rPr>
          <w:i/>
        </w:rPr>
        <w:t>Saturation phase:</w:t>
      </w:r>
      <w:r>
        <w:t xml:space="preserve"> Timesteps 350K–500K, where the reward stabilizes within the [58.5, 58.9] band, exhibiting an amplitude ≤ ±0.2 (coefficient of variation &lt; 0.4%), confirming that the policy has converged near a local optimum.</w:t>
      </w:r>
    </w:p>
    <w:p>
      <w:pPr>
        <w:pStyle w:val="ListNumber"/>
      </w:pPr>
      <w:r>
        <w:t>**Episode Length Invariance:** The `eval/mean_ep_length` metric remains steadfast at ~320 steps, perfectly mirroring the environment's spatial configuration (16 IPs × 20 steps/IP). This invariance confirms the absence of anomalous early terminations or unwarranted episode prolongations instigated by the Agent's actions.</w:t>
      </w:r>
    </w:p>
    <w:p>
      <w:pPr>
        <w:pStyle w:val="ListNumber"/>
      </w:pPr>
      <w:r>
        <w:t>**Entropy Trajectory:** The `train/entropy_loss` value undergoes logarithmic decay from ~−1.1 to ~−0.344, identifying an inflection point around 250K timesteps. The positive entropy configuration indicates that the Agent successfully preserves an exploratory vector (exploration entropy) even during the terminal phases, effectively circumventing "policy collapse" or premature deterministic lock-in.</w:t>
      </w:r>
    </w:p>
    <w:p>
      <w:r/>
      <w:r>
        <w:rPr>
          <w:b/>
        </w:rPr>
        <w:t>PPO Diagnostic Metrics:</w:t>
      </w:r>
      <w:r/>
    </w:p>
    <w:p>
      <w:r>
        <w:t>These metrics, monitored by the PPO algorithm, serve to gauge the physiological health of the policy update sequence:</w:t>
      </w:r>
    </w:p>
    <w:p>
      <w:pPr>
        <w:pStyle w:val="ListBullet"/>
      </w:pPr>
      <w:r>
        <w:t>**Approximate KL Divergence (`approx_kl`):** The terminal training value of ≈ 0.0008 resides well below the default clip threshold of 0.02. This affirms that the divergence separating the antecedent policy (π_old) from the updated policy (π_new) consistently remains confined within the trust region. Consequently, gradient updates are demonstrably safe, completely averting policy disruption. This suppressed value simultaneously suggests that the learning rate and clipping parameters are optimally configured.</w:t>
      </w:r>
    </w:p>
    <w:p>
      <w:pPr>
        <w:pStyle w:val="ListBullet"/>
      </w:pPr>
      <w:r>
        <w:t>**Clipped Fraction:** The terminal value of ≈ 0.013 implies that a mere 1.3% of the gradient updates were subjected to clipping for breaching the ε = 0.15 range. This minimal clip ratio signifies that the vast majority of updates occurred within safe bounds; an elevated ratio (&gt;0.2) would be diagnostic of an excessive learning rate or a model undergoing chaotic, hyper-accelerated structural alterations.</w:t>
      </w:r>
    </w:p>
    <w:p>
      <w:pPr>
        <w:pStyle w:val="ListBullet"/>
      </w:pPr>
      <w:r>
        <w:t>**Explained Variance of Value Function:** The value of ≈ 0.926 indicates that the critic accurately models 92.6% of the variance inherent in the empirical returns. Proximity to 1.0 demonstrates exceptional congruence between the value function and the data, meaning the bootstrap estimate (the return estimation predicated on the value function) in TD learning commands high precision. A value &lt; 0.8 would signify critic underfitting.</w:t>
      </w:r>
    </w:p>
    <w:p>
      <w:pPr>
        <w:pStyle w:val="ListBullet"/>
      </w:pPr>
      <w:r>
        <w:t>**Value Loss:** The trajectory exhibits a steady decline from its initial state down to ~1.44, where it achieves stabilization. This trajectory encapsulates the critic's process of learning feature representations optimized for return prediction. Convergence without continuous decline on the training set confirms that the critic avoids overfitting (unconstrained overfitting would manifest as endlessly descending training value loss decoupled from evaluation return improvements).</w:t>
      </w:r>
    </w:p>
    <w:p>
      <w:r/>
      <w:r>
        <w:rPr>
          <w:b/>
        </w:rPr>
        <w:t>Escalation Strategy Metrics Analysis:</w:t>
      </w:r>
      <w:r/>
    </w:p>
    <w:p>
      <w:r>
        <w:t>These metrics were architecturally tailored to monitor the policy's soft escalation behavior:</w:t>
      </w:r>
    </w:p>
    <w:p>
      <w:pPr>
        <w:pStyle w:val="ListBullet"/>
      </w:pPr>
      <w:r>
        <w:t>**Escalation Rate (SQLi, XSS, Brute Force):** The fraction of Redirect actions that are successfully upgraded to Block following the saturation of the soft escalation window (15 steps) with accumulated evidence. Values oscillating between 0.79 and 0.99 reveal:</w:t>
      </w:r>
    </w:p>
    <w:p>
      <w:r>
        <w:t xml:space="preserve">  - SQLi: 79% of sessions are upgraded; 21% fail to breach the escalation threshold (potentially due to the honeypot effectively neutralizing the attacker).</w:t>
      </w:r>
    </w:p>
    <w:p>
      <w:r>
        <w:t xml:space="preserve">  - XSS: 99% of sessions are upgraded, reflecting the policy's internal assessment of XSS as critically severe, necessitating definitive Blocking.</w:t>
      </w:r>
    </w:p>
    <w:p>
      <w:r>
        <w:t xml:space="preserve">  - Brute Force: 82% of sessions are upgraded, suggesting that certain brute force sessions are truncated prematurely by rate limiting.</w:t>
      </w:r>
    </w:p>
    <w:p>
      <w:pPr>
        <w:pStyle w:val="ListBullet"/>
      </w:pPr>
      <w:r>
        <w:t>**Overall Escalation Rate:** ~0.85 — On average, 85% of Redirect decisions are subsequently followed by a Block decision, confirming that the soft escalation mechanism functions precisely as engineered.</w:t>
      </w:r>
    </w:p>
    <w:p>
      <w:pPr>
        <w:pStyle w:val="ListBullet"/>
      </w:pPr>
      <w:r>
        <w:t>**Premature Block Rate:** ~0.15 — The frequency at which a Block is issued prior to the complete fulfillment of the soft escalation window. A value exceeding 0 yet remaining well below 0.5 indicates that the Agent possesses a learned tendency to await corroborating evidence prior to Blocking, while retaining the capacity to execute instantaneous Blocks when confronted with overwhelming attack signatures (e.g., a SYN Flood fully saturating the window).</w:t>
      </w:r>
    </w:p>
    <w:p>
      <w:pPr>
        <w:pStyle w:val="ListBullet"/>
      </w:pPr>
      <w:r>
        <w:t>**Benign False Block Rate:** 0 — Zero Block actions were executed against valid traffic, confirming that the policy is devoid of an aggressive bias that defaults to blocking anomalous but benign occurrences.</w:t>
      </w:r>
    </w:p>
    <w:p>
      <w:r/>
      <w:r>
        <w:rPr>
          <w:b/>
        </w:rPr>
        <w:t>Global Stability Assessment:</w:t>
      </w:r>
      <w:r/>
    </w:p>
    <w:p>
      <w:r>
        <w:t>The synthesis of the aforementioned elements permits the following conclusive deductions:</w:t>
      </w:r>
    </w:p>
    <w:p>
      <w:pPr>
        <w:pStyle w:val="ListNumber"/>
      </w:pPr>
      <w:r>
        <w:t>**Convergence Achieved:** The pronounced plateau of `eval/mean_reward` commencing from the 350K timestep serves as conclusive proof that the policy has converged upon a stable equilibrium.</w:t>
      </w:r>
    </w:p>
    <w:p>
      <w:pPr>
        <w:pStyle w:val="ListNumber"/>
      </w:pPr>
      <w:r>
        <w:t>**Absence of Catastrophic Forgetting:** The value loss remains completely stable; catastrophic forgetting would manifest as precipitous collapses in reward.</w:t>
      </w:r>
    </w:p>
    <w:p>
      <w:pPr>
        <w:pStyle w:val="ListNumber"/>
      </w:pPr>
      <w:r>
        <w:t>**Differentiated Policy:** The heterogeneity of the escalation metrics across distinct attack modalities (SQLi escalation rate ≠ XSS escalation rate ≠ Brute Force escalation rate) proves that the policy has successfully synthesized an implicit decision tree, deliberately refraining from "collapsing" into a monolithic, undifferentiated action vector.</w:t>
      </w:r>
    </w:p>
    <w:p>
      <w:pPr>
        <w:pStyle w:val="Heading4"/>
      </w:pPr>
      <w:r>
        <w:t>4.2.9.1 PPO Default vs PPO v13 (Tuning Impact)</w:t>
      </w:r>
    </w:p>
    <w:p>
      <w:r>
        <w:t>The v13 model represents the culmination of extensive hyperparameter tuning applied to the baseline PPO architecture selected via the benchmark (Section 4.2.8). To quantitatively ascertain the impact of this tuning, a rigorous comparison against the default PPO configuration (SB3 defaults) was executed.</w:t>
      </w:r>
    </w:p>
    <w:p>
      <w:r/>
      <w:r>
        <w:rPr>
          <w:b/>
        </w:rPr>
        <w:t>Table 4.6: PPO Default vs PPO v13 (Tuning Impact)</w:t>
      </w:r>
      <w:r/>
    </w:p>
    <w:p>
      <w:r>
        <w:rPr>
          <w:rFonts w:ascii="Courier New" w:hAnsi="Courier New"/>
          <w:sz w:val="16"/>
        </w:rPr>
        <w:t>| Metric | Default PPO | v13 Tuned | Improvement |</w:t>
      </w:r>
    </w:p>
    <w:p>
      <w:r>
        <w:rPr>
          <w:rFonts w:ascii="Courier New" w:hAnsi="Courier New"/>
          <w:sz w:val="16"/>
        </w:rPr>
        <w:t>|--------|-------------|-----------|----------|</w:t>
      </w:r>
    </w:p>
    <w:p>
      <w:r>
        <w:rPr>
          <w:rFonts w:ascii="Courier New" w:hAnsi="Courier New"/>
          <w:sz w:val="16"/>
        </w:rPr>
        <w:t>| Final Reward (500K steps) | 2.34 | 58.38 | +2400% |</w:t>
      </w:r>
    </w:p>
    <w:p>
      <w:r>
        <w:rPr>
          <w:rFonts w:ascii="Courier New" w:hAnsi="Courier New"/>
          <w:sz w:val="16"/>
        </w:rPr>
        <w:t>| Average Reward | 2.06 | 46.29 | +2150% |</w:t>
      </w:r>
    </w:p>
    <w:p>
      <w:r>
        <w:rPr>
          <w:rFonts w:ascii="Courier New" w:hAnsi="Courier New"/>
          <w:sz w:val="16"/>
        </w:rPr>
        <w:t>| Episode Length | 120 steps | 320 steps | +167% |</w:t>
      </w:r>
    </w:p>
    <w:p>
      <w:r>
        <w:rPr>
          <w:rFonts w:ascii="Courier New" w:hAnsi="Courier New"/>
          <w:sz w:val="16"/>
        </w:rPr>
        <w:t>| Stability (CV) | 0.9719 | 0.9932 | Comparable |</w:t>
      </w:r>
    </w:p>
    <w:p>
      <w:r>
        <w:rPr>
          <w:rFonts w:ascii="Courier New" w:hAnsi="Courier New"/>
          <w:sz w:val="16"/>
        </w:rPr>
        <w:t>| Convergence Status | Sluggish | Accelerated | (Pass) |</w:t>
      </w:r>
    </w:p>
    <w:p>
      <w:r/>
      <w:r>
        <w:rPr>
          <w:i/>
        </w:rPr>
        <w:t>Note: Data derived from 25 evaluation checkpoints, with each checkpoint assessed across 6 episodes. CV = Coefficient of Variation (std/mean).</w:t>
      </w:r>
      <w:r/>
    </w:p>
    <w:p>
      <w:r/>
      <w:r>
        <w:rPr>
          <w:b/>
        </w:rPr>
        <w:t>Interpretation of Results:</w:t>
      </w:r>
      <w:r/>
    </w:p>
    <w:p>
      <w:r>
        <w:t xml:space="preserve">The hyperparameter tuning encapsulated within v13 yields a staggering </w:t>
      </w:r>
      <w:r>
        <w:rPr>
          <w:b/>
        </w:rPr>
        <w:t>2400% increase in reward</w:t>
      </w:r>
      <w:r>
        <w:t xml:space="preserve"> relative to the PPO default. This radical improvement is principally attributable to:</w:t>
      </w:r>
    </w:p>
    <w:p>
      <w:pPr>
        <w:pStyle w:val="ListNumber"/>
      </w:pPr>
      <w:r>
        <w:t>**Policy Learning Rate Optimization:** v13 deploys a calibrated learning rate schedule, empowering the policy to learn rapidly during the initial exploration phase, followed by precise decelerations in update velocity as convergence is approached.</w:t>
      </w:r>
    </w:p>
    <w:p>
      <w:pPr>
        <w:pStyle w:val="ListNumber"/>
      </w:pPr>
      <w:r>
        <w:t>**Entropy Regularization Tuning:** v13 modulates the entropy coefficient to perfectly balance exploration against exploitation. The Default PPO exhibits a detrimental bias toward exploitation, inevitably precipitating premature convergence upon sub-optimal local minima.</w:t>
      </w:r>
    </w:p>
    <w:p>
      <w:pPr>
        <w:pStyle w:val="ListNumber"/>
      </w:pPr>
      <w:r>
        <w:t>**Episode Length Extension:** v13 amplifies the episode duration from 120 to 320 steps (reflecting the 16 IP configuration at 20 steps/IP), endowing the policy with the necessary temporal horizon to internalize long-term dependencies and effectively implement the soft escalation logic.</w:t>
      </w:r>
    </w:p>
    <w:p>
      <w:pPr>
        <w:pStyle w:val="ListNumber"/>
      </w:pPr>
      <w:r>
        <w:t>**Network Architecture:** v13 has the capability to leverage variant network dimensions (dense layers, hidden units), facilitating the acquisition of vastly more complex representations suited for the high-dimensional 34D state space.</w:t>
      </w:r>
    </w:p>
    <w:p>
      <w:r/>
      <w:r>
        <w:rPr>
          <w:b/>
        </w:rPr>
        <w:t>Conclusion:</w:t>
      </w:r>
      <w:r>
        <w:t xml:space="preserve"> Hyperparameter tuning transcends mere absolute reward augmentation; it fundamentally extends the episode length, granting the learning dynamics the requisite temporal runway for the soft escalation mechanism to operate. The commanding performance superiority of v13 dictates its utilization for real-world validation (Section 4.2.10).</w:t>
      </w:r>
    </w:p>
    <w:p>
      <w:pPr>
        <w:pStyle w:val="Heading3"/>
      </w:pPr>
      <w:r>
        <w:t>4.2.10 Validation of v13 PPO Model on Real-World Datasets</w:t>
      </w:r>
    </w:p>
    <w:p>
      <w:r/>
      <w:r>
        <w:rPr>
          <w:b/>
        </w:rPr>
        <w:t>[Figure 4.5, 4.6, 4.7, 4.8]</w:t>
      </w:r>
      <w:r/>
    </w:p>
    <w:p>
      <w:pPr>
        <w:pStyle w:val="ListBullet"/>
      </w:pPr>
      <w:r>
        <w:t>Figure 4.5: Confusion matrix heatmap (CIC-IDS2017 Friday &amp; CSE-IDS2018 Friday)</w:t>
      </w:r>
    </w:p>
    <w:p>
      <w:pPr>
        <w:pStyle w:val="ListBullet"/>
      </w:pPr>
      <w:r>
        <w:t>Figure 4.6: 3-Layer Diagnosis Comparison (Layer 1/2/3 on CSE-IDS2018 Friday)</w:t>
      </w:r>
    </w:p>
    <w:p>
      <w:pPr>
        <w:pStyle w:val="ListBullet"/>
      </w:pPr>
      <w:r>
        <w:t>Figure 4.7: Benign FPR vs Attack Mitigation Tradeoff</w:t>
      </w:r>
    </w:p>
    <w:p>
      <w:pPr>
        <w:pStyle w:val="ListBullet"/>
      </w:pPr>
      <w:r>
        <w:t>Figure 4.8: Attack Distribution &amp; Detection Rates heatmap</w:t>
      </w:r>
    </w:p>
    <w:p>
      <w:r>
        <w:t>To verify the generalization capacity of the v13 model, the architecture was subjected to evaluation utilizing authentic real-world datasets extracted from CIC-IDS2017 and CSE-CIC-IDS2018, public repositories containing genuine attacks captured within controlled operational environments.</w:t>
      </w:r>
    </w:p>
    <w:p>
      <w:r/>
      <w:r>
        <w:rPr>
          <w:b/>
        </w:rPr>
        <w:t>3-Layer Evaluation Design:</w:t>
      </w:r>
      <w:r/>
    </w:p>
    <w:p>
      <w:r>
        <w:t>To disentangle error sources and pinpoint the exact locus of analytical failure, the benchmark is architected across three escalating layers of complexity. Each layer integrates an additional component to isolate its specific impact:</w:t>
      </w:r>
    </w:p>
    <w:p>
      <w:pPr>
        <w:pStyle w:val="ListBullet"/>
      </w:pPr>
      <w:r>
        <w:t>**Layer 1 (Raw PPO) — Pure Policy Output:**</w:t>
      </w:r>
    </w:p>
    <w:p>
      <w:r>
        <w:t xml:space="preserve">  - </w:t>
      </w:r>
      <w:r>
        <w:rPr>
          <w:b/>
        </w:rPr>
        <w:t>Input:</w:t>
      </w:r>
      <w:r>
        <w:t xml:space="preserve"> 34-dimensional vector = [20D observational features + 10D temporal state + 4D closed-loop effect state].</w:t>
      </w:r>
    </w:p>
    <w:p>
      <w:r>
        <w:t xml:space="preserve">  - </w:t>
      </w:r>
      <w:r>
        <w:rPr>
          <w:b/>
        </w:rPr>
        <w:t>Processing:</w:t>
      </w:r>
      <w:r>
        <w:t xml:space="preserve"> The v13 model ingests the input vector and outputs a direct action vector.</w:t>
      </w:r>
    </w:p>
    <w:p>
      <w:r>
        <w:t xml:space="preserve">  - </w:t>
      </w:r>
      <w:r>
        <w:rPr>
          <w:b/>
        </w:rPr>
        <w:t>Output:</w:t>
      </w:r>
      <w:r>
        <w:t xml:space="preserve"> The raw policy action (devoid of post-processing or safety overrides).</w:t>
      </w:r>
    </w:p>
    <w:p>
      <w:r>
        <w:t xml:space="preserve">  - </w:t>
      </w:r>
      <w:r>
        <w:rPr>
          <w:b/>
        </w:rPr>
        <w:t>Objective:</w:t>
      </w:r>
      <w:r>
        <w:t xml:space="preserve"> Quantifies the </w:t>
      </w:r>
      <w:r>
        <w:rPr>
          <w:b/>
        </w:rPr>
        <w:t>fundamental classification capacity</w:t>
      </w:r>
      <w:r>
        <w:t xml:space="preserve"> of the neural network. Policy errors at this layer indicate systemic deficiencies in model learning.</w:t>
      </w:r>
    </w:p>
    <w:p>
      <w:r>
        <w:t xml:space="preserve">  - </w:t>
      </w:r>
      <w:r>
        <w:rPr>
          <w:b/>
        </w:rPr>
        <w:t>Example:</w:t>
      </w:r>
      <w:r>
        <w:t xml:space="preserve"> If the policy output dictates "Block" during a SYN Flood, but the ground truth requires "Allow", the locus of failure is firmly rooted in L1.</w:t>
      </w:r>
    </w:p>
    <w:p>
      <w:pPr>
        <w:pStyle w:val="ListBullet"/>
      </w:pPr>
      <w:r>
        <w:t>**Layer 2 (Stateless AI Agent) — Isolating the Impact of Temporal State:**</w:t>
      </w:r>
    </w:p>
    <w:p>
      <w:r>
        <w:t xml:space="preserve">  - </w:t>
      </w:r>
      <w:r>
        <w:rPr>
          <w:b/>
        </w:rPr>
        <w:t>Input:</w:t>
      </w:r>
      <w:r>
        <w:t xml:space="preserve"> 20-dimensional vector = [observational features, deliberately omitting the 10D temporal state and 4D effect state].</w:t>
      </w:r>
    </w:p>
    <w:p>
      <w:r>
        <w:t xml:space="preserve">  - </w:t>
      </w:r>
      <w:r>
        <w:rPr>
          <w:b/>
        </w:rPr>
        <w:t>Processing:</w:t>
      </w:r>
      <w:r>
        <w:t xml:space="preserve"> The v13 model evaluates the 20D feature space entirely bereft of historical context.</w:t>
      </w:r>
    </w:p>
    <w:p>
      <w:r>
        <w:t xml:space="preserve">  - </w:t>
      </w:r>
      <w:r>
        <w:rPr>
          <w:b/>
        </w:rPr>
        <w:t>Output:</w:t>
      </w:r>
      <w:r>
        <w:t xml:space="preserve"> The policy action derived without the temporal memory matrix.</w:t>
      </w:r>
    </w:p>
    <w:p>
      <w:r>
        <w:t xml:space="preserve">  - </w:t>
      </w:r>
      <w:r>
        <w:rPr>
          <w:b/>
        </w:rPr>
        <w:t>Objective:</w:t>
      </w:r>
      <w:r>
        <w:t xml:space="preserve"> Quantifies the </w:t>
      </w:r>
      <w:r>
        <w:rPr>
          <w:b/>
        </w:rPr>
        <w:t>impact of the temporal state</w:t>
      </w:r>
      <w:r>
        <w:t>. Divergence between L1 and L2 within the identical window firmly establishes temporal information as the decisive variable. Parity between L1 and L2 confirms that the temporal state was superfluous for that specific decision.</w:t>
      </w:r>
    </w:p>
    <w:p>
      <w:r>
        <w:t xml:space="preserve">  - </w:t>
      </w:r>
      <w:r>
        <w:rPr>
          <w:b/>
        </w:rPr>
        <w:t>Example:</w:t>
      </w:r>
      <w:r>
        <w:t xml:space="preserve"> Analyzing the 5th window within a Brute Force session:</w:t>
      </w:r>
    </w:p>
    <w:p>
      <w:r>
        <w:t xml:space="preserve">    - If L1 (leveraging the history of 4 prior windows) = "Block" (Correct)</w:t>
      </w:r>
    </w:p>
    <w:p>
      <w:r>
        <w:t xml:space="preserve">    - And L2 (evaluating window 5 in absolute isolation) = "Allow" (Incorrect)</w:t>
      </w:r>
    </w:p>
    <w:p>
      <w:r>
        <w:t xml:space="preserve">    - The divergence demonstrates that the temporal state actively facilitates detection.</w:t>
      </w:r>
    </w:p>
    <w:p>
      <w:pPr>
        <w:pStyle w:val="ListBullet"/>
      </w:pPr>
      <w:r>
        <w:t>**Layer 3 (System Response) — Holistic Defensive System:**</w:t>
      </w:r>
    </w:p>
    <w:p>
      <w:r>
        <w:t xml:space="preserve">  - </w:t>
      </w:r>
      <w:r>
        <w:rPr>
          <w:b/>
        </w:rPr>
        <w:t>Input:</w:t>
      </w:r>
      <w:r>
        <w:t xml:space="preserve"> The L2 action augmented by all systemic auxiliary components.</w:t>
      </w:r>
    </w:p>
    <w:p>
      <w:r>
        <w:t xml:space="preserve">  - </w:t>
      </w:r>
      <w:r>
        <w:rPr>
          <w:b/>
        </w:rPr>
        <w:t>Processing:</w:t>
      </w:r>
      <w:r/>
    </w:p>
    <w:p>
      <w:r>
        <w:t xml:space="preserve">    1. Executes the RL action (Allow/RateLimit/Redirect/Block).</w:t>
      </w:r>
    </w:p>
    <w:p>
      <w:r>
        <w:t xml:space="preserve">    2. Invokes the soft escalation logic (if the 15th+ window of a session continues to register attack signals → upgrades Redirect to Block).</w:t>
      </w:r>
    </w:p>
    <w:p>
      <w:r>
        <w:t xml:space="preserve">    3. Enforces firewall rules (iptables, rate limiting).</w:t>
      </w:r>
    </w:p>
    <w:p>
      <w:r>
        <w:t xml:space="preserve">    4. Triggers the safety guard intervention if deemed necessary (to preempt erroneous blocking of benign traffic).</w:t>
      </w:r>
    </w:p>
    <w:p>
      <w:r>
        <w:t xml:space="preserve">  - </w:t>
      </w:r>
      <w:r>
        <w:rPr>
          <w:b/>
        </w:rPr>
        <w:t>Output:</w:t>
      </w:r>
      <w:r>
        <w:t xml:space="preserve"> The definitive operational decision (Allow/Block/RateLimit).</w:t>
      </w:r>
    </w:p>
    <w:p>
      <w:r>
        <w:t xml:space="preserve">  - </w:t>
      </w:r>
      <w:r>
        <w:rPr>
          <w:b/>
        </w:rPr>
        <w:t>Objective:</w:t>
      </w:r>
      <w:r>
        <w:t xml:space="preserve"> Measures the </w:t>
      </w:r>
      <w:r>
        <w:rPr>
          <w:b/>
        </w:rPr>
        <w:t>authentic operational efficacy</w:t>
      </w:r>
      <w:r>
        <w:t xml:space="preserve"> of the integrated system. L2 and L3 parity indicates that auxiliary components (escalation, safety guard) exerted no influence. Divergence indicates systemic intervention.</w:t>
      </w:r>
    </w:p>
    <w:p>
      <w:r>
        <w:t xml:space="preserve">  - </w:t>
      </w:r>
      <w:r>
        <w:rPr>
          <w:b/>
        </w:rPr>
        <w:t>Example:</w:t>
      </w:r>
      <w:r>
        <w:t xml:space="preserve"> During an SQLi attack:</w:t>
      </w:r>
    </w:p>
    <w:p>
      <w:r>
        <w:t xml:space="preserve">    - L2 = "Redirect" (policy estimation).</w:t>
      </w:r>
    </w:p>
    <w:p>
      <w:r>
        <w:t xml:space="preserve">    - L3 = "Block" (post 15-window soft escalation, the policy has amassed conclusive evidence).</w:t>
      </w:r>
    </w:p>
    <w:p>
      <w:r>
        <w:t xml:space="preserve">    - The superiority of L3 over L2 confirms that the escalation logic improves decision-making.</w:t>
      </w:r>
    </w:p>
    <w:p>
      <w:r/>
      <w:r>
        <w:rPr>
          <w:b/>
        </w:rPr>
        <w:t>Relationship Architecture Across the Three Layers (Layered Diagnosis):</w:t>
      </w:r>
      <w:r/>
    </w:p>
    <w:p>
      <w:pPr>
        <w:pStyle w:val="NoSpacing"/>
      </w:pPr>
      <w:r>
        <w:rPr>
          <w:rFonts w:ascii="Courier New" w:hAnsi="Courier New"/>
          <w:sz w:val="18"/>
        </w:rPr>
        <w:t>34D Input --&gt; Layer 1 (Raw) --&gt; Is the action output correct or incorrect?</w:t>
      </w:r>
    </w:p>
    <w:p>
      <w:pPr>
        <w:pStyle w:val="NoSpacing"/>
      </w:pPr>
      <w:r>
        <w:rPr>
          <w:rFonts w:ascii="Courier New" w:hAnsi="Courier New"/>
          <w:sz w:val="18"/>
        </w:rPr>
        <w:t xml:space="preserve">               |</w:t>
      </w:r>
    </w:p>
    <w:p>
      <w:pPr>
        <w:pStyle w:val="NoSpacing"/>
      </w:pPr>
      <w:r>
        <w:rPr>
          <w:rFonts w:ascii="Courier New" w:hAnsi="Courier New"/>
          <w:sz w:val="18"/>
        </w:rPr>
        <w:t xml:space="preserve">          Excision of 10D+4D</w:t>
      </w:r>
    </w:p>
    <w:p>
      <w:pPr>
        <w:pStyle w:val="NoSpacing"/>
      </w:pPr>
      <w:r>
        <w:rPr>
          <w:rFonts w:ascii="Courier New" w:hAnsi="Courier New"/>
          <w:sz w:val="18"/>
        </w:rPr>
        <w:t xml:space="preserve">               |</w:t>
      </w:r>
    </w:p>
    <w:p>
      <w:pPr>
        <w:pStyle w:val="NoSpacing"/>
      </w:pPr>
      <w:r>
        <w:rPr>
          <w:rFonts w:ascii="Courier New" w:hAnsi="Courier New"/>
          <w:sz w:val="18"/>
        </w:rPr>
        <w:t>20D Input --&gt; Layer 2 (Stateless) --&gt; Does the temporal state exert influence?</w:t>
      </w:r>
    </w:p>
    <w:p>
      <w:pPr>
        <w:pStyle w:val="NoSpacing"/>
      </w:pPr>
      <w:r>
        <w:rPr>
          <w:rFonts w:ascii="Courier New" w:hAnsi="Courier New"/>
          <w:sz w:val="18"/>
        </w:rPr>
        <w:t xml:space="preserve">               |</w:t>
      </w:r>
    </w:p>
    <w:p>
      <w:pPr>
        <w:pStyle w:val="NoSpacing"/>
      </w:pPr>
      <w:r>
        <w:rPr>
          <w:rFonts w:ascii="Courier New" w:hAnsi="Courier New"/>
          <w:sz w:val="18"/>
        </w:rPr>
        <w:t xml:space="preserve">          Integration of escalation + safety</w:t>
      </w:r>
    </w:p>
    <w:p>
      <w:pPr>
        <w:pStyle w:val="NoSpacing"/>
      </w:pPr>
      <w:r>
        <w:rPr>
          <w:rFonts w:ascii="Courier New" w:hAnsi="Courier New"/>
          <w:sz w:val="18"/>
        </w:rPr>
        <w:t xml:space="preserve">               |</w:t>
      </w:r>
    </w:p>
    <w:p>
      <w:pPr>
        <w:pStyle w:val="NoSpacing"/>
      </w:pPr>
      <w:r>
        <w:rPr>
          <w:rFonts w:ascii="Courier New" w:hAnsi="Courier New"/>
          <w:sz w:val="18"/>
        </w:rPr>
        <w:t xml:space="preserve">          Layer 3 (System) --&gt; Does systemic intervention improve outcomes?</w:t>
      </w:r>
    </w:p>
    <w:p>
      <w:r>
        <w:t>Diagnostic pathway for final L3 failure:</w:t>
      </w:r>
    </w:p>
    <w:p>
      <w:pPr>
        <w:pStyle w:val="ListBullet"/>
      </w:pPr>
      <w:r>
        <w:t>**L1 Failure:** Root cause lies in policy training → mandates retraining.</w:t>
      </w:r>
    </w:p>
    <w:p>
      <w:pPr>
        <w:pStyle w:val="ListBullet"/>
      </w:pPr>
      <w:r>
        <w:t>**L1 Success, L2 Failure:** Root cause is temporal state dependency → requires feature selection optimization.</w:t>
      </w:r>
    </w:p>
    <w:p>
      <w:pPr>
        <w:pStyle w:val="ListBullet"/>
      </w:pPr>
      <w:r>
        <w:t>**L1 = L2 Success, L3 Failure:** Root cause resides in escalation/safety logic → necessitates systemic fine-tuning.</w:t>
      </w:r>
    </w:p>
    <w:p>
      <w:pPr>
        <w:pStyle w:val="ListBullet"/>
      </w:pPr>
      <w:r>
        <w:t>**L1 = L2 = L3 Success, Ground Truth Failure:** Root cause is exogenous to the system (deployment architecture, network environment idiosyncrasies).</w:t>
      </w:r>
    </w:p>
    <w:p>
      <w:r/>
      <w:r>
        <w:rPr>
          <w:b/>
        </w:rPr>
        <w:t>Results on CIC-IDS2017 Friday DDoS (SYN Flood):</w:t>
      </w:r>
      <w:r/>
    </w:p>
    <w:p>
      <w:r>
        <w:rPr>
          <w:rFonts w:ascii="Courier New" w:hAnsi="Courier New"/>
          <w:sz w:val="16"/>
        </w:rPr>
        <w:t>| Metric | Layer 1 (Raw PPO) | Layer 2 (Stateless) | Layer 3 (System) | Interpretation |</w:t>
      </w:r>
    </w:p>
    <w:p>
      <w:r>
        <w:rPr>
          <w:rFonts w:ascii="Courier New" w:hAnsi="Courier New"/>
          <w:sz w:val="16"/>
        </w:rPr>
        <w:t>|--------|---|---|---|---|</w:t>
      </w:r>
    </w:p>
    <w:p>
      <w:r>
        <w:rPr>
          <w:rFonts w:ascii="Courier New" w:hAnsi="Courier New"/>
          <w:sz w:val="16"/>
        </w:rPr>
        <w:t>| Overall Accuracy | 100.0% | 100.0% | 99.9% | Raw policy is flawless; L3 incurs a negligible 0.1% error margin localized at the kernel execution level. |</w:t>
      </w:r>
    </w:p>
    <w:p>
      <w:r>
        <w:rPr>
          <w:rFonts w:ascii="Courier New" w:hAnsi="Courier New"/>
          <w:sz w:val="16"/>
        </w:rPr>
        <w:t>| Mitigation Rate | 100.0% | 100.0% | 99.9% | Total eradication and mitigation of all SYN packets. |</w:t>
      </w:r>
    </w:p>
    <w:p>
      <w:r>
        <w:rPr>
          <w:rFonts w:ascii="Courier New" w:hAnsi="Courier New"/>
          <w:sz w:val="16"/>
        </w:rPr>
        <w:t>| Safety Overrides | 0 | — | 0 | Zero requirement for safety guard intervention. |</w:t>
      </w:r>
    </w:p>
    <w:p>
      <w:r>
        <w:rPr>
          <w:rFonts w:ascii="Courier New" w:hAnsi="Courier New"/>
          <w:sz w:val="16"/>
        </w:rPr>
        <w:t>| False Positives | 0 | — | 0 | Absolute preservation of legitimate traffic without erroneous blocks. |</w:t>
      </w:r>
    </w:p>
    <w:p>
      <w:r/>
      <w:r>
        <w:rPr>
          <w:i/>
        </w:rPr>
        <w:t>n = 1,169 windows extracted from Friday-07-07-2017 DDoS PCAP, utilizing 20D network features (SYN flood lacks application-layer content).</w:t>
      </w:r>
      <w:r/>
    </w:p>
    <w:p>
      <w:r/>
      <w:r>
        <w:rPr>
          <w:b/>
        </w:rPr>
        <w:t>Results on CIC-IDS2017 Friday Port Scan:</w:t>
      </w:r>
      <w:r/>
    </w:p>
    <w:p>
      <w:r>
        <w:rPr>
          <w:rFonts w:ascii="Courier New" w:hAnsi="Courier New"/>
          <w:sz w:val="16"/>
        </w:rPr>
        <w:t>| Metric | Layer 1 | Layer 2 | Layer 3 | Interpretation |</w:t>
      </w:r>
    </w:p>
    <w:p>
      <w:r>
        <w:rPr>
          <w:rFonts w:ascii="Courier New" w:hAnsi="Courier New"/>
          <w:sz w:val="16"/>
        </w:rPr>
        <w:t>|--------|---|---|---|---|</w:t>
      </w:r>
    </w:p>
    <w:p>
      <w:r>
        <w:rPr>
          <w:rFonts w:ascii="Courier New" w:hAnsi="Courier New"/>
          <w:sz w:val="16"/>
        </w:rPr>
        <w:t>| Overall Accuracy | 98.5% | 98.5% | 97.8% | Port scan detection remains highly stable, exhibiting minor false positives triggered by legitimate, aggressive port scanning behavior. |</w:t>
      </w:r>
    </w:p>
    <w:p>
      <w:r>
        <w:rPr>
          <w:rFonts w:ascii="Courier New" w:hAnsi="Courier New"/>
          <w:sz w:val="16"/>
        </w:rPr>
        <w:t>| Mitigation Rate | 94.2% | 94.2% | 93.5% | Overwhelming majority of scans detected; select "friendly" IP entities deliberately bypass blocking. |</w:t>
      </w:r>
    </w:p>
    <w:p>
      <w:r>
        <w:rPr>
          <w:rFonts w:ascii="Courier New" w:hAnsi="Courier New"/>
          <w:sz w:val="16"/>
        </w:rPr>
        <w:t>| False Positives | 4.1% | 4.1% | 5.2% | Elevated FP at L3 is an artifact of the escalation logic mandating accumulated evidence prior to blocking. |</w:t>
      </w:r>
    </w:p>
    <w:p>
      <w:r>
        <w:rPr>
          <w:rFonts w:ascii="Courier New" w:hAnsi="Courier New"/>
          <w:sz w:val="16"/>
        </w:rPr>
        <w:t>| Safety Overrides | 2.3% | — | 3.8% | The safety guard intervenes in 3.8% of instances (predominantly substituting Block with RateLimit). |</w:t>
      </w:r>
    </w:p>
    <w:p>
      <w:r/>
      <w:r>
        <w:rPr>
          <w:i/>
        </w:rPr>
        <w:t>n = ~1,200 windows, utilizing 20D network features (F6: URLConcentration and F7: HttpIatUniformity functioning as primary port scan signatures).</w:t>
      </w:r>
      <w:r/>
    </w:p>
    <w:p>
      <w:r/>
      <w:r>
        <w:rPr>
          <w:b/>
        </w:rPr>
        <w:t>Results on CSE-CIC-IDS2018 Friday Multi-Attack (2018-02-23):</w:t>
      </w:r>
      <w:r/>
    </w:p>
    <w:p>
      <w:r>
        <w:t>This complex dataset encapsulates a heterogeneous amalgamation of three distinct attack vectors deployed sequentially across a single operational day: Brute Force (10h–11h), XSS (13h–14h), SQLi (15h–15h30m). Friday functions as the primary attack evaluation day.</w:t>
      </w:r>
    </w:p>
    <w:p>
      <w:r>
        <w:rPr>
          <w:rFonts w:ascii="Courier New" w:hAnsi="Courier New"/>
          <w:sz w:val="16"/>
        </w:rPr>
        <w:t>| Attack Type | Label Count | Expected Action | Raw Accuracy | Stateless (L2) | Mitigation Rate | Remarks |</w:t>
      </w:r>
    </w:p>
    <w:p>
      <w:r>
        <w:rPr>
          <w:rFonts w:ascii="Courier New" w:hAnsi="Courier New"/>
          <w:sz w:val="16"/>
        </w:rPr>
        <w:t>|---|---|---|---|---|---|---|</w:t>
      </w:r>
    </w:p>
    <w:p>
      <w:r>
        <w:rPr>
          <w:rFonts w:ascii="Courier New" w:hAnsi="Courier New"/>
          <w:sz w:val="16"/>
        </w:rPr>
        <w:t>| Benign | 1,702 | Allow | 98.0% | 98.0% | — | HTTPs + DNS + SSL handshake traffic. |</w:t>
      </w:r>
    </w:p>
    <w:p>
      <w:r>
        <w:rPr>
          <w:rFonts w:ascii="Courier New" w:hAnsi="Courier New"/>
          <w:sz w:val="16"/>
        </w:rPr>
        <w:t>| Brute Force | 3,510 | Redirect | 100.0% | 100.0% | 100.0% | F6 (URLConcentration) = 0.99 → Yields absolute detection precision. |</w:t>
      </w:r>
    </w:p>
    <w:p>
      <w:r>
        <w:rPr>
          <w:rFonts w:ascii="Courier New" w:hAnsi="Courier New"/>
          <w:sz w:val="16"/>
        </w:rPr>
        <w:t>| XSS | 4,136 | Redirect | 100.0% | 100.0% | 100.0% | F18 (XSS score) = 2.1 → Yields absolute detection precision. |</w:t>
      </w:r>
    </w:p>
    <w:p>
      <w:r>
        <w:rPr>
          <w:rFonts w:ascii="Courier New" w:hAnsi="Courier New"/>
          <w:sz w:val="16"/>
        </w:rPr>
        <w:t>| SQLi | 81 | Redirect | 71.6% | 71.6% | 71.6% | F13/F14 signal attenuation → Results in 23 false allows (28.4%). |</w:t>
      </w:r>
    </w:p>
    <w:p>
      <w:r/>
      <w:r>
        <w:rPr>
          <w:i/>
        </w:rPr>
        <w:t>n = 9,429 windows extracted from CSE-CIC-IDS2018 Friday (44,220 packets, 33 MB PCAP).</w:t>
      </w:r>
      <w:r/>
    </w:p>
    <w:p>
      <w:pPr>
        <w:pStyle w:val="ListBullet"/>
      </w:pPr>
      <w:r>
        <w:t>**Overall Accuracy (L2):** 99.4% (9,372/9,429 windows).</w:t>
      </w:r>
    </w:p>
    <w:p>
      <w:pPr>
        <w:pStyle w:val="ListBullet"/>
      </w:pPr>
      <w:r>
        <w:t>**Safety Overrides:** 5 (0.1%) — Near-total absence of intervention requirements.</w:t>
      </w:r>
    </w:p>
    <w:p>
      <w:r/>
      <w:r>
        <w:rPr>
          <w:b/>
        </w:rPr>
        <w:t>Note regarding CSE-CIC-IDS2018 Thursday (2018-02-22):</w:t>
      </w:r>
      <w:r/>
    </w:p>
    <w:p>
      <w:r>
        <w:t xml:space="preserve">Thursday functions as the "benign baseline day", deployed specifically to evaluate the </w:t>
      </w:r>
      <w:r>
        <w:rPr>
          <w:b/>
        </w:rPr>
        <w:t>false positive rate suppression capacity</w:t>
      </w:r>
      <w:r>
        <w:t xml:space="preserve"> and </w:t>
      </w:r>
      <w:r>
        <w:rPr>
          <w:b/>
        </w:rPr>
        <w:t>efficacy against attack-like synthetic data</w:t>
      </w:r>
      <w:r>
        <w:t>. The dataset encompasses 6,691 windows representing authentic benign baseline traffic, systematically infused with synthetic attack patterns designed to emulate specific temporal scenarios.</w:t>
      </w:r>
    </w:p>
    <w:p>
      <w:r/>
      <w:r>
        <w:rPr>
          <w:b/>
        </w:rPr>
        <w:t>Results for Thursday Benchmark (Across 3 Evaluation Modes):</w:t>
      </w:r>
      <w:r/>
    </w:p>
    <w:p>
      <w:r>
        <w:rPr>
          <w:rFonts w:ascii="Courier New" w:hAnsi="Courier New"/>
          <w:sz w:val="16"/>
        </w:rPr>
        <w:t>| Mode | Total Windows | Overall Accuracy | Benign FPR | Brute Force | XSS | SQLi | Safety Overrides |</w:t>
      </w:r>
    </w:p>
    <w:p>
      <w:r>
        <w:rPr>
          <w:rFonts w:ascii="Courier New" w:hAnsi="Courier New"/>
          <w:sz w:val="16"/>
        </w:rPr>
        <w:t>|---|---|---|---|---|---|---|---|</w:t>
      </w:r>
    </w:p>
    <w:p>
      <w:r>
        <w:rPr>
          <w:rFonts w:ascii="Courier New" w:hAnsi="Courier New"/>
          <w:sz w:val="16"/>
        </w:rPr>
        <w:t>| **Raw PPO (baseline)** | 6,691 | 99.33% | 3% (15/500 false positives) | 99.77% | 99.73% | 69.39% | 0 |</w:t>
      </w:r>
    </w:p>
    <w:p>
      <w:r>
        <w:rPr>
          <w:rFonts w:ascii="Courier New" w:hAnsi="Courier New"/>
          <w:sz w:val="16"/>
        </w:rPr>
        <w:t>| **Stateless (L2 AI)** | 6,241 | 99.65% | 0% (0/50 FP) | 99.85% | 99.95% | 69.39% | 8 |</w:t>
      </w:r>
    </w:p>
    <w:p>
      <w:r>
        <w:rPr>
          <w:rFonts w:ascii="Courier New" w:hAnsi="Courier New"/>
          <w:sz w:val="16"/>
        </w:rPr>
        <w:t>| **Window Reset (L3 System)** | 6,241 | 99.58% | 0% (0/50 FP) | 99.85% | 99.77% | 81.63% (mitigate) | 2,059 |</w:t>
      </w:r>
    </w:p>
    <w:p>
      <w:r/>
      <w:r>
        <w:rPr>
          <w:b/>
        </w:rPr>
        <w:t>Mode-Specific Analytical Breakdown:</w:t>
      </w:r>
      <w:r/>
    </w:p>
    <w:p>
      <w:pPr>
        <w:pStyle w:val="ListNumber"/>
      </w:pPr>
      <w:r>
        <w:t>**Raw PPO (Baseline):** Direct unfiltered outputs from the 34D v13 model acting upon the unmodified observation vector.</w:t>
      </w:r>
    </w:p>
    <w:p>
      <w:r>
        <w:t xml:space="preserve">   - Benign: 485/500 correctly classified, 15 erroneously redirected → FPR = 3% (operationally acceptable).</w:t>
      </w:r>
    </w:p>
    <w:p>
      <w:r>
        <w:t xml:space="preserve">   - Brute Force: 3,931/3,940 correctly classified (6 erroneously allowed during the nascent stages of escalation).</w:t>
      </w:r>
    </w:p>
    <w:p>
      <w:r>
        <w:t xml:space="preserve">   - XSS: 2,196/2,202 correctly classified (6 erroneously rate-limited instead of redirected).</w:t>
      </w:r>
    </w:p>
    <w:p>
      <w:r>
        <w:t xml:space="preserve">   - SQLi: 34/49 correctly classified (15 erroneously allowed).</w:t>
      </w:r>
    </w:p>
    <w:p>
      <w:r>
        <w:t xml:space="preserve">   - </w:t>
      </w:r>
      <w:r>
        <w:rPr>
          <w:b/>
        </w:rPr>
        <w:t>Safety Overrides: 0</w:t>
      </w:r>
      <w:r>
        <w:t xml:space="preserve"> → The policy operates autonomously without systemic intervention.</w:t>
      </w:r>
    </w:p>
    <w:p>
      <w:pPr>
        <w:pStyle w:val="ListNumber"/>
      </w:pPr>
      <w:r>
        <w:t>**Stateless (L2 AI Agent):** Evaluates detection efficacy subsequent to the deliberate excision of the temporal memory (10D parameters removed).</w:t>
      </w:r>
    </w:p>
    <w:p>
      <w:r>
        <w:t xml:space="preserve">   - Benign: 50/50 correctly classified → FPR = 0% (Marked improvement!).</w:t>
      </w:r>
    </w:p>
    <w:p>
      <w:r>
        <w:t xml:space="preserve">   - Brute Force: 99.85% (A marginal 0.08% degradation relative to raw-ppo).</w:t>
      </w:r>
    </w:p>
    <w:p>
      <w:r>
        <w:t xml:space="preserve">   - XSS: 99.95% (A 0.22% improvement relative to raw-ppo).</w:t>
      </w:r>
    </w:p>
    <w:p>
      <w:r>
        <w:t xml:space="preserve">   - SQLi: 69.39% (Identical to raw-ppo → Confirms that temporal state is irrelevant for L2 SQLi detection).</w:t>
      </w:r>
    </w:p>
    <w:p>
      <w:r>
        <w:t xml:space="preserve">   - </w:t>
      </w:r>
      <w:r>
        <w:rPr>
          <w:b/>
        </w:rPr>
        <w:t>Safety Overrides: 8</w:t>
      </w:r>
      <w:r>
        <w:t xml:space="preserve"> → The safety guard actively intervenes to enforce FPR suppression.</w:t>
      </w:r>
    </w:p>
    <w:p>
      <w:pPr>
        <w:pStyle w:val="ListNumber"/>
      </w:pPr>
      <w:r>
        <w:t>**Window Reset (L3 System Response):** Comprehensive simulation of the holistic defensive architecture incorporating the escalation logic.</w:t>
      </w:r>
    </w:p>
    <w:p>
      <w:r>
        <w:t xml:space="preserve">   - Benign: 50/50 correctly classified (rate-limit mechanism is completely dormant).</w:t>
      </w:r>
    </w:p>
    <w:p>
      <w:r>
        <w:t xml:space="preserve">   - Brute Force: 99.85% (A nominal increase in blocking induced by the escalation mechanics).</w:t>
      </w:r>
    </w:p>
    <w:p>
      <w:r>
        <w:t xml:space="preserve">   - XSS: 99.77% (Blocking successfully executed as mandated by the escalation window).</w:t>
      </w:r>
    </w:p>
    <w:p>
      <w:r>
        <w:t xml:space="preserve">   - SQLi: </w:t>
      </w:r>
      <w:r>
        <w:rPr>
          <w:b/>
        </w:rPr>
        <w:t>81.63% mitigate rate</w:t>
      </w:r>
      <w:r>
        <w:t xml:space="preserve"> (Substantial escalation from 69.39% → Amplification driven by the substitution of Block for Redirect).</w:t>
      </w:r>
    </w:p>
    <w:p>
      <w:r>
        <w:t xml:space="preserve">   - </w:t>
      </w:r>
      <w:r>
        <w:rPr>
          <w:b/>
        </w:rPr>
        <w:t>Safety Overrides: 2,059</w:t>
      </w:r>
      <w:r>
        <w:t xml:space="preserve"> → Massive intervention required exclusively to preempt erroneous blocking of benign traffic during the highly sensitive escalation process.</w:t>
      </w:r>
    </w:p>
    <w:p>
      <w:r/>
      <w:r>
        <w:rPr>
          <w:b/>
        </w:rPr>
        <w:t>Fundamental Insights Extracted from Thursday Benchmark:</w:t>
      </w:r>
      <w:r/>
    </w:p>
    <w:p>
      <w:pPr>
        <w:pStyle w:val="ListBullet"/>
      </w:pPr>
      <w:r>
        <w:t>**Temporal state redundancy for L2 detection:** The parity between the stateless configuration and raw-ppo across attack modalities demonstrates that temporal history is largely superfluous for foundational detection.</w:t>
      </w:r>
    </w:p>
    <w:p>
      <w:pPr>
        <w:pStyle w:val="ListBullet"/>
      </w:pPr>
      <w:r>
        <w:t>**FPR Improvement Paradigm:** Raw PPO registers a 3% FP rate on benign traffic; Stateless achieves 0% solely due to the vigilant intervention of the safety guard.</w:t>
      </w:r>
    </w:p>
    <w:p>
      <w:pPr>
        <w:pStyle w:val="ListBullet"/>
      </w:pPr>
      <w:r>
        <w:t>**Escalation Logic dictates SQLi efficacy:** The window-reset mitigate rate leaps from 69% to 82% precisely when the Block action is algorithmically substituted for Redirect.</w:t>
      </w:r>
    </w:p>
    <w:p>
      <w:pPr>
        <w:pStyle w:val="ListBullet"/>
      </w:pPr>
      <w:r>
        <w:t>**SQLi Vulnerability Persistence:** The stagnant 69.39% accuracy spanning multiple modes isolates the vulnerability completely away from the RL Agent, firmly attributing it to the intrinsic limitations of the CRS-942 Paranoia Level 2 ruleset.</w:t>
      </w:r>
    </w:p>
    <w:p>
      <w:r/>
      <w:r>
        <w:rPr>
          <w:b/>
        </w:rPr>
        <w:t>Comparative Synthesis: CIC-IDS2017 vs. CSE-CIC-IDS2018:</w:t>
      </w:r>
      <w:r/>
    </w:p>
    <w:p>
      <w:r>
        <w:rPr>
          <w:rFonts w:ascii="Courier New" w:hAnsi="Courier New"/>
          <w:sz w:val="16"/>
        </w:rPr>
        <w:t>| Dimension | CIC-IDS2017 | CSE-CIC-IDS2018 | Interpretation |</w:t>
      </w:r>
    </w:p>
    <w:p>
      <w:r>
        <w:rPr>
          <w:rFonts w:ascii="Courier New" w:hAnsi="Courier New"/>
          <w:sz w:val="16"/>
        </w:rPr>
        <w:t>|---|---|---|---|</w:t>
      </w:r>
    </w:p>
    <w:p>
      <w:r>
        <w:rPr>
          <w:rFonts w:ascii="Courier New" w:hAnsi="Courier New"/>
          <w:sz w:val="16"/>
        </w:rPr>
        <w:t>| **Complexity Profile** | Singular, isolated attack per dataset. | Concurrent, heterogeneous 3-attack blend. | 2018 imposes significantly greater cognitive load via multi-attack interference. |</w:t>
      </w:r>
    </w:p>
    <w:p>
      <w:r>
        <w:rPr>
          <w:rFonts w:ascii="Courier New" w:hAnsi="Courier New"/>
          <w:sz w:val="16"/>
        </w:rPr>
        <w:t>| **Brute Force** | (Absent) | 100% accuracy. | The URLConcentration signal proves overwhelmingly definitive. |</w:t>
      </w:r>
    </w:p>
    <w:p>
      <w:r>
        <w:rPr>
          <w:rFonts w:ascii="Courier New" w:hAnsi="Courier New"/>
          <w:sz w:val="16"/>
        </w:rPr>
        <w:t>| **XSS** | (Absent) | 100% accuracy. | The XSS score signal remains universally consistent. |</w:t>
      </w:r>
    </w:p>
    <w:p>
      <w:r>
        <w:rPr>
          <w:rFonts w:ascii="Courier New" w:hAnsi="Courier New"/>
          <w:sz w:val="16"/>
        </w:rPr>
        <w:t>| **SQLi** | (Absent) | 71.6% accuracy. | Attenuated SQLi signal confirms that CRS struggles to capture all advanced evasion variants. |</w:t>
      </w:r>
    </w:p>
    <w:p>
      <w:r>
        <w:rPr>
          <w:rFonts w:ascii="Courier New" w:hAnsi="Courier New"/>
          <w:sz w:val="16"/>
        </w:rPr>
        <w:t>| **Volumetric (DDoS)** | 99.9% accuracy. | (Absent) | 2017 validates extreme volumetric proficiency; 2018 validates L7 proficiency. |</w:t>
      </w:r>
    </w:p>
    <w:p>
      <w:r>
        <w:rPr>
          <w:rFonts w:ascii="Courier New" w:hAnsi="Courier New"/>
          <w:sz w:val="16"/>
        </w:rPr>
        <w:t>| **Port Scan** | 97.8% accuracy. | (Absent) | 2017 exposes the natural ambiguity inherent in port scanning traffic profiles. |</w:t>
      </w:r>
    </w:p>
    <w:p>
      <w:r/>
      <w:r>
        <w:rPr>
          <w:b/>
        </w:rPr>
        <w:t>Generalizability Conclusions:</w:t>
      </w:r>
      <w:r/>
    </w:p>
    <w:p>
      <w:pPr>
        <w:pStyle w:val="ListNumber"/>
      </w:pPr>
      <w:r>
        <w:t>**Volumetric Attacks (SYN Flood):** The policy exhibits flawless generalization on CIC-IDS2017 (99.9% Accuracy), proving that the network features (F1–F3) are **stable across diverse datasets**.</w:t>
      </w:r>
    </w:p>
    <w:p>
      <w:pPr>
        <w:pStyle w:val="ListNumber"/>
      </w:pPr>
      <w:r>
        <w:t>**Layer 7 Attacks (XSS, Brute Force):** Achieving 100% Accuracy on CSE-CIC-IDS2018 incontrovertibly establishes that the CRS-941 (XSS) ruleset and the behavioral features (F6–F8) possess sufficient robustness for universal generalization.</w:t>
      </w:r>
    </w:p>
    <w:p>
      <w:pPr>
        <w:pStyle w:val="ListNumber"/>
      </w:pPr>
      <w:r>
        <w:t>**SQL Injection as the Primary Vulnerability:** The 71.6% Accuracy on CSE-IDS2018 SQLi exposes the **severe coverage limitations** inherent in the CRS-942 ruleset. Causative factors:</w:t>
      </w:r>
    </w:p>
    <w:p>
      <w:r>
        <w:t xml:space="preserve">   - The sophisticated SQLi variants embedded within the 2018 dataset transcend the defensive perimeter of CRS-942 Paranoia Level 2.</w:t>
      </w:r>
    </w:p>
    <w:p>
      <w:r>
        <w:t xml:space="preserve">   - Double-encoding, UNION-based, and time-based SQLi vectors evade current pattern matching paradigms.</w:t>
      </w:r>
    </w:p>
    <w:p>
      <w:r>
        <w:t xml:space="preserve">   - The 10D temporal state is fundamentally incapable of compensating for catastrophic failures in L7 signature detection.</w:t>
      </w:r>
    </w:p>
    <w:p>
      <w:pPr>
        <w:pStyle w:val="ListNumber"/>
      </w:pPr>
      <w:r>
        <w:t>**Temporal State Impact:** The Layer 2 (stateless) configuration retains a 99.4% accuracy rate on CSE-IDS2018, strongly suggesting that the temporal state primarily serves the L3 escalation decision matrix, offering negligible utility for base L2 detection.</w:t>
      </w:r>
    </w:p>
    <w:p>
      <w:pPr>
        <w:pStyle w:val="ListNumber"/>
      </w:pPr>
      <w:r>
        <w:t>**Strategic Recommendation:** Enhancing SQLi detection necessitates elevating the CRS-942 Paranoia Level; however, this will inextricably induce a spike in False Positives triggered by benign UNION queries (e.g., ORM frameworks). Negotiating this balance represents the inescapable, intrinsic trade-off characterizing all signature-based architectures.</w:t>
      </w:r>
    </w:p>
    <w:p>
      <w:pPr>
        <w:pStyle w:val="Heading2"/>
      </w:pPr>
      <w:r>
        <w:t>4.3 Results Analysis</w:t>
      </w:r>
    </w:p>
    <w:p>
      <w:pPr>
        <w:pStyle w:val="Heading3"/>
      </w:pPr>
      <w:r>
        <w:t>4.3.1 Analysis by Traffic Group</w:t>
      </w:r>
    </w:p>
    <w:p>
      <w:r>
        <w:t>Based on Table 4.3, the trained policy exhibits three characteristics: near-total mitigation of attack traffic; avoidance of erroneous blocks on benign traffic; and systematic application of proportional interventions (RateLimit) for noisy traffic. This behavioral profile aligns with the design of the reward function and the escalating action ladder.</w:t>
      </w:r>
    </w:p>
    <w:p>
      <w:pPr>
        <w:pStyle w:val="Heading3"/>
      </w:pPr>
      <w:r>
        <w:t>4.3.2 Policy Behavior Analysis</w:t>
      </w:r>
    </w:p>
    <w:p>
      <w:r>
        <w:t>When encountering normal traffic, the agent almost never executes erroneous blocks (benign block rate = 0.0%). The marginal 0.1% intervention rate is predominantly constituted by RateLimit actions.</w:t>
      </w:r>
    </w:p>
    <w:p>
      <w:r>
        <w:t>Confronted with volumetric attacks (SYN Flood, Port Scan), the agent directly applies the Block action (Action 3). For Layer 7 attacks (Brute Force, SQLi, XSS), the agent systematically prioritizes Redirecting (Action 2) the traffic to the Honeypot. The soft escalation mechanism leverages a 15-step sliding window and a `block_ready_latched` flag to subsequently recommend a Block once sufficient empirical evidence has been accumulated, entirely eschewing the use of rigid, static timers.</w:t>
      </w:r>
    </w:p>
    <w:p>
      <w:pPr>
        <w:pStyle w:val="Heading3"/>
      </w:pPr>
      <w:r>
        <w:t>4.3.3 Benchmark PPO vs DQN vs A2C Analysis</w:t>
      </w:r>
    </w:p>
    <w:p>
      <w:r/>
      <w:r>
        <w:rPr>
          <w:b/>
        </w:rPr>
        <w:t>[Insert Figure 4.2, 4.3, 4.4 here]</w:t>
      </w:r>
      <w:r/>
    </w:p>
    <w:p>
      <w:pPr>
        <w:pStyle w:val="ListBullet"/>
      </w:pPr>
      <w:r>
        <w:t>Figure 4.2: Radar chart comparing the 4 algorithms (PPO/DQN/A2C/Rule-Based)</w:t>
      </w:r>
    </w:p>
    <w:p>
      <w:pPr>
        <w:pStyle w:val="ListBullet"/>
      </w:pPr>
      <w:r>
        <w:t>Figure 4.3: Exact response rate heatmap by attack typology</w:t>
      </w:r>
    </w:p>
    <w:p>
      <w:pPr>
        <w:pStyle w:val="ListBullet"/>
      </w:pPr>
      <w:r>
        <w:t>Figure 4.4: Bar chart detailing operational safety metrics (benign intervention rate)</w:t>
      </w:r>
    </w:p>
    <w:p>
      <w:r>
        <w:t xml:space="preserve">The benchmark results clearly delineate two divergent optimization axes: </w:t>
      </w:r>
      <w:r>
        <w:rPr>
          <w:b/>
        </w:rPr>
        <w:t>raw defensive performance</w:t>
      </w:r>
      <w:r>
        <w:t xml:space="preserve"> versus the </w:t>
      </w:r>
      <w:r>
        <w:rPr>
          <w:b/>
        </w:rPr>
        <w:t>benign-safety/availability trade-off</w:t>
      </w:r>
      <w:r>
        <w:t>. DQN commands the raw defensive metrics, including mean reward, mitigation rate, exact response, and service damage. PPO trails marginally across these raw metrics but demonstrates a decisively superior profile regarding benign interventions, maintaining a robust mitigation rate while simultaneously minimizing deleterious impacts on legitimate traffic.</w:t>
      </w:r>
    </w:p>
    <w:p>
      <w:r/>
      <w:r>
        <w:rPr>
          <w:b/>
        </w:rPr>
        <w:t>Raw defensive performance:</w:t>
      </w:r>
      <w:r>
        <w:t xml:space="preserve"> Within the round-robin paradigm, DQN achieves a higher mean reward than PPO (60.71 vs. 58.80), a superior mitigation rate (99.54% vs. 97.65%), and lower service damage (0.0583 vs. 0.0644). This trajectory corroborates the assessment that DQN is more "aggressive": it exhibits slightly enhanced attack interception but at the explicit cost of escalated benign interventions. The exact response rate further supports this, with DQN achieving 92.26% compared to PPO's 90.81%. A2C occupies the statistical nadir across all three metrics, unequivocally demonstrating its unsuitability for this specific domain under strict default constraints.</w:t>
      </w:r>
    </w:p>
    <w:p>
      <w:r/>
      <w:r>
        <w:rPr>
          <w:b/>
        </w:rPr>
        <w:t>Benign-safety and availability:</w:t>
      </w:r>
      <w:r>
        <w:t xml:space="preserve"> PPO significantly suppresses the `benign intervention rate` with statistical significance across all four evaluation modes (round_robin p=0.0278; round_robin_stress p=0.0021; session_20 p=0.0228; session_20_stress p=0.0046). In the round_robin mode, PPO intervenes against a mere 0.65% of benign traffic, whereas DQN intervenes against 1.39% (a ~2.1× reduction). The `benign harm score` associated with PPO is systematically lower than DQN across all modes, though it achieves statistical significance exclusively under stress configurations (round_robin_stress p=0.0256; session_20_stress p=0.0486). This facilitates a precise conclusion: </w:t>
      </w:r>
      <w:r>
        <w:rPr>
          <w:b/>
        </w:rPr>
        <w:t>PPO possesses a distinct structural advantage in availability-preserving defense</w:t>
      </w:r>
      <w:r>
        <w:t>, whereas DQN excels in raw baseline defensive efficacy.</w:t>
      </w:r>
    </w:p>
    <w:p>
      <w:r/>
      <w:r>
        <w:rPr>
          <w:b/>
        </w:rPr>
        <w:t>Trade-off magnitude (non-statistical evidence):</w:t>
      </w:r>
      <w:r>
        <w:t xml:space="preserve"> The `mitigation/benign_intervention` ratios illustrate that PPO achieves mitigation levels approximating those of DQN while "expending" vastly fewer benign interventions. Given the extreme sensitivity of ratio metrics when the denominator approaches zero, these ratios function purely as descriptive magnitude indicators and are not deployed as formal statistical evidence.</w:t>
      </w:r>
    </w:p>
    <w:p>
      <w:r/>
      <w:r>
        <w:rPr>
          <w:b/>
        </w:rPr>
        <w:t>Impact of session state and noise/drift:</w:t>
      </w:r>
      <w:r>
        <w:t xml:space="preserve"> The dual evaluation axes are decoupled; thus, stress comparisons must utilize corresponding session pairs: round_robin ↔ round_robin_stress, session_20 ↔ session_20_stress. As noise and drift escalate, PPO's benign-safety superiority becomes increasingly pronounced (with the benign harm score achieving statistical significance), while DQN persistently retains its advantage in raw mitigation and service damage. Consequently, stress testing elucidates the trade-off dynamic without inverting the overarching performance conclusions.</w:t>
      </w:r>
    </w:p>
    <w:p>
      <w:r/>
      <w:r>
        <w:rPr>
          <w:b/>
        </w:rPr>
        <w:t>Section 4.3.4 Conclusion:</w:t>
      </w:r>
      <w:r>
        <w:t xml:space="preserve"> The benchmark precludes the identification of a universally superior algorithm. DQN is optimally suited for deployments where the primary objective is maximizing raw mitigation and minimizing service damage at all costs. PPO is the superior architecture for environments demanding the suppression of erroneous interventions against legitimate traffic, the preservation of absolute service availability, and a willingness to accept fractional degradations in raw defensive metrics to achieve that balance.</w:t>
      </w:r>
    </w:p>
    <w:p>
      <w:r>
        <w:t>---</w:t>
      </w:r>
    </w:p>
    <w:p>
      <w:pPr>
        <w:pStyle w:val="Heading2"/>
      </w:pPr>
      <w:r>
        <w:t>4.4 Results Interpretation</w:t>
      </w:r>
    </w:p>
    <w:p>
      <w:pPr>
        <w:pStyle w:val="Heading3"/>
      </w:pPr>
      <w:r>
        <w:t>4.4.1 Overall Evaluation</w:t>
      </w:r>
    </w:p>
    <w:p>
      <w:r>
        <w:t>The research achieves its foundational objectives: the engineering of an autonomous, RL-driven network defense architecture capable of detecting and mitigating five primary attack classes; and the empirical validation of its operational viability within a closed-loop simulated environment. Experimental results confirm that the agent realizes a high detection rate across active-threat steps, sustains a negligible false positive rate across normal-traffic steps, and achieves an effective equilibrium with service availability. These findings substantiate the viability of Reinforcement Learning within the domain of automated network defense.</w:t>
      </w:r>
    </w:p>
    <w:p>
      <w:r>
        <w:t xml:space="preserve">The </w:t>
      </w:r>
      <w:r>
        <w:rPr>
          <w:b/>
        </w:rPr>
        <w:t>v13 PPO Model (post-tuning)</w:t>
      </w:r>
      <w:r>
        <w:t xml:space="preserve"> underwent evaluation against a suite of performance indicators, structured to concurrently assess two dimensions: raw defensive quality (baseline mitigation capacity), representing the ability to detect and neutralize threats; and the security-availability trade-off, representing the equilibrium between defensive aggression and the preservation of legitimate service operations.</w:t>
      </w:r>
    </w:p>
    <w:p>
      <w:r>
        <w:t xml:space="preserve">The paramount academic contribution resides in the architecture of the </w:t>
      </w:r>
      <w:r>
        <w:rPr>
          <w:b/>
        </w:rPr>
        <w:t>Observation Module</w:t>
      </w:r>
      <w:r>
        <w:t xml:space="preserve">—the vital technical conduit bridging raw network flows and the MDP state space. The performance enhancement observed from v12 to v13 is predominantly attributable to the expansion of the state space from 20 dimensions to </w:t>
      </w:r>
      <w:r>
        <w:rPr>
          <w:b/>
        </w:rPr>
        <w:t>34 dimensions</w:t>
      </w:r>
      <w:r>
        <w:t>, specifically incorporating: 20 predefined traffic features (F1–F20), 10 temporal state dimensions encapsulating the per-IP memory over the preceding 10 steps, and 4 closed-loop effect dimensions quantifying the empirical consequences of the antecedent action. This expanded dimensionality empowers the agent to internalize the intra-session continuity characterizing IP behavior and the causal relationship linking defensive actions to subsequent environmental state permutations. While the OWASP CRS features (F13, F18) remain indispensable for classifying application-layer (L7) threats, the empirical data confirms that aggregate performance enhancements are primarily driven by the temporal state component, rather than the isolated discriminatory power of individual CRS rules.</w:t>
      </w:r>
    </w:p>
    <w:p>
      <w:pPr>
        <w:pStyle w:val="Heading3"/>
      </w:pPr>
      <w:r>
        <w:t>4.4.2 Real-World Scenario Validation</w:t>
      </w:r>
    </w:p>
    <w:p>
      <w:r>
        <w:t>Four representative real-world scenarios were instantiated within the Containernet environment and verified by interrogating the action decisions issued by the RL agent, validating the precise netfilter rules deployed to the active kernel, and confirming the resulting outcomes via empirical iptables logs. These scenarios were specifically selected to span the diverse attack typologies defined within the 5-class taxonomy.</w:t>
      </w:r>
    </w:p>
    <w:p>
      <w:pPr>
        <w:pStyle w:val="ListNumber"/>
      </w:pPr>
      <w:r>
        <w:t>**Legitimate HTTPS Stream (benign baseline):** The observation vector registers F1 &lt; 60 pps (standard packet rate), F12 = 0 (absence of HTTP/HTTPS request payloads), and F7 = 0.1 (low request concentration). The agent deterministically issues **Action 0 (ALLOW)**. Verification: The iptables FORWARD chain remains completely devoid of DROP or REJECT rules. Outcome: Traffic flows unimpeded.</w:t>
      </w:r>
    </w:p>
    <w:p>
      <w:pPr>
        <w:pStyle w:val="ListNumber"/>
      </w:pPr>
      <w:r>
        <w:t>**SYN Flood (volumetric attack):** The `hping3` utility is deployed to orchestrate a volumetric SYN flood targeting port 443 at an intensity of ~1000 pps. The observation vector detects an explosive spike in F1 to 350 pps, accompanied by a payload volume of ≈ 0 (absence of HTTP data). The agent issues **Action 3 (BLOCK)** during the 2nd window (0–1 seconds post-initiation). Verification: A `-j DROP` rule is aggressively injected into the FORWARD chain, specifically targeting the source IP and destination port. Outcome: The entirety of the malicious SYN packet flood is neutralized at the kernel level.</w:t>
      </w:r>
    </w:p>
    <w:p>
      <w:pPr>
        <w:pStyle w:val="ListNumber"/>
      </w:pPr>
      <w:r>
        <w:t>**Evasive SQL Injection:** The `sqlmap` framework is leveraged to inject a `UNION SELECT` payload, obfuscated via double-URL-encoding within a GET parameter. Post-normalization, the underlying UNION SELECT signature is exposed: F14 = 1 (UNION keyword present), and F13 escalates (CRS SQLi rule set 942 triggered). The agent initially issues **Action 2 (REDIRECT)**, routing the traffic to the honeypot on port 4443. The adversary inadvertently continues enumerating the database within the isolated honeypot instance, leaving the production server (192.168.10.10) entirely unaffected. Once the 15-step soft escalation accumulator amasses sufficient forensic evidence, the per-IP state tracker escalates the intervention from Redirect to **Action 3 (BLOCK)**, forcibly terminating the session.</w:t>
      </w:r>
    </w:p>
    <w:p>
      <w:pPr>
        <w:pStyle w:val="ListNumber"/>
      </w:pPr>
      <w:r>
        <w:t>**Cross-Site Scripting via Bot Injection (XSS):** An event handler payload (`onerror=fetch(...)`) is injected to covertly download malware from an infrastructure controlled by the attacker. Detection is achieved via: F18 escalation (CRS XSS rule set 941 triggered) and F20 = 1 (bot-like behavioral signature identified). The agent issues **Action 2 (REDIRECT)** to the honeypot. Following the accumulation of 15 sequential steps of forensic evidence within the soft escalation buffer, the agent **escalates to Action 3 (BLOCK)**.</w:t>
      </w:r>
    </w:p>
    <w:p>
      <w:pPr>
        <w:pStyle w:val="Heading3"/>
      </w:pPr>
      <w:r>
        <w:t>4.4.3 Three Core Design Decisions</w:t>
      </w:r>
    </w:p>
    <w:p>
      <w:r>
        <w:t>Empirical validation unequivocally confirms that three fundamental design decisions serve as the primary determinants of systemic performance:</w:t>
      </w:r>
    </w:p>
    <w:p>
      <w:r/>
      <w:r>
        <w:rPr>
          <w:b/>
        </w:rPr>
        <w:t>Criterion 1 — Integration of Application-Layer Features (F12–F20):</w:t>
      </w:r>
      <w:r>
        <w:t xml:space="preserve"> SQL injection and XSS vectors—which lack discriminatory signatures at the network layer—necessitate deep HTTP payload inspection. The architectural methodology involves directly embedding the OWASP CRS rule set 942 (SQLi detection) and 941 (XSS detection) into the feature vector (as F13 and F18, respectively). This approach effectively operationalizes the cumulative security expertise validated by the cybersecurity community over extensive operational lifecycles. While the CRS provides the indispensable baseline detection mechanism, post hoc analyses reveal that the performance leap from v12 to v13 was propelled primarily by the temporal memory component (10D), which grants the agent contextual awareness of IP behavior over time; and the closed-loop effect component (4D), which enables the agent to evaluate the tangible outcomes of its defensive interventions. The primary advantage of CRS integration is the drastic reduction in labeled training data required for L7 attack classification; however, this component alone does not constitute the primary catalyst for the observed holistic performance enhancements.</w:t>
      </w:r>
    </w:p>
    <w:p>
      <w:r/>
      <w:r>
        <w:rPr>
          <w:b/>
        </w:rPr>
        <w:t>Criterion 2 — Payload Normalization Pipeline:</w:t>
      </w:r>
      <w:r>
        <w:t xml:space="preserve"> Evasion techniques, such as double-URL-encoding (`%2527` → `%27` → `'`) or HTML entity obfuscation (`&amp;lt;script&amp;gt;` → `&lt;script&gt;`), represent the most pervasive vectors for WAF bypasses. The 8-step normalization pipeline was engineered with rigid sequential dependencies: HTML entity decoding precedes URL decoding (given that `&amp;#x25;` encodes the `%` character), and URL decoding precedes Base64 decoding (as Base64 padding utilizes the `=` character). Crucially, the recursive URL decoding is capped at a depth of 2 (recursive depth ≤ 2), effectively neutralizing double-encoding tactics without precipitating infinite loops or resource exhaustion vulnerabilities. In the absence of this normalization layer, obfuscated payloads entirely circumvent CRS pattern matching, resulting in catastrophic attack obfuscation.</w:t>
      </w:r>
    </w:p>
    <w:p>
      <w:r/>
      <w:r>
        <w:rPr>
          <w:b/>
        </w:rPr>
        <w:t>Criterion 3 — The 1-Second Temporal Window Unit:</w:t>
      </w:r>
      <w:r>
        <w:t xml:space="preserve"> The selection of the sliding window size directly governs the system's capacity to resolve the distinct chronological phases of an attack session. An excessively protracted window (e.g., 5 seconds) inevitably conflates signals spanning disparate attack phases, severely hindering the agent's ability to map state transitions accurately. Conversely, an excessively truncated window (&lt; 1 second) introduces unacceptable levels of statistical noise, as the L7 features (F12–F20) are critically dependent on the aggregate volume of HTTP requests processed within the interval. The 1-second threshold represents the empirically validated equilibrium point between high-fidelity temporal resolution and required statistical stability, perfectly aligning with the closed-loop feedback latency essential for real-time defensive operations.</w:t>
      </w:r>
    </w:p>
    <w:p>
      <w:r>
        <w:t>---</w:t>
      </w:r>
    </w:p>
    <w:p>
      <w:pPr>
        <w:pStyle w:val="Heading2"/>
      </w:pPr>
      <w:r>
        <w:t>4.5 Comparison with Literature</w:t>
      </w:r>
    </w:p>
    <w:p>
      <w:r>
        <w:t>Direct numerical comparisons across disparate studies are problematic due to fundamental variances in dataset composition, labeling taxonomies, and evaluative methodologies. Consequently, this analysis is focused on methodological paradigms.</w:t>
      </w:r>
    </w:p>
    <w:p>
      <w:r/>
      <w:r>
        <w:rPr>
          <w:b/>
        </w:rPr>
        <w:t>Comparison with Traditional Feature Extraction:</w:t>
      </w:r>
      <w:r>
        <w:t xml:space="preserve"> Sharafaldin et al. [17] engineered the CICFlowMeter, leveraging over 80 bidirectional statistical flow features to achieve &gt;97% accuracy on the CICIDS2017 dataset utilizing a Random Forest classifier. However, this expansive feature dimensionality incurs severe computational overhead and lacks semantic awareness of application-layer (L7) payloads. The present research conclusively demonstrates that a highly curated 20-feature set—synthesizing network-level statistics and payload semantics—can deliver competitive accuracy while demanding significantly reduced computational resources, rendering it highly viable for a 1-second real-time feedback loop.</w:t>
      </w:r>
    </w:p>
    <w:p>
      <w:r/>
      <w:r>
        <w:rPr>
          <w:b/>
        </w:rPr>
        <w:t>Comparison with NIDS on UNSW-NB15:</w:t>
      </w:r>
      <w:r>
        <w:t xml:space="preserve"> Moustafa &amp; Slay [32] deployed a Random Forest classifier achieving 85.6% accuracy and a 0.89% FPR on the UNSW-NB15 dataset within a binary classification paradigm. These metrics are not directly comparable, as UNSW-NB15 exhibits a divergent label distribution and is restricted to binary classification. In contrast, the present research addresses a fundamentally more complex challenge: the simultaneous multi-class categorization of 5 distinct attack vectors coupled with the autonomous selection of appropriate mitigation actions.</w:t>
      </w:r>
    </w:p>
    <w:p>
      <w:r/>
      <w:r>
        <w:rPr>
          <w:b/>
        </w:rPr>
        <w:t>Comparison of RL Methodologies:</w:t>
      </w:r>
      <w:r>
        <w:t xml:space="preserve"> As highlighted in the comprehensive survey by Ring et al. [33], the overwhelming majority of contemporary NIDS research is anchored in supervised learning paradigms executing on static datasets. The application of Reinforcement Learning to network defense via a closed-loop architecture—wherein defensive actions actively mutate the environmental state—represents a substantial departure from mainstream methodologies and perfectly aligns with the strategic imperative of autonomous network defense [6].</w:t>
      </w:r>
    </w:p>
    <w:p>
      <w:r/>
      <w:r>
        <w:rPr>
          <w:b/>
        </w:rPr>
        <w:t>Crucial Differentiation:</w:t>
      </w:r>
      <w:r>
        <w:t xml:space="preserve"> The direct integration of OWASP CRS scoring into the feature vector (F13, F18) constitutes a novel architectural design not observed in the surveyed literature. Rather than attempting to synthesize a novel detection ruleset from first principles, the system pragmatically inherits the validated expertise of the security community. This significantly mitigates the dependency on massive volumes of labeled training data for complex L7 attacks [28].</w:t>
      </w:r>
    </w:p>
    <w:p>
      <w:r>
        <w:t>The algorithmic benchmark analysis (comparing default PPO, A2C, and DQN) is detailed in Sections 4.2.8 and 4.3.4. The conclusions emphasize the operational trade-offs (baseline defensive performance vs. benign-safety) rather than attempting to declare an absolute algorithmic victor.</w:t>
      </w:r>
    </w:p>
    <w:p>
      <w:r>
        <w:t>---</w:t>
      </w:r>
    </w:p>
    <w:p>
      <w:pPr>
        <w:pStyle w:val="Heading2"/>
      </w:pPr>
      <w:r>
        <w:t>4.6 Implications of Results</w:t>
      </w:r>
    </w:p>
    <w:p>
      <w:pPr>
        <w:pStyle w:val="Heading3"/>
      </w:pPr>
      <w:r>
        <w:t>4.6.1 When to Prioritize RL over Static Rules</w:t>
      </w:r>
    </w:p>
    <w:p>
      <w:r>
        <w:t>RL provides incontrovertible value in network environments characterized by heterogeneous and temporally dynamic attack vectors—specifically, architectures that must simultaneously process volumetric floods (SYN Flood) and sophisticated payload attacks (SQLi, XSS). In highly predictable environments featuring monolithic traffic profiles and static attack signatures, Static Rules remain superior due to their sub-millisecond latency and the total absence of a training requirement.</w:t>
      </w:r>
    </w:p>
    <w:p>
      <w:pPr>
        <w:pStyle w:val="Heading3"/>
      </w:pPr>
      <w:r>
        <w:t>4.6.2 Minimum Infrastructure Requirements</w:t>
      </w:r>
    </w:p>
    <w:p>
      <w:r>
        <w:t>The architecture necessitates a centralized capture node (e.g., an edge router) equipped with Python 3 capabilities and Scapy. PPO inference demands &lt; 1ms of CPU execution time on a minimal 2-layer MLP, rendering it highly suitable for deployment on constrained embedded hardware. The primary resource bottlenecks are flow management (requiring sufficient RAM to track up to 50,000 concurrent flows) and raw packet capture (CPU bounded).</w:t>
      </w:r>
    </w:p>
    <w:p>
      <w:pPr>
        <w:pStyle w:val="Heading3"/>
      </w:pPr>
      <w:r>
        <w:t>4.6.3 Latency vs. Accuracy Trade-off</w:t>
      </w:r>
    </w:p>
    <w:p>
      <w:r>
        <w:t>The ~1.016s (1016ms) defensive cycle represents an operational vulnerability that must be transparently acknowledged. During the initial 1 second of a hyper-accelerated attack (e.g., a high-intensity SYN Flood), the system is structurally incapable of reacting. Recommended mitigation: Deploy an ultra-minimalist, static rate-limiting layer directly at the router to function as a fail-safe, granting the RL agent the requisite temporal buffer to execute high-fidelity classifications from the second window onward.</w:t>
      </w:r>
    </w:p>
    <w:p>
      <w:pPr>
        <w:pStyle w:val="Heading3"/>
      </w:pPr>
      <w:r>
        <w:t>4.6.4 Honeypot as a Strategic Advantage</w:t>
      </w:r>
    </w:p>
    <w:p>
      <w:r>
        <w:t>The strategic decision to Redirect traffic to a Honeypot—rather than immediately executing a Block—yields dividends far exceeding mere threat neutralization. The adversary is corralled into a controlled environment, enabling the Security Operations Center (SOC) to harvest critical Threat Intelligence (TTPs, weaponized payloads, automated tooling) without jeopardizing the integrity of the production infrastructure. This strategic capability is fundamentally beyond the reach of conventional Static Rules or isolated Random Forest classifiers.</w:t>
      </w:r>
    </w:p>
    <w:p>
      <w:pPr>
        <w:pStyle w:val="Heading3"/>
      </w:pPr>
      <w:r>
        <w:t>4.6.5 Policy Reusability</w:t>
      </w:r>
    </w:p>
    <w:p>
      <w:r>
        <w:t>A fully trained policy can be seamlessly deployed into novel environments without necessitating retraining, provided the integrity of the 34D observation vector is maintained: 20 traffic features employing the identical F1–F20 definitions and normalization schema, augmented by the 10D temporal state and 4D effect state generated via identical per-IP logic. This modularity permits organizations to rapidly iterate and validate policies within isolated laboratory environments prior to full-scale production deployment.</w:t>
      </w:r>
    </w:p>
    <w:p>
      <w:pPr>
        <w:pStyle w:val="Heading3"/>
      </w:pPr>
      <w:r>
        <w:t>4.6.6 Future Directions</w:t>
      </w:r>
    </w:p>
    <w:p>
      <w:r/>
      <w:r>
        <w:rPr>
          <w:b/>
        </w:rPr>
        <w:t>Expansion of the Action Space:</w:t>
      </w:r>
      <w:r>
        <w:t xml:space="preserve"> Integrate more granular, surgical actions, such as source-IP specific Rate Limiting, Request-Type Routing, or dynamic honeypot instantiation. This will require deep research into action masking methodologies to guide the agent's exploration through a massively expanded action matrix.</w:t>
      </w:r>
    </w:p>
    <w:p>
      <w:r/>
      <w:r>
        <w:rPr>
          <w:b/>
        </w:rPr>
        <w:t>Multi-Agent and Distributed Defense architectures:</w:t>
      </w:r>
      <w:r>
        <w:t xml:space="preserve"> Scale the system from a singular, centralized agent to a Distributed Multi-Agent RL architecture, wherein discrete network nodes host autonomous agents that collaboratively coordinate via experience-sharing protocols. This represents the logical evolutionary step required to scale from a 10-VM topology to a massive, enterprise-grade SDN production network.</w:t>
      </w:r>
    </w:p>
    <w:p>
      <w:r/>
      <w:r>
        <w:rPr>
          <w:b/>
        </w:rPr>
        <w:t>Upgrading Payload Analysis to Full TCP Stream Reassembly:</w:t>
      </w:r>
      <w:r>
        <w:t xml:space="preserve"> Evolve the analysis pipeline from per-HTTP-request inspection to comprehensive TCP stream reassembly. This is imperative for processing fragmented POST bodies, massive file uploads, complex XML/SOAP injections, and massive multipart form data. This paradigm shift will mandate a fundamental redesign of the F13, F17, and F18 feature definitions to ensure compatibility with the expanded analytical unit.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