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Análise de Evasão Universitária</w:t>
      </w:r>
    </w:p>
    <w:p>
      <w:pPr>
        <w:pStyle w:val="Author"/>
      </w:pPr>
      <w:r>
        <w:t xml:space="preserve">Caio Aloísio Andrade Silva</w:t>
      </w:r>
    </w:p>
    <w:p>
      <w:pPr>
        <w:pStyle w:val="Author"/>
      </w:pPr>
      <w:r>
        <w:t xml:space="preserve">Gabriel Santos de Souza</w:t>
      </w:r>
    </w:p>
    <w:p>
      <w:pPr>
        <w:pStyle w:val="Author"/>
      </w:pPr>
      <w:r>
        <w:t xml:space="preserve">Lucca Pedreira Dultra</w:t>
      </w:r>
    </w:p>
    <w:p>
      <w:pPr>
        <w:pStyle w:val="Author"/>
      </w:pPr>
      <w:r>
        <w:t xml:space="preserve">Renato Vasconcelos Campos Filho</w:t>
      </w:r>
    </w:p>
    <w:p>
      <w:pPr>
        <w:pStyle w:val="Author"/>
      </w:pPr>
      <w:r>
        <w:t xml:space="preserve">Tarcísio Almeida Mascarenhas</w:t>
      </w:r>
    </w:p>
    <w:bookmarkStart w:id="21" w:name="seção"/>
    <w:p>
      <w:pPr>
        <w:pStyle w:val="Heading1"/>
      </w:pPr>
      <w:r>
        <w:t xml:space="preserve">Seção</w:t>
      </w:r>
    </w:p>
    <w:p>
      <w:pPr>
        <w:pStyle w:val="FirstParagraph"/>
      </w:pPr>
      <w:r>
        <w:t xml:space="preserve">Isso é uma seção com uma citação</w:t>
      </w:r>
      <w:r>
        <w:t xml:space="preserve"> </w:t>
      </w:r>
      <w:r>
        <w:t xml:space="preserve">(Knuth, 1984)</w:t>
      </w:r>
      <w:r>
        <w:t xml:space="preserve">.</w:t>
      </w:r>
      <w:r>
        <w:t xml:space="preserve"> </w:t>
      </w:r>
      <w:r>
        <w:t xml:space="preserve">Knuth (1984)</w:t>
      </w:r>
      <w:r>
        <w:t xml:space="preserve"> </w:t>
      </w:r>
      <w:r>
        <w:t xml:space="preserve">fala sobre</w:t>
      </w:r>
      <w:r>
        <w:t xml:space="preserve"> </w:t>
      </w:r>
      <w:r>
        <w:rPr>
          <w:i/>
          <w:iCs/>
        </w:rPr>
        <w:t xml:space="preserve">Literate Programming</w:t>
      </w:r>
      <w:r>
        <w:t xml:space="preserve">.</w:t>
      </w:r>
    </w:p>
    <w:p>
      <w:pPr>
        <w:pStyle w:val="SourceCode"/>
      </w:pPr>
      <w:r>
        <w:rPr>
          <w:rStyle w:val="VerbatimChar"/>
        </w:rPr>
        <w:t xml:space="preserve">{'uci_id': 697, 'name': "Predict Students' Dropout and Academic Success", 'repository_url': 'https://archive.ics.uci.edu/dataset/697/predict+students+dropout+and+academic+success', 'data_url': 'https://archive.ics.uci.edu/static/public/697/data.csv', 'abstract': "A dataset created from a higher education institution (acquired from several disjoint databases) related to students enrolled in different undergraduate degrees, such as agronomy, design, education, nursing, journalism, management, social service, and technologies.\nThe dataset includes information known at the time of student enrollment (academic path, demographics, and social-economic factors) and the students' academic performance at the end of the first and second semesters. \nThe data is used to build classification models to predict students' dropout and academic sucess. The problem is formulated as a three category classification task, in which there is a strong imbalance towards one of the classes.", 'area': 'Social Science', 'tasks': ['Classification'], 'characteristics': ['Tabular'], 'num_instances': 4424, 'num_features': 36, 'feature_types': ['Real', 'Categorical', 'Integer'], 'demographics': ['Marital Status', 'Education Level', 'Nationality', 'Occupation', 'Gender', 'Age'], 'target_col': ['Target'], 'index_col': None, 'has_missing_values': 'no', 'missing_values_symbol': None, 'year_of_dataset_creation': 2021, 'last_updated': 'Mon Feb 26 2024', 'dataset_doi': '10.24432/C5MC89', 'creators': ['Valentim Realinho', 'Mónica Vieira Martins', 'Jorge Machado', 'Luís Baptista'], 'intro_paper': {'ID': 99, 'type': 'NATIVE', 'title': "Early prediction of student's performance in higher education: a case study", 'authors': 'Mónica V. Martins, Daniel Tolledo, Jorge Machado, Luís M. T. Baptista, and Valentim Realinho', 'venue': 'Trends and Applications in Information Systems and Technologies', 'year': 2021, 'journal': 'Advances in Intelligent Systems and Computing series', 'DOI': 'http://www.doi.org/10.1007/978-3-030-72657-7_16', 'URL': 'http://www.worldcist.org/2021/', 'sha': None, 'corpus': None, 'arxiv': None, 'mag': None, 'acl': None, 'pmid': None, 'pmcid': None}, 'additional_info': {'summary': None, 'purpose': 'The dataset was created in a project that aims to contribute to the reduction of academic dropout and failure in higher education, by using machine learning techniques to identify students at risk at an early stage of their academic path, so that strategies to support them can be put into place. \n\nThe dataset includes information known at the time of student enrollment – academic path, demographics, and social-economic factors. \n\nThe problem is formulated as a three category classification task (dropout, enrolled, and graduate) at the end of the normal duration of the course. \n', 'funded_by': 'This dataset is supported by program SATDAP - Capacitação da Administração Pública under grant POCI-05-5762-FSE-000191, Portugal.', 'instances_represent': 'Each instance is a student', 'recommended_data_splits': 'The dataset was used, in our project, with a data split of 80% for training and 20% for test.', 'sensitive_data': None, 'preprocessing_description': 'We performed a rigorous data preprocessing to handle data from anomalies, unexplainable outliers, and missing values.', 'variable_info': None, 'citation': 'If you use this dataset in experiments for a scientific publication, please kindly cite our paper: \nM.V.Martins, D. Tolledo, J. Machado, L. M.T. Baptista, V.Realinho. (2021) "Early prediction of student’s performance in higher education: a case study" Trends and Applications in Information Systems and Technologies, vol.1, in Advances in Intelligent Systems and Computing series. Springer. DOI: 10.1007/978-3-030-72657-7_16'}}</w:t>
      </w:r>
      <w:r>
        <w:br/>
      </w:r>
      <w:r>
        <w:rPr>
          <w:rStyle w:val="VerbatimChar"/>
        </w:rPr>
        <w:t xml:space="preserve">                                              name     role         type  \</w:t>
      </w:r>
      <w:r>
        <w:br/>
      </w:r>
      <w:r>
        <w:rPr>
          <w:rStyle w:val="VerbatimChar"/>
        </w:rPr>
        <w:t xml:space="preserve">0                                   Marital Status  Feature      Integer   </w:t>
      </w:r>
      <w:r>
        <w:br/>
      </w:r>
      <w:r>
        <w:rPr>
          <w:rStyle w:val="VerbatimChar"/>
        </w:rPr>
        <w:t xml:space="preserve">1                                 Application mode  Feature      Integer   </w:t>
      </w:r>
      <w:r>
        <w:br/>
      </w:r>
      <w:r>
        <w:rPr>
          <w:rStyle w:val="VerbatimChar"/>
        </w:rPr>
        <w:t xml:space="preserve">2                                Application order  Feature      Integer   </w:t>
      </w:r>
      <w:r>
        <w:br/>
      </w:r>
      <w:r>
        <w:rPr>
          <w:rStyle w:val="VerbatimChar"/>
        </w:rPr>
        <w:t xml:space="preserve">3                                           Course  Feature      Integer   </w:t>
      </w:r>
      <w:r>
        <w:br/>
      </w:r>
      <w:r>
        <w:rPr>
          <w:rStyle w:val="VerbatimChar"/>
        </w:rPr>
        <w:t xml:space="preserve">4                       Daytime/evening attendance  Feature      Integer   </w:t>
      </w:r>
      <w:r>
        <w:br/>
      </w:r>
      <w:r>
        <w:rPr>
          <w:rStyle w:val="VerbatimChar"/>
        </w:rPr>
        <w:t xml:space="preserve">5                           Previous qualification  Feature      Integer   </w:t>
      </w:r>
      <w:r>
        <w:br/>
      </w:r>
      <w:r>
        <w:rPr>
          <w:rStyle w:val="VerbatimChar"/>
        </w:rPr>
        <w:t xml:space="preserve">6                   Previous qualification (grade)  Feature   Continuous   </w:t>
      </w:r>
      <w:r>
        <w:br/>
      </w:r>
      <w:r>
        <w:rPr>
          <w:rStyle w:val="VerbatimChar"/>
        </w:rPr>
        <w:t xml:space="preserve">7                                      Nacionality  Feature      Integer   </w:t>
      </w:r>
      <w:r>
        <w:br/>
      </w:r>
      <w:r>
        <w:rPr>
          <w:rStyle w:val="VerbatimChar"/>
        </w:rPr>
        <w:t xml:space="preserve">8                           Mother's qualification  Feature      Integer   </w:t>
      </w:r>
      <w:r>
        <w:br/>
      </w:r>
      <w:r>
        <w:rPr>
          <w:rStyle w:val="VerbatimChar"/>
        </w:rPr>
        <w:t xml:space="preserve">9                           Father's qualification  Feature      Integer   </w:t>
      </w:r>
      <w:r>
        <w:br/>
      </w:r>
      <w:r>
        <w:rPr>
          <w:rStyle w:val="VerbatimChar"/>
        </w:rPr>
        <w:t xml:space="preserve">10                             Mother's occupation  Feature      Integer   </w:t>
      </w:r>
      <w:r>
        <w:br/>
      </w:r>
      <w:r>
        <w:rPr>
          <w:rStyle w:val="VerbatimChar"/>
        </w:rPr>
        <w:t xml:space="preserve">11                             Father's occupation  Feature      Integer   </w:t>
      </w:r>
      <w:r>
        <w:br/>
      </w:r>
      <w:r>
        <w:rPr>
          <w:rStyle w:val="VerbatimChar"/>
        </w:rPr>
        <w:t xml:space="preserve">12                                 Admission grade  Feature   Continuous   </w:t>
      </w:r>
      <w:r>
        <w:br/>
      </w:r>
      <w:r>
        <w:rPr>
          <w:rStyle w:val="VerbatimChar"/>
        </w:rPr>
        <w:t xml:space="preserve">13                                       Displaced  Feature      Integer   </w:t>
      </w:r>
      <w:r>
        <w:br/>
      </w:r>
      <w:r>
        <w:rPr>
          <w:rStyle w:val="VerbatimChar"/>
        </w:rPr>
        <w:t xml:space="preserve">14                       Educational special needs  Feature      Integer   </w:t>
      </w:r>
      <w:r>
        <w:br/>
      </w:r>
      <w:r>
        <w:rPr>
          <w:rStyle w:val="VerbatimChar"/>
        </w:rPr>
        <w:t xml:space="preserve">15                                          Debtor  Feature      Integer   </w:t>
      </w:r>
      <w:r>
        <w:br/>
      </w:r>
      <w:r>
        <w:rPr>
          <w:rStyle w:val="VerbatimChar"/>
        </w:rPr>
        <w:t xml:space="preserve">16                         Tuition fees up to date  Feature      Integer   </w:t>
      </w:r>
      <w:r>
        <w:br/>
      </w:r>
      <w:r>
        <w:rPr>
          <w:rStyle w:val="VerbatimChar"/>
        </w:rPr>
        <w:t xml:space="preserve">17                                          Gender  Feature      Integer   </w:t>
      </w:r>
      <w:r>
        <w:br/>
      </w:r>
      <w:r>
        <w:rPr>
          <w:rStyle w:val="VerbatimChar"/>
        </w:rPr>
        <w:t xml:space="preserve">18                              Scholarship holder  Feature      Integer   </w:t>
      </w:r>
      <w:r>
        <w:br/>
      </w:r>
      <w:r>
        <w:rPr>
          <w:rStyle w:val="VerbatimChar"/>
        </w:rPr>
        <w:t xml:space="preserve">19                               Age at enrollment  Feature      Integer   </w:t>
      </w:r>
      <w:r>
        <w:br/>
      </w:r>
      <w:r>
        <w:rPr>
          <w:rStyle w:val="VerbatimChar"/>
        </w:rPr>
        <w:t xml:space="preserve">20                                   International  Feature      Integer   </w:t>
      </w:r>
      <w:r>
        <w:br/>
      </w:r>
      <w:r>
        <w:rPr>
          <w:rStyle w:val="VerbatimChar"/>
        </w:rPr>
        <w:t xml:space="preserve">21             Curricular units 1st sem (credited)  Feature      Integer   </w:t>
      </w:r>
      <w:r>
        <w:br/>
      </w:r>
      <w:r>
        <w:rPr>
          <w:rStyle w:val="VerbatimChar"/>
        </w:rPr>
        <w:t xml:space="preserve">22             Curricular units 1st sem (enrolled)  Feature      Integer   </w:t>
      </w:r>
      <w:r>
        <w:br/>
      </w:r>
      <w:r>
        <w:rPr>
          <w:rStyle w:val="VerbatimChar"/>
        </w:rPr>
        <w:t xml:space="preserve">23          Curricular units 1st sem (evaluations)  Feature      Integer   </w:t>
      </w:r>
      <w:r>
        <w:br/>
      </w:r>
      <w:r>
        <w:rPr>
          <w:rStyle w:val="VerbatimChar"/>
        </w:rPr>
        <w:t xml:space="preserve">24             Curricular units 1st sem (approved)  Feature      Integer   </w:t>
      </w:r>
      <w:r>
        <w:br/>
      </w:r>
      <w:r>
        <w:rPr>
          <w:rStyle w:val="VerbatimChar"/>
        </w:rPr>
        <w:t xml:space="preserve">25                Curricular units 1st sem (grade)  Feature      Integer   </w:t>
      </w:r>
      <w:r>
        <w:br/>
      </w:r>
      <w:r>
        <w:rPr>
          <w:rStyle w:val="VerbatimChar"/>
        </w:rPr>
        <w:t xml:space="preserve">26  Curricular units 1st sem (without evaluations)  Feature      Integer   </w:t>
      </w:r>
      <w:r>
        <w:br/>
      </w:r>
      <w:r>
        <w:rPr>
          <w:rStyle w:val="VerbatimChar"/>
        </w:rPr>
        <w:t xml:space="preserve">27             Curricular units 2nd sem (credited)  Feature      Integer   </w:t>
      </w:r>
      <w:r>
        <w:br/>
      </w:r>
      <w:r>
        <w:rPr>
          <w:rStyle w:val="VerbatimChar"/>
        </w:rPr>
        <w:t xml:space="preserve">28             Curricular units 2nd sem (enrolled)  Feature      Integer   </w:t>
      </w:r>
      <w:r>
        <w:br/>
      </w:r>
      <w:r>
        <w:rPr>
          <w:rStyle w:val="VerbatimChar"/>
        </w:rPr>
        <w:t xml:space="preserve">29          Curricular units 2nd sem (evaluations)  Feature      Integer   </w:t>
      </w:r>
      <w:r>
        <w:br/>
      </w:r>
      <w:r>
        <w:rPr>
          <w:rStyle w:val="VerbatimChar"/>
        </w:rPr>
        <w:t xml:space="preserve">30             Curricular units 2nd sem (approved)  Feature      Integer   </w:t>
      </w:r>
      <w:r>
        <w:br/>
      </w:r>
      <w:r>
        <w:rPr>
          <w:rStyle w:val="VerbatimChar"/>
        </w:rPr>
        <w:t xml:space="preserve">31                Curricular units 2nd sem (grade)  Feature      Integer   </w:t>
      </w:r>
      <w:r>
        <w:br/>
      </w:r>
      <w:r>
        <w:rPr>
          <w:rStyle w:val="VerbatimChar"/>
        </w:rPr>
        <w:t xml:space="preserve">32  Curricular units 2nd sem (without evaluations)  Feature      Integer   </w:t>
      </w:r>
      <w:r>
        <w:br/>
      </w:r>
      <w:r>
        <w:rPr>
          <w:rStyle w:val="VerbatimChar"/>
        </w:rPr>
        <w:t xml:space="preserve">33                               Unemployment rate  Feature   Continuous   </w:t>
      </w:r>
      <w:r>
        <w:br/>
      </w:r>
      <w:r>
        <w:rPr>
          <w:rStyle w:val="VerbatimChar"/>
        </w:rPr>
        <w:t xml:space="preserve">34                                  Inflation rate  Feature   Continuous   </w:t>
      </w:r>
      <w:r>
        <w:br/>
      </w:r>
      <w:r>
        <w:rPr>
          <w:rStyle w:val="VerbatimChar"/>
        </w:rPr>
        <w:t xml:space="preserve">35                                             GDP  Feature   Continuous   </w:t>
      </w:r>
      <w:r>
        <w:br/>
      </w:r>
      <w:r>
        <w:rPr>
          <w:rStyle w:val="VerbatimChar"/>
        </w:rPr>
        <w:t xml:space="preserve">36                                          Target   Target  Categorical   </w:t>
      </w:r>
      <w:r>
        <w:br/>
      </w:r>
      <w:r>
        <w:br/>
      </w:r>
      <w:r>
        <w:rPr>
          <w:rStyle w:val="VerbatimChar"/>
        </w:rPr>
        <w:t xml:space="preserve">        demographic                                        description units  \</w:t>
      </w:r>
      <w:r>
        <w:br/>
      </w:r>
      <w:r>
        <w:rPr>
          <w:rStyle w:val="VerbatimChar"/>
        </w:rPr>
        <w:t xml:space="preserve">0    Marital Status  1 – single 2 – married 3 – widower 4 – divorce...  None   </w:t>
      </w:r>
      <w:r>
        <w:br/>
      </w:r>
      <w:r>
        <w:rPr>
          <w:rStyle w:val="VerbatimChar"/>
        </w:rPr>
        <w:t xml:space="preserve">1               NaN  1 - 1st phase - general contingent 2 - Ordinan...  None   </w:t>
      </w:r>
      <w:r>
        <w:br/>
      </w:r>
      <w:r>
        <w:rPr>
          <w:rStyle w:val="VerbatimChar"/>
        </w:rPr>
        <w:t xml:space="preserve">2               NaN  Application order (between 0 - first choice; a...  None   </w:t>
      </w:r>
      <w:r>
        <w:br/>
      </w:r>
      <w:r>
        <w:rPr>
          <w:rStyle w:val="VerbatimChar"/>
        </w:rPr>
        <w:t xml:space="preserve">3               NaN  33 - Biofuel Production Technologies 171 - Ani...  None   </w:t>
      </w:r>
      <w:r>
        <w:br/>
      </w:r>
      <w:r>
        <w:rPr>
          <w:rStyle w:val="VerbatimChar"/>
        </w:rPr>
        <w:t xml:space="preserve">4               NaN                            1 – daytime 0 - evening  None   </w:t>
      </w:r>
      <w:r>
        <w:br/>
      </w:r>
      <w:r>
        <w:rPr>
          <w:rStyle w:val="VerbatimChar"/>
        </w:rPr>
        <w:t xml:space="preserve">5   Education Level  1 - Secondary education 2 - Higher education -...  None   </w:t>
      </w:r>
      <w:r>
        <w:br/>
      </w:r>
      <w:r>
        <w:rPr>
          <w:rStyle w:val="VerbatimChar"/>
        </w:rPr>
        <w:t xml:space="preserve">6               NaN  Grade of previous qualification (between 0 and...  None   </w:t>
      </w:r>
      <w:r>
        <w:br/>
      </w:r>
      <w:r>
        <w:rPr>
          <w:rStyle w:val="VerbatimChar"/>
        </w:rPr>
        <w:t xml:space="preserve">7       Nationality  1 - Portuguese; 2 - German; 6 - Spanish; 11 - ...  None   </w:t>
      </w:r>
      <w:r>
        <w:br/>
      </w:r>
      <w:r>
        <w:rPr>
          <w:rStyle w:val="VerbatimChar"/>
        </w:rPr>
        <w:t xml:space="preserve">8   Education Level  1 - Secondary Education - 12th Year of Schooli...  None   </w:t>
      </w:r>
      <w:r>
        <w:br/>
      </w:r>
      <w:r>
        <w:rPr>
          <w:rStyle w:val="VerbatimChar"/>
        </w:rPr>
        <w:t xml:space="preserve">9   Education Level  1 - Secondary Education - 12th Year of Schooli...  None   </w:t>
      </w:r>
      <w:r>
        <w:br/>
      </w:r>
      <w:r>
        <w:rPr>
          <w:rStyle w:val="VerbatimChar"/>
        </w:rPr>
        <w:t xml:space="preserve">10       Occupation  0 - Student 1 - Representatives of the Legisla...  None   </w:t>
      </w:r>
      <w:r>
        <w:br/>
      </w:r>
      <w:r>
        <w:rPr>
          <w:rStyle w:val="VerbatimChar"/>
        </w:rPr>
        <w:t xml:space="preserve">11       Occupation  0 - Student 1 - Representatives of the Legisla...  None   </w:t>
      </w:r>
      <w:r>
        <w:br/>
      </w:r>
      <w:r>
        <w:rPr>
          <w:rStyle w:val="VerbatimChar"/>
        </w:rPr>
        <w:t xml:space="preserve">12              NaN                Admission grade (between 0 and 200)  None   </w:t>
      </w:r>
      <w:r>
        <w:br/>
      </w:r>
      <w:r>
        <w:rPr>
          <w:rStyle w:val="VerbatimChar"/>
        </w:rPr>
        <w:t xml:space="preserve">13              NaN                                     1 – yes 0 – no  None   </w:t>
      </w:r>
      <w:r>
        <w:br/>
      </w:r>
      <w:r>
        <w:rPr>
          <w:rStyle w:val="VerbatimChar"/>
        </w:rPr>
        <w:t xml:space="preserve">14              NaN                                     1 – yes 0 – no  None   </w:t>
      </w:r>
      <w:r>
        <w:br/>
      </w:r>
      <w:r>
        <w:rPr>
          <w:rStyle w:val="VerbatimChar"/>
        </w:rPr>
        <w:t xml:space="preserve">15              NaN                                     1 – yes 0 – no  None   </w:t>
      </w:r>
      <w:r>
        <w:br/>
      </w:r>
      <w:r>
        <w:rPr>
          <w:rStyle w:val="VerbatimChar"/>
        </w:rPr>
        <w:t xml:space="preserve">16              NaN                                     1 – yes 0 – no  None   </w:t>
      </w:r>
      <w:r>
        <w:br/>
      </w:r>
      <w:r>
        <w:rPr>
          <w:rStyle w:val="VerbatimChar"/>
        </w:rPr>
        <w:t xml:space="preserve">17           Gender                                1 – male 0 – female  None   </w:t>
      </w:r>
      <w:r>
        <w:br/>
      </w:r>
      <w:r>
        <w:rPr>
          <w:rStyle w:val="VerbatimChar"/>
        </w:rPr>
        <w:t xml:space="preserve">18              NaN                                     1 – yes 0 – no  None   </w:t>
      </w:r>
      <w:r>
        <w:br/>
      </w:r>
      <w:r>
        <w:rPr>
          <w:rStyle w:val="VerbatimChar"/>
        </w:rPr>
        <w:t xml:space="preserve">19              Age                       Age of studend at enrollment  None   </w:t>
      </w:r>
      <w:r>
        <w:br/>
      </w:r>
      <w:r>
        <w:rPr>
          <w:rStyle w:val="VerbatimChar"/>
        </w:rPr>
        <w:t xml:space="preserve">20              NaN                                     1 – yes 0 – no  None   </w:t>
      </w:r>
      <w:r>
        <w:br/>
      </w:r>
      <w:r>
        <w:rPr>
          <w:rStyle w:val="VerbatimChar"/>
        </w:rPr>
        <w:t xml:space="preserve">21              NaN  Number of curricular units credited in the 1st...  None   </w:t>
      </w:r>
      <w:r>
        <w:br/>
      </w:r>
      <w:r>
        <w:rPr>
          <w:rStyle w:val="VerbatimChar"/>
        </w:rPr>
        <w:t xml:space="preserve">22              NaN  Number of curricular units enrolled in the 1st...  None   </w:t>
      </w:r>
      <w:r>
        <w:br/>
      </w:r>
      <w:r>
        <w:rPr>
          <w:rStyle w:val="VerbatimChar"/>
        </w:rPr>
        <w:t xml:space="preserve">23              NaN  Number of evaluations to curricular units in t...  None   </w:t>
      </w:r>
      <w:r>
        <w:br/>
      </w:r>
      <w:r>
        <w:rPr>
          <w:rStyle w:val="VerbatimChar"/>
        </w:rPr>
        <w:t xml:space="preserve">24              NaN  Number of curricular units approved in the 1st...  None   </w:t>
      </w:r>
      <w:r>
        <w:br/>
      </w:r>
      <w:r>
        <w:rPr>
          <w:rStyle w:val="VerbatimChar"/>
        </w:rPr>
        <w:t xml:space="preserve">25              NaN  Grade average in the 1st semester (between 0 a...  None   </w:t>
      </w:r>
      <w:r>
        <w:br/>
      </w:r>
      <w:r>
        <w:rPr>
          <w:rStyle w:val="VerbatimChar"/>
        </w:rPr>
        <w:t xml:space="preserve">26              NaN  Number of curricular units without evalutions ...  None   </w:t>
      </w:r>
      <w:r>
        <w:br/>
      </w:r>
      <w:r>
        <w:rPr>
          <w:rStyle w:val="VerbatimChar"/>
        </w:rPr>
        <w:t xml:space="preserve">27              NaN  Number of curricular units credited in the 2nd...  None   </w:t>
      </w:r>
      <w:r>
        <w:br/>
      </w:r>
      <w:r>
        <w:rPr>
          <w:rStyle w:val="VerbatimChar"/>
        </w:rPr>
        <w:t xml:space="preserve">28              NaN  Number of curricular units enrolled in the 2nd...  None   </w:t>
      </w:r>
      <w:r>
        <w:br/>
      </w:r>
      <w:r>
        <w:rPr>
          <w:rStyle w:val="VerbatimChar"/>
        </w:rPr>
        <w:t xml:space="preserve">29              NaN  Number of evaluations to curricular units in t...  None   </w:t>
      </w:r>
      <w:r>
        <w:br/>
      </w:r>
      <w:r>
        <w:rPr>
          <w:rStyle w:val="VerbatimChar"/>
        </w:rPr>
        <w:t xml:space="preserve">30              NaN  Number of curricular units approved in the 2nd...  None   </w:t>
      </w:r>
      <w:r>
        <w:br/>
      </w:r>
      <w:r>
        <w:rPr>
          <w:rStyle w:val="VerbatimChar"/>
        </w:rPr>
        <w:t xml:space="preserve">31              NaN  Grade average in the 2nd semester (between 0 a...  None   </w:t>
      </w:r>
      <w:r>
        <w:br/>
      </w:r>
      <w:r>
        <w:rPr>
          <w:rStyle w:val="VerbatimChar"/>
        </w:rPr>
        <w:t xml:space="preserve">32              NaN  Number of curricular units without evalutions ...  None   </w:t>
      </w:r>
      <w:r>
        <w:br/>
      </w:r>
      <w:r>
        <w:rPr>
          <w:rStyle w:val="VerbatimChar"/>
        </w:rPr>
        <w:t xml:space="preserve">33              NaN                              Unemployment rate (%)  None   </w:t>
      </w:r>
      <w:r>
        <w:br/>
      </w:r>
      <w:r>
        <w:rPr>
          <w:rStyle w:val="VerbatimChar"/>
        </w:rPr>
        <w:t xml:space="preserve">34              NaN                                 Inflation rate (%)  None   </w:t>
      </w:r>
      <w:r>
        <w:br/>
      </w:r>
      <w:r>
        <w:rPr>
          <w:rStyle w:val="VerbatimChar"/>
        </w:rPr>
        <w:t xml:space="preserve">35              NaN                                                GDP  None   </w:t>
      </w:r>
      <w:r>
        <w:br/>
      </w:r>
      <w:r>
        <w:rPr>
          <w:rStyle w:val="VerbatimChar"/>
        </w:rPr>
        <w:t xml:space="preserve">36              NaN  Target. The problem is formulated as a three c...  None   </w:t>
      </w:r>
      <w:r>
        <w:br/>
      </w:r>
      <w:r>
        <w:br/>
      </w:r>
      <w:r>
        <w:rPr>
          <w:rStyle w:val="VerbatimChar"/>
        </w:rPr>
        <w:t xml:space="preserve">   missing_values  </w:t>
      </w:r>
      <w:r>
        <w:br/>
      </w:r>
      <w:r>
        <w:rPr>
          <w:rStyle w:val="VerbatimChar"/>
        </w:rPr>
        <w:t xml:space="preserve">0              no  </w:t>
      </w:r>
      <w:r>
        <w:br/>
      </w:r>
      <w:r>
        <w:rPr>
          <w:rStyle w:val="VerbatimChar"/>
        </w:rPr>
        <w:t xml:space="preserve">1              no  </w:t>
      </w:r>
      <w:r>
        <w:br/>
      </w:r>
      <w:r>
        <w:rPr>
          <w:rStyle w:val="VerbatimChar"/>
        </w:rPr>
        <w:t xml:space="preserve">2              no  </w:t>
      </w:r>
      <w:r>
        <w:br/>
      </w:r>
      <w:r>
        <w:rPr>
          <w:rStyle w:val="VerbatimChar"/>
        </w:rPr>
        <w:t xml:space="preserve">3              no  </w:t>
      </w:r>
      <w:r>
        <w:br/>
      </w:r>
      <w:r>
        <w:rPr>
          <w:rStyle w:val="VerbatimChar"/>
        </w:rPr>
        <w:t xml:space="preserve">4              no  </w:t>
      </w:r>
      <w:r>
        <w:br/>
      </w:r>
      <w:r>
        <w:rPr>
          <w:rStyle w:val="VerbatimChar"/>
        </w:rPr>
        <w:t xml:space="preserve">5              no  </w:t>
      </w:r>
      <w:r>
        <w:br/>
      </w:r>
      <w:r>
        <w:rPr>
          <w:rStyle w:val="VerbatimChar"/>
        </w:rPr>
        <w:t xml:space="preserve">6              no  </w:t>
      </w:r>
      <w:r>
        <w:br/>
      </w:r>
      <w:r>
        <w:rPr>
          <w:rStyle w:val="VerbatimChar"/>
        </w:rPr>
        <w:t xml:space="preserve">7              no  </w:t>
      </w:r>
      <w:r>
        <w:br/>
      </w:r>
      <w:r>
        <w:rPr>
          <w:rStyle w:val="VerbatimChar"/>
        </w:rPr>
        <w:t xml:space="preserve">8              no  </w:t>
      </w:r>
      <w:r>
        <w:br/>
      </w:r>
      <w:r>
        <w:rPr>
          <w:rStyle w:val="VerbatimChar"/>
        </w:rPr>
        <w:t xml:space="preserve">9              no  </w:t>
      </w:r>
      <w:r>
        <w:br/>
      </w:r>
      <w:r>
        <w:rPr>
          <w:rStyle w:val="VerbatimChar"/>
        </w:rPr>
        <w:t xml:space="preserve">10             no  </w:t>
      </w:r>
      <w:r>
        <w:br/>
      </w:r>
      <w:r>
        <w:rPr>
          <w:rStyle w:val="VerbatimChar"/>
        </w:rPr>
        <w:t xml:space="preserve">11             no  </w:t>
      </w:r>
      <w:r>
        <w:br/>
      </w:r>
      <w:r>
        <w:rPr>
          <w:rStyle w:val="VerbatimChar"/>
        </w:rPr>
        <w:t xml:space="preserve">12             no  </w:t>
      </w:r>
      <w:r>
        <w:br/>
      </w:r>
      <w:r>
        <w:rPr>
          <w:rStyle w:val="VerbatimChar"/>
        </w:rPr>
        <w:t xml:space="preserve">13             no  </w:t>
      </w:r>
      <w:r>
        <w:br/>
      </w:r>
      <w:r>
        <w:rPr>
          <w:rStyle w:val="VerbatimChar"/>
        </w:rPr>
        <w:t xml:space="preserve">14             no  </w:t>
      </w:r>
      <w:r>
        <w:br/>
      </w:r>
      <w:r>
        <w:rPr>
          <w:rStyle w:val="VerbatimChar"/>
        </w:rPr>
        <w:t xml:space="preserve">15             no  </w:t>
      </w:r>
      <w:r>
        <w:br/>
      </w:r>
      <w:r>
        <w:rPr>
          <w:rStyle w:val="VerbatimChar"/>
        </w:rPr>
        <w:t xml:space="preserve">16             no  </w:t>
      </w:r>
      <w:r>
        <w:br/>
      </w:r>
      <w:r>
        <w:rPr>
          <w:rStyle w:val="VerbatimChar"/>
        </w:rPr>
        <w:t xml:space="preserve">17             no  </w:t>
      </w:r>
      <w:r>
        <w:br/>
      </w:r>
      <w:r>
        <w:rPr>
          <w:rStyle w:val="VerbatimChar"/>
        </w:rPr>
        <w:t xml:space="preserve">18             no  </w:t>
      </w:r>
      <w:r>
        <w:br/>
      </w:r>
      <w:r>
        <w:rPr>
          <w:rStyle w:val="VerbatimChar"/>
        </w:rPr>
        <w:t xml:space="preserve">19             no  </w:t>
      </w:r>
      <w:r>
        <w:br/>
      </w:r>
      <w:r>
        <w:rPr>
          <w:rStyle w:val="VerbatimChar"/>
        </w:rPr>
        <w:t xml:space="preserve">20             no  </w:t>
      </w:r>
      <w:r>
        <w:br/>
      </w:r>
      <w:r>
        <w:rPr>
          <w:rStyle w:val="VerbatimChar"/>
        </w:rPr>
        <w:t xml:space="preserve">21             no  </w:t>
      </w:r>
      <w:r>
        <w:br/>
      </w:r>
      <w:r>
        <w:rPr>
          <w:rStyle w:val="VerbatimChar"/>
        </w:rPr>
        <w:t xml:space="preserve">22             no  </w:t>
      </w:r>
      <w:r>
        <w:br/>
      </w:r>
      <w:r>
        <w:rPr>
          <w:rStyle w:val="VerbatimChar"/>
        </w:rPr>
        <w:t xml:space="preserve">23             no  </w:t>
      </w:r>
      <w:r>
        <w:br/>
      </w:r>
      <w:r>
        <w:rPr>
          <w:rStyle w:val="VerbatimChar"/>
        </w:rPr>
        <w:t xml:space="preserve">24             no  </w:t>
      </w:r>
      <w:r>
        <w:br/>
      </w:r>
      <w:r>
        <w:rPr>
          <w:rStyle w:val="VerbatimChar"/>
        </w:rPr>
        <w:t xml:space="preserve">25             no  </w:t>
      </w:r>
      <w:r>
        <w:br/>
      </w:r>
      <w:r>
        <w:rPr>
          <w:rStyle w:val="VerbatimChar"/>
        </w:rPr>
        <w:t xml:space="preserve">26             no  </w:t>
      </w:r>
      <w:r>
        <w:br/>
      </w:r>
      <w:r>
        <w:rPr>
          <w:rStyle w:val="VerbatimChar"/>
        </w:rPr>
        <w:t xml:space="preserve">27             no  </w:t>
      </w:r>
      <w:r>
        <w:br/>
      </w:r>
      <w:r>
        <w:rPr>
          <w:rStyle w:val="VerbatimChar"/>
        </w:rPr>
        <w:t xml:space="preserve">28             no  </w:t>
      </w:r>
      <w:r>
        <w:br/>
      </w:r>
      <w:r>
        <w:rPr>
          <w:rStyle w:val="VerbatimChar"/>
        </w:rPr>
        <w:t xml:space="preserve">29             no  </w:t>
      </w:r>
      <w:r>
        <w:br/>
      </w:r>
      <w:r>
        <w:rPr>
          <w:rStyle w:val="VerbatimChar"/>
        </w:rPr>
        <w:t xml:space="preserve">30             no  </w:t>
      </w:r>
      <w:r>
        <w:br/>
      </w:r>
      <w:r>
        <w:rPr>
          <w:rStyle w:val="VerbatimChar"/>
        </w:rPr>
        <w:t xml:space="preserve">31             no  </w:t>
      </w:r>
      <w:r>
        <w:br/>
      </w:r>
      <w:r>
        <w:rPr>
          <w:rStyle w:val="VerbatimChar"/>
        </w:rPr>
        <w:t xml:space="preserve">32             no  </w:t>
      </w:r>
      <w:r>
        <w:br/>
      </w:r>
      <w:r>
        <w:rPr>
          <w:rStyle w:val="VerbatimChar"/>
        </w:rPr>
        <w:t xml:space="preserve">33             no  </w:t>
      </w:r>
      <w:r>
        <w:br/>
      </w:r>
      <w:r>
        <w:rPr>
          <w:rStyle w:val="VerbatimChar"/>
        </w:rPr>
        <w:t xml:space="preserve">34             no  </w:t>
      </w:r>
      <w:r>
        <w:br/>
      </w:r>
      <w:r>
        <w:rPr>
          <w:rStyle w:val="VerbatimChar"/>
        </w:rPr>
        <w:t xml:space="preserve">35             no  </w:t>
      </w:r>
      <w:r>
        <w:br/>
      </w:r>
      <w:r>
        <w:rPr>
          <w:rStyle w:val="VerbatimChar"/>
        </w:rPr>
        <w:t xml:space="preserve">36             no  </w:t>
      </w:r>
    </w:p>
    <w:p>
      <w:pPr>
        <w:pStyle w:val="FirstParagraph"/>
      </w:pPr>
      <w:r>
        <w:rPr>
          <w:vertAlign w:val="subscript"/>
        </w:rPr>
        <w:t xml:space="preserve">Fonte:</w:t>
      </w:r>
      <w:r>
        <w:rPr>
          <w:vertAlign w:val="subscript"/>
        </w:rPr>
        <w:t xml:space="preserve"> </w:t>
      </w:r>
      <w:hyperlink r:id="rId20">
        <w:r>
          <w:rPr>
            <w:rStyle w:val="Hyperlink"/>
            <w:vertAlign w:val="subscript"/>
          </w:rPr>
          <w:t xml:space="preserve">Caderno do Artigo</w:t>
        </w:r>
      </w:hyperlink>
    </w:p>
    <w:bookmarkEnd w:id="21"/>
    <w:bookmarkStart w:id="25" w:name="referências"/>
    <w:p>
      <w:pPr>
        <w:pStyle w:val="Heading1"/>
      </w:pPr>
      <w:r>
        <w:t xml:space="preserve">Referências</w:t>
      </w:r>
    </w:p>
    <w:p>
      <w:pPr>
        <w:pStyle w:val="FirstParagraph"/>
      </w:pPr>
      <w:r>
        <w:rPr>
          <w:vertAlign w:val="subscript"/>
        </w:rPr>
        <w:t xml:space="preserve">Fonte:</w:t>
      </w:r>
      <w:r>
        <w:rPr>
          <w:vertAlign w:val="subscript"/>
        </w:rPr>
        <w:t xml:space="preserve"> </w:t>
      </w:r>
      <w:hyperlink r:id="rId20">
        <w:r>
          <w:rPr>
            <w:rStyle w:val="Hyperlink"/>
            <w:vertAlign w:val="subscript"/>
          </w:rPr>
          <w:t xml:space="preserve">Caderno do Artigo</w:t>
        </w:r>
      </w:hyperlink>
    </w:p>
    <w:bookmarkStart w:id="24" w:name="refs"/>
    <w:bookmarkStart w:id="23" w:name="ref-knuth84"/>
    <w:p>
      <w:pPr>
        <w:pStyle w:val="Bibliography"/>
      </w:pPr>
      <w:r>
        <w:t xml:space="preserve">KNUTH, D. E.</w:t>
      </w:r>
      <w:r>
        <w:t xml:space="preserve"> </w:t>
      </w:r>
      <w:hyperlink r:id="rId22">
        <w:r>
          <w:rPr>
            <w:rStyle w:val="Hyperlink"/>
          </w:rPr>
          <w:t xml:space="preserve">Literate Programming</w:t>
        </w:r>
      </w:hyperlink>
      <w:r>
        <w:t xml:space="preserve">.</w:t>
      </w:r>
      <w:r>
        <w:t xml:space="preserve"> </w:t>
      </w:r>
      <w:r>
        <w:rPr>
          <w:b/>
          <w:bCs/>
        </w:rPr>
        <w:t xml:space="preserve">Comput. J.</w:t>
      </w:r>
      <w:r>
        <w:t xml:space="preserve">, v. 27, n. 2, p. 97–111, 1984.</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doi.org/10.1093/comjnl/27.2.97" TargetMode="External" /><Relationship Type="http://schemas.openxmlformats.org/officeDocument/2006/relationships/hyperlink" Id="rId20" Target="https://ocaiosilv.github.io/evasao-universitaria/index.qmd.html" TargetMode="External" /></Relationships>
</file>

<file path=word/_rels/footnotes.xml.rels><?xml version="1.0" encoding="UTF-8"?><Relationships xmlns="http://schemas.openxmlformats.org/package/2006/relationships"><Relationship Type="http://schemas.openxmlformats.org/officeDocument/2006/relationships/hyperlink" Id="rId22" Target="https://doi.org/10.1093/comjnl/27.2.97" TargetMode="External" /><Relationship Type="http://schemas.openxmlformats.org/officeDocument/2006/relationships/hyperlink" Id="rId20" Target="https://ocaiosilv.github.io/evasao-universitaria/index.qm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 Evasão Universitária</dc:title>
  <dc:creator>Caio Aloísio Andrade Silva; Gabriel Santos de Souza; Lucca Pedreira Dultra; Renato Vasconcelos Campos Filho; Tarcísio Almeida Mascarenhas</dc:creator>
  <dc:language>pt</dc:language>
  <cp:keywords/>
  <dcterms:created xsi:type="dcterms:W3CDTF">2026-01-23T16:51:59Z</dcterms:created>
  <dcterms:modified xsi:type="dcterms:W3CDTF">2026-01-23T16:51:59Z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csl">
    <vt:lpwstr>associacao-brasileira-de-normas-tecnicas-ufs.csl</vt:lpwstr>
  </property>
  <property fmtid="{D5CDD505-2E9C-101B-9397-08002B2CF9AE}" pid="10" name="editor">
    <vt:lpwstr>visual</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jupyter">
    <vt:lpwstr>python3</vt:lpwstr>
  </property>
  <property fmtid="{D5CDD505-2E9C-101B-9397-08002B2CF9AE}" pid="16" name="labels">
    <vt:lpwstr/>
  </property>
  <property fmtid="{D5CDD505-2E9C-101B-9397-08002B2CF9AE}" pid="17" name="lightbox">
    <vt:lpwstr>auto</vt:lpwstr>
  </property>
  <property fmtid="{D5CDD505-2E9C-101B-9397-08002B2CF9AE}" pid="18" name="manuscript">
    <vt:lpwstr/>
  </property>
  <property fmtid="{D5CDD505-2E9C-101B-9397-08002B2CF9AE}" pid="19" name="notebook-preview-options">
    <vt:lpwstr/>
  </property>
  <property fmtid="{D5CDD505-2E9C-101B-9397-08002B2CF9AE}" pid="20" name="quarto-internal">
    <vt:lpwstr/>
  </property>
  <property fmtid="{D5CDD505-2E9C-101B-9397-08002B2CF9AE}" pid="21" name="remove-hidden">
    <vt:lpwstr>all</vt:lpwstr>
  </property>
  <property fmtid="{D5CDD505-2E9C-101B-9397-08002B2CF9AE}" pid="22" name="template-partials">
    <vt:lpwstr/>
  </property>
  <property fmtid="{D5CDD505-2E9C-101B-9397-08002B2CF9AE}" pid="23" name="theme">
    <vt:lpwstr>cosmo</vt:lpwstr>
  </property>
  <property fmtid="{D5CDD505-2E9C-101B-9397-08002B2CF9AE}" pid="24" name="title-block-style">
    <vt:lpwstr>manuscript</vt:lpwstr>
  </property>
  <property fmtid="{D5CDD505-2E9C-101B-9397-08002B2CF9AE}" pid="25" name="toc-title">
    <vt:lpwstr>Índice</vt:lpwstr>
  </property>
  <property fmtid="{D5CDD505-2E9C-101B-9397-08002B2CF9AE}" pid="26" name="unroll-markdown-cells">
    <vt:lpwstr>True</vt:lpwstr>
  </property>
</Properties>
</file>