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2EE5A" w14:textId="24B12932" w:rsidR="00B853A7" w:rsidRPr="00FA1D14" w:rsidRDefault="001D3D66" w:rsidP="00CE667B">
      <w:pPr>
        <w:pStyle w:val="Title"/>
        <w:spacing w:after="0"/>
        <w:jc w:val="both"/>
        <w:rPr>
          <w:rFonts w:ascii="Times New Roman" w:hAnsi="Times New Roman" w:cs="Times New Roman"/>
          <w:b/>
          <w:bCs/>
          <w:sz w:val="24"/>
          <w:szCs w:val="24"/>
          <w:lang w:val="es-ES_tradnl"/>
        </w:rPr>
      </w:pPr>
      <w:r w:rsidRPr="00FA1D14">
        <w:rPr>
          <w:rFonts w:ascii="Times New Roman" w:hAnsi="Times New Roman" w:cs="Times New Roman"/>
          <w:b/>
          <w:bCs/>
          <w:sz w:val="24"/>
          <w:szCs w:val="24"/>
          <w:lang w:val="es-ES_tradnl"/>
        </w:rPr>
        <w:t xml:space="preserve">Informe evaluación del módulo </w:t>
      </w:r>
      <w:r w:rsidR="00FA1D14" w:rsidRPr="00FA1D14">
        <w:rPr>
          <w:rFonts w:ascii="Times New Roman" w:hAnsi="Times New Roman" w:cs="Times New Roman"/>
          <w:b/>
          <w:bCs/>
          <w:sz w:val="24"/>
          <w:szCs w:val="24"/>
          <w:lang w:val="es-ES_tradnl"/>
        </w:rPr>
        <w:t>3</w:t>
      </w:r>
    </w:p>
    <w:p w14:paraId="4C401B51" w14:textId="4A1AD2CA" w:rsidR="001D3D66" w:rsidRPr="00B4525C" w:rsidRDefault="001D3D66" w:rsidP="00CE667B">
      <w:pPr>
        <w:pStyle w:val="ListParagraph"/>
        <w:numPr>
          <w:ilvl w:val="0"/>
          <w:numId w:val="1"/>
        </w:numPr>
        <w:spacing w:after="0" w:line="240" w:lineRule="auto"/>
        <w:jc w:val="both"/>
        <w:rPr>
          <w:rFonts w:ascii="Times New Roman" w:hAnsi="Times New Roman" w:cs="Times New Roman"/>
          <w:b/>
          <w:bCs/>
          <w:lang w:val="es-ES_tradnl"/>
        </w:rPr>
      </w:pPr>
      <w:r w:rsidRPr="00B4525C">
        <w:rPr>
          <w:rFonts w:ascii="Times New Roman" w:hAnsi="Times New Roman" w:cs="Times New Roman"/>
          <w:b/>
          <w:bCs/>
          <w:lang w:val="es-ES_tradnl"/>
        </w:rPr>
        <w:t>Modelos implementados</w:t>
      </w:r>
    </w:p>
    <w:p w14:paraId="6D9A015E" w14:textId="2A85085F" w:rsidR="003A0A2B" w:rsidRDefault="003A0A2B" w:rsidP="00CE667B">
      <w:pPr>
        <w:spacing w:after="0" w:line="240" w:lineRule="auto"/>
        <w:jc w:val="both"/>
        <w:rPr>
          <w:rFonts w:ascii="Times New Roman" w:hAnsi="Times New Roman" w:cs="Times New Roman"/>
          <w:lang w:val="es-ES"/>
        </w:rPr>
      </w:pPr>
      <w:r w:rsidRPr="00B4525C">
        <w:rPr>
          <w:rFonts w:ascii="Times New Roman" w:hAnsi="Times New Roman" w:cs="Times New Roman"/>
          <w:lang w:val="es-ES"/>
        </w:rPr>
        <w:t xml:space="preserve">En el presente informe se describe la implementación de </w:t>
      </w:r>
      <w:r w:rsidR="00FA1D14">
        <w:rPr>
          <w:rFonts w:ascii="Times New Roman" w:hAnsi="Times New Roman" w:cs="Times New Roman"/>
          <w:lang w:val="es-ES"/>
        </w:rPr>
        <w:t>dos</w:t>
      </w:r>
      <w:r w:rsidRPr="00B4525C">
        <w:rPr>
          <w:rFonts w:ascii="Times New Roman" w:hAnsi="Times New Roman" w:cs="Times New Roman"/>
          <w:lang w:val="es-ES"/>
        </w:rPr>
        <w:t xml:space="preserve"> modelos de pronóstico de series de tiempo aplicados a </w:t>
      </w:r>
      <w:r w:rsidR="00FA1D14">
        <w:rPr>
          <w:rFonts w:ascii="Times New Roman" w:hAnsi="Times New Roman" w:cs="Times New Roman"/>
          <w:lang w:val="es-ES"/>
        </w:rPr>
        <w:t xml:space="preserve">las series de tiempo de los activos </w:t>
      </w:r>
      <w:r w:rsidR="00FA1D14" w:rsidRPr="00FA1D14">
        <w:rPr>
          <w:rFonts w:ascii="Times New Roman" w:hAnsi="Times New Roman" w:cs="Times New Roman"/>
          <w:lang w:val="es-ES"/>
        </w:rPr>
        <w:t>RYLD, TSLA, TM y GM</w:t>
      </w:r>
      <w:r w:rsidRPr="00B4525C">
        <w:rPr>
          <w:rFonts w:ascii="Times New Roman" w:hAnsi="Times New Roman" w:cs="Times New Roman"/>
          <w:lang w:val="es-ES"/>
        </w:rPr>
        <w:t xml:space="preserve"> comprendido entre el </w:t>
      </w:r>
      <w:r w:rsidR="00FA1D14">
        <w:rPr>
          <w:rFonts w:ascii="Times New Roman" w:hAnsi="Times New Roman" w:cs="Times New Roman"/>
          <w:lang w:val="es-ES"/>
        </w:rPr>
        <w:t>22</w:t>
      </w:r>
      <w:r w:rsidRPr="00B4525C">
        <w:rPr>
          <w:rFonts w:ascii="Times New Roman" w:hAnsi="Times New Roman" w:cs="Times New Roman"/>
          <w:lang w:val="es-ES"/>
        </w:rPr>
        <w:t xml:space="preserve"> de </w:t>
      </w:r>
      <w:proofErr w:type="gramStart"/>
      <w:r w:rsidR="00FA1D14">
        <w:rPr>
          <w:rFonts w:ascii="Times New Roman" w:hAnsi="Times New Roman" w:cs="Times New Roman"/>
          <w:lang w:val="es-ES"/>
        </w:rPr>
        <w:t>Abril</w:t>
      </w:r>
      <w:proofErr w:type="gramEnd"/>
      <w:r w:rsidRPr="00B4525C">
        <w:rPr>
          <w:rFonts w:ascii="Times New Roman" w:hAnsi="Times New Roman" w:cs="Times New Roman"/>
          <w:lang w:val="es-ES"/>
        </w:rPr>
        <w:t xml:space="preserve"> de </w:t>
      </w:r>
      <w:r w:rsidR="00FA1D14">
        <w:rPr>
          <w:rFonts w:ascii="Times New Roman" w:hAnsi="Times New Roman" w:cs="Times New Roman"/>
          <w:lang w:val="es-ES"/>
        </w:rPr>
        <w:t>2019</w:t>
      </w:r>
      <w:r w:rsidRPr="00B4525C">
        <w:rPr>
          <w:rFonts w:ascii="Times New Roman" w:hAnsi="Times New Roman" w:cs="Times New Roman"/>
          <w:lang w:val="es-ES"/>
        </w:rPr>
        <w:t xml:space="preserve"> y el </w:t>
      </w:r>
      <w:r w:rsidR="00FA1D14">
        <w:rPr>
          <w:rFonts w:ascii="Times New Roman" w:hAnsi="Times New Roman" w:cs="Times New Roman"/>
          <w:lang w:val="es-ES"/>
        </w:rPr>
        <w:t>31</w:t>
      </w:r>
      <w:r w:rsidRPr="00B4525C">
        <w:rPr>
          <w:rFonts w:ascii="Times New Roman" w:hAnsi="Times New Roman" w:cs="Times New Roman"/>
          <w:lang w:val="es-ES"/>
        </w:rPr>
        <w:t xml:space="preserve"> de </w:t>
      </w:r>
      <w:proofErr w:type="gramStart"/>
      <w:r w:rsidR="00FA1D14">
        <w:rPr>
          <w:rFonts w:ascii="Times New Roman" w:hAnsi="Times New Roman" w:cs="Times New Roman"/>
          <w:lang w:val="es-ES"/>
        </w:rPr>
        <w:t>Diciembre</w:t>
      </w:r>
      <w:proofErr w:type="gramEnd"/>
      <w:r w:rsidRPr="00B4525C">
        <w:rPr>
          <w:rFonts w:ascii="Times New Roman" w:hAnsi="Times New Roman" w:cs="Times New Roman"/>
          <w:lang w:val="es-ES"/>
        </w:rPr>
        <w:t xml:space="preserve"> de </w:t>
      </w:r>
      <w:r w:rsidR="00FA1D14">
        <w:rPr>
          <w:rFonts w:ascii="Times New Roman" w:hAnsi="Times New Roman" w:cs="Times New Roman"/>
          <w:lang w:val="es-ES"/>
        </w:rPr>
        <w:t>2022</w:t>
      </w:r>
      <w:r w:rsidRPr="00B4525C">
        <w:rPr>
          <w:rFonts w:ascii="Times New Roman" w:hAnsi="Times New Roman" w:cs="Times New Roman"/>
          <w:lang w:val="es-ES"/>
        </w:rPr>
        <w:t xml:space="preserve">. Los modelos evaluados fueron: </w:t>
      </w:r>
      <w:r w:rsidR="00FA1D14">
        <w:rPr>
          <w:rFonts w:ascii="Times New Roman" w:hAnsi="Times New Roman" w:cs="Times New Roman"/>
          <w:lang w:val="es-ES"/>
        </w:rPr>
        <w:t>VAR y ARDL</w:t>
      </w:r>
      <w:r w:rsidRPr="00B4525C">
        <w:rPr>
          <w:rFonts w:ascii="Times New Roman" w:hAnsi="Times New Roman" w:cs="Times New Roman"/>
          <w:lang w:val="es-ES"/>
        </w:rPr>
        <w:t>.</w:t>
      </w:r>
    </w:p>
    <w:p w14:paraId="3F7CFEEB" w14:textId="77777777" w:rsidR="002E23FF" w:rsidRDefault="002E23FF" w:rsidP="00CE667B">
      <w:pPr>
        <w:spacing w:after="0" w:line="240" w:lineRule="auto"/>
        <w:jc w:val="both"/>
        <w:rPr>
          <w:rFonts w:ascii="Times New Roman" w:hAnsi="Times New Roman" w:cs="Times New Roman"/>
          <w:lang w:val="es-ES"/>
        </w:rPr>
      </w:pPr>
    </w:p>
    <w:p w14:paraId="7555D61C" w14:textId="77777777" w:rsidR="002E23FF" w:rsidRPr="002E23FF" w:rsidRDefault="002E23FF" w:rsidP="002E23FF">
      <w:pPr>
        <w:spacing w:after="0" w:line="240" w:lineRule="auto"/>
        <w:jc w:val="both"/>
        <w:rPr>
          <w:rFonts w:ascii="Times New Roman" w:hAnsi="Times New Roman" w:cs="Times New Roman"/>
          <w:b/>
          <w:bCs/>
          <w:i/>
          <w:iCs/>
          <w:lang w:val="es-ES"/>
        </w:rPr>
      </w:pPr>
      <w:r w:rsidRPr="002E23FF">
        <w:rPr>
          <w:rFonts w:ascii="Times New Roman" w:hAnsi="Times New Roman" w:cs="Times New Roman"/>
          <w:b/>
          <w:bCs/>
          <w:i/>
          <w:iCs/>
          <w:lang w:val="es-ES"/>
        </w:rPr>
        <w:t>Selección del modelo: VAR vs. VECM</w:t>
      </w:r>
    </w:p>
    <w:p w14:paraId="272964A0" w14:textId="38347645" w:rsidR="002E23FF" w:rsidRPr="002E23FF" w:rsidRDefault="002E23FF" w:rsidP="002E23FF">
      <w:pPr>
        <w:spacing w:after="0" w:line="240" w:lineRule="auto"/>
        <w:jc w:val="both"/>
        <w:rPr>
          <w:rFonts w:ascii="Times New Roman" w:hAnsi="Times New Roman" w:cs="Times New Roman"/>
          <w:lang w:val="es-ES"/>
        </w:rPr>
      </w:pPr>
      <w:r w:rsidRPr="002E23FF">
        <w:rPr>
          <w:rFonts w:ascii="Times New Roman" w:hAnsi="Times New Roman" w:cs="Times New Roman"/>
          <w:lang w:val="es-ES"/>
        </w:rPr>
        <w:t>Para determinar el modelo adecuado entre VAR y VECM, se realizaron pruebas de estacionariedad (ADF) y de cointegración (Johansen). Los resultados fueron los siguientes:</w:t>
      </w:r>
    </w:p>
    <w:p w14:paraId="5475373C" w14:textId="26873990" w:rsidR="002E23FF" w:rsidRPr="002E23FF" w:rsidRDefault="002E23FF" w:rsidP="002E23FF">
      <w:pPr>
        <w:pStyle w:val="ListParagraph"/>
        <w:numPr>
          <w:ilvl w:val="0"/>
          <w:numId w:val="13"/>
        </w:numPr>
        <w:spacing w:after="0" w:line="240" w:lineRule="auto"/>
        <w:jc w:val="both"/>
        <w:rPr>
          <w:rFonts w:ascii="Times New Roman" w:hAnsi="Times New Roman" w:cs="Times New Roman"/>
          <w:lang w:val="es-ES"/>
        </w:rPr>
      </w:pPr>
      <w:r w:rsidRPr="002E23FF">
        <w:rPr>
          <w:rFonts w:ascii="Times New Roman" w:hAnsi="Times New Roman" w:cs="Times New Roman"/>
          <w:lang w:val="es-ES"/>
        </w:rPr>
        <w:t>Las pruebas ADF indicaron que las series no son estacionarias en niveles.</w:t>
      </w:r>
    </w:p>
    <w:p w14:paraId="15B52574" w14:textId="20A01438" w:rsidR="002E23FF" w:rsidRPr="00A61D03" w:rsidRDefault="002E23FF" w:rsidP="002E23FF">
      <w:pPr>
        <w:pStyle w:val="ListParagraph"/>
        <w:numPr>
          <w:ilvl w:val="0"/>
          <w:numId w:val="13"/>
        </w:numPr>
        <w:spacing w:after="0" w:line="240" w:lineRule="auto"/>
        <w:jc w:val="both"/>
        <w:rPr>
          <w:rFonts w:ascii="Times New Roman" w:hAnsi="Times New Roman" w:cs="Times New Roman"/>
          <w:lang w:val="es-ES"/>
        </w:rPr>
      </w:pPr>
      <w:r w:rsidRPr="002E23FF">
        <w:rPr>
          <w:rFonts w:ascii="Times New Roman" w:hAnsi="Times New Roman" w:cs="Times New Roman"/>
          <w:lang w:val="es-ES"/>
        </w:rPr>
        <w:t>La prueba de Johansen no encontró evidencia de cointegración entre las variables.</w:t>
      </w:r>
    </w:p>
    <w:p w14:paraId="1CBE3CE1" w14:textId="6A1E940B" w:rsidR="002E23FF" w:rsidRPr="00B4525C" w:rsidRDefault="002E23FF" w:rsidP="002E23FF">
      <w:pPr>
        <w:spacing w:after="0" w:line="240" w:lineRule="auto"/>
        <w:jc w:val="both"/>
        <w:rPr>
          <w:rFonts w:ascii="Times New Roman" w:hAnsi="Times New Roman" w:cs="Times New Roman"/>
          <w:lang w:val="es-ES"/>
        </w:rPr>
      </w:pPr>
      <w:r w:rsidRPr="002E23FF">
        <w:rPr>
          <w:rFonts w:ascii="Times New Roman" w:hAnsi="Times New Roman" w:cs="Times New Roman"/>
          <w:lang w:val="es-ES"/>
        </w:rPr>
        <w:t>Conclusión:</w:t>
      </w:r>
      <w:r>
        <w:rPr>
          <w:rFonts w:ascii="Times New Roman" w:hAnsi="Times New Roman" w:cs="Times New Roman"/>
          <w:lang w:val="es-ES"/>
        </w:rPr>
        <w:t xml:space="preserve"> </w:t>
      </w:r>
      <w:r w:rsidRPr="002E23FF">
        <w:rPr>
          <w:rFonts w:ascii="Times New Roman" w:hAnsi="Times New Roman" w:cs="Times New Roman"/>
          <w:lang w:val="es-ES"/>
        </w:rPr>
        <w:t xml:space="preserve">Dado que las series no son estacionarias y no están </w:t>
      </w:r>
      <w:proofErr w:type="spellStart"/>
      <w:r w:rsidRPr="002E23FF">
        <w:rPr>
          <w:rFonts w:ascii="Times New Roman" w:hAnsi="Times New Roman" w:cs="Times New Roman"/>
          <w:lang w:val="es-ES"/>
        </w:rPr>
        <w:t>cointegradas</w:t>
      </w:r>
      <w:proofErr w:type="spellEnd"/>
      <w:r w:rsidRPr="002E23FF">
        <w:rPr>
          <w:rFonts w:ascii="Times New Roman" w:hAnsi="Times New Roman" w:cs="Times New Roman"/>
          <w:lang w:val="es-ES"/>
        </w:rPr>
        <w:t>, el modelo VECM no es apropiado. En su lugar, se deben diferenciar las series para hacerlas estacionarias y luego aplicar un modelo VAR sobre las series diferenciadas.</w:t>
      </w:r>
    </w:p>
    <w:p w14:paraId="1E397E97" w14:textId="7969E773" w:rsidR="001D3D66" w:rsidRDefault="001D3D66" w:rsidP="002E23FF">
      <w:pPr>
        <w:pStyle w:val="ListParagraph"/>
        <w:numPr>
          <w:ilvl w:val="1"/>
          <w:numId w:val="1"/>
        </w:numPr>
        <w:spacing w:before="100" w:beforeAutospacing="1" w:after="0" w:line="240" w:lineRule="auto"/>
        <w:jc w:val="both"/>
        <w:rPr>
          <w:rFonts w:ascii="Times New Roman" w:eastAsia="Times New Roman" w:hAnsi="Times New Roman" w:cs="Times New Roman"/>
          <w:kern w:val="0"/>
          <w:lang w:val="es-ES"/>
          <w14:ligatures w14:val="none"/>
        </w:rPr>
      </w:pPr>
      <w:r w:rsidRPr="007023C1">
        <w:rPr>
          <w:rFonts w:ascii="Times New Roman" w:eastAsia="Times New Roman" w:hAnsi="Times New Roman" w:cs="Times New Roman"/>
          <w:b/>
          <w:bCs/>
          <w:kern w:val="0"/>
          <w:lang w:val="es-ES"/>
          <w14:ligatures w14:val="none"/>
        </w:rPr>
        <w:t xml:space="preserve">Modelo </w:t>
      </w:r>
      <w:r w:rsidR="002E23FF" w:rsidRPr="007023C1">
        <w:rPr>
          <w:rFonts w:ascii="Times New Roman" w:eastAsia="Times New Roman" w:hAnsi="Times New Roman" w:cs="Times New Roman"/>
          <w:b/>
          <w:bCs/>
          <w:kern w:val="0"/>
          <w:lang w:val="es-ES"/>
          <w14:ligatures w14:val="none"/>
        </w:rPr>
        <w:t>VAR</w:t>
      </w:r>
      <w:r w:rsidR="0066064C" w:rsidRPr="002E23FF">
        <w:rPr>
          <w:rFonts w:ascii="Times New Roman" w:eastAsia="Times New Roman" w:hAnsi="Times New Roman" w:cs="Times New Roman"/>
          <w:kern w:val="0"/>
          <w:lang w:val="es-ES"/>
          <w14:ligatures w14:val="none"/>
        </w:rPr>
        <w:t xml:space="preserve">: </w:t>
      </w:r>
      <w:r w:rsidR="002E23FF" w:rsidRPr="002E23FF">
        <w:rPr>
          <w:rFonts w:ascii="Times New Roman" w:eastAsia="Times New Roman" w:hAnsi="Times New Roman" w:cs="Times New Roman"/>
          <w:kern w:val="0"/>
          <w:lang w:val="es-ES"/>
          <w14:ligatures w14:val="none"/>
        </w:rPr>
        <w:t>El modelo VAR es una técnica estadística multivariada que modela la dinámica conjunta de varias series temporales al considerar cada variable como una función lineal de sus propios rezagos y de los rezagos de las demás variables del sistema</w:t>
      </w:r>
      <w:r w:rsidR="002E23FF">
        <w:rPr>
          <w:rFonts w:ascii="Times New Roman" w:eastAsia="Times New Roman" w:hAnsi="Times New Roman" w:cs="Times New Roman"/>
          <w:kern w:val="0"/>
          <w:lang w:val="es-ES"/>
          <w14:ligatures w14:val="none"/>
        </w:rPr>
        <w:t>.</w:t>
      </w:r>
    </w:p>
    <w:p w14:paraId="0A59CC12" w14:textId="77777777" w:rsidR="00CE667B" w:rsidRPr="00B4525C" w:rsidRDefault="00CE667B" w:rsidP="00CE667B">
      <w:pPr>
        <w:pStyle w:val="ListParagraph"/>
        <w:spacing w:before="100" w:beforeAutospacing="1" w:after="0" w:line="240" w:lineRule="auto"/>
        <w:jc w:val="both"/>
        <w:rPr>
          <w:rFonts w:ascii="Times New Roman" w:eastAsia="Times New Roman" w:hAnsi="Times New Roman" w:cs="Times New Roman"/>
          <w:kern w:val="0"/>
          <w:lang w:val="es-ES"/>
          <w14:ligatures w14:val="none"/>
        </w:rPr>
      </w:pPr>
    </w:p>
    <w:p w14:paraId="32EBB351" w14:textId="2F85C934" w:rsidR="002E23FF" w:rsidRDefault="0066064C" w:rsidP="00CE667B">
      <w:pPr>
        <w:spacing w:after="0" w:line="240" w:lineRule="auto"/>
        <w:jc w:val="both"/>
        <w:rPr>
          <w:rFonts w:ascii="Times New Roman" w:eastAsia="Times New Roman" w:hAnsi="Times New Roman" w:cs="Times New Roman"/>
          <w:kern w:val="0"/>
          <w:lang w:val="es-ES"/>
          <w14:ligatures w14:val="none"/>
        </w:rPr>
      </w:pPr>
      <w:r w:rsidRPr="0066064C">
        <w:rPr>
          <w:rFonts w:ascii="Times New Roman" w:eastAsia="Times New Roman" w:hAnsi="Times New Roman" w:cs="Times New Roman"/>
          <w:b/>
          <w:bCs/>
          <w:kern w:val="0"/>
          <w:lang w:val="es-ES"/>
          <w14:ligatures w14:val="none"/>
        </w:rPr>
        <w:t>Ventajas:</w:t>
      </w:r>
      <w:r w:rsidR="00342C82" w:rsidRPr="00B4525C">
        <w:rPr>
          <w:rFonts w:ascii="Times New Roman" w:eastAsia="Times New Roman" w:hAnsi="Times New Roman" w:cs="Times New Roman"/>
          <w:kern w:val="0"/>
          <w:lang w:val="es-ES"/>
          <w14:ligatures w14:val="none"/>
        </w:rPr>
        <w:t xml:space="preserve"> </w:t>
      </w:r>
      <w:r w:rsidR="002E23FF" w:rsidRPr="002E23FF">
        <w:rPr>
          <w:rFonts w:ascii="Times New Roman" w:eastAsia="Times New Roman" w:hAnsi="Times New Roman" w:cs="Times New Roman"/>
          <w:kern w:val="0"/>
          <w:lang w:val="es-ES"/>
          <w14:ligatures w14:val="none"/>
        </w:rPr>
        <w:t>Permite capturar relaciones dinámicas entre múltiples variables endógenas sin necesidad de especificar una variable dependiente explícita. Es útil para el análisis de causalidad, impulso-respuesta y descomposición de varianza.</w:t>
      </w:r>
    </w:p>
    <w:p w14:paraId="2B1D2891" w14:textId="7E5E9208" w:rsidR="0066064C" w:rsidRDefault="0066064C" w:rsidP="00CE667B">
      <w:pPr>
        <w:spacing w:after="0" w:line="240" w:lineRule="auto"/>
        <w:jc w:val="both"/>
        <w:rPr>
          <w:rFonts w:ascii="Times New Roman" w:eastAsia="Times New Roman" w:hAnsi="Times New Roman" w:cs="Times New Roman"/>
          <w:kern w:val="0"/>
          <w:lang w:val="es-ES"/>
          <w14:ligatures w14:val="none"/>
        </w:rPr>
      </w:pPr>
      <w:proofErr w:type="spellStart"/>
      <w:r w:rsidRPr="0066064C">
        <w:rPr>
          <w:rFonts w:ascii="Times New Roman" w:eastAsia="Times New Roman" w:hAnsi="Times New Roman" w:cs="Times New Roman"/>
          <w:b/>
          <w:bCs/>
          <w:kern w:val="0"/>
          <w:lang w:val="es-ES"/>
          <w14:ligatures w14:val="none"/>
        </w:rPr>
        <w:t>Desventaja</w:t>
      </w:r>
      <w:proofErr w:type="spellEnd"/>
      <w:r w:rsidRPr="0066064C">
        <w:rPr>
          <w:rFonts w:ascii="Times New Roman" w:eastAsia="Times New Roman" w:hAnsi="Times New Roman" w:cs="Times New Roman"/>
          <w:b/>
          <w:bCs/>
          <w:kern w:val="0"/>
          <w:lang w:val="es-ES"/>
          <w14:ligatures w14:val="none"/>
        </w:rPr>
        <w:t>s:</w:t>
      </w:r>
      <w:r w:rsidR="00342C82" w:rsidRPr="00B4525C">
        <w:rPr>
          <w:rFonts w:ascii="Times New Roman" w:eastAsia="Times New Roman" w:hAnsi="Times New Roman" w:cs="Times New Roman"/>
          <w:kern w:val="0"/>
          <w:lang w:val="es-ES"/>
          <w14:ligatures w14:val="none"/>
        </w:rPr>
        <w:t xml:space="preserve"> </w:t>
      </w:r>
      <w:r w:rsidR="002E23FF" w:rsidRPr="002E23FF">
        <w:rPr>
          <w:rFonts w:ascii="Times New Roman" w:eastAsia="Times New Roman" w:hAnsi="Times New Roman" w:cs="Times New Roman"/>
          <w:kern w:val="0"/>
          <w:lang w:val="es-ES"/>
          <w14:ligatures w14:val="none"/>
        </w:rPr>
        <w:t>Requiere que todas las series sean estacionarias, por lo que puede necesitar diferenciación previa. La interpretación puede volverse compleja cuando se incluyen muchas variables o rezagos. Además, puede ser sensible a la especificación del número de rezagos y a la multicolinealidad entre variables.</w:t>
      </w:r>
    </w:p>
    <w:p w14:paraId="61523DE8" w14:textId="77777777" w:rsidR="007023C1" w:rsidRPr="00A61D03" w:rsidRDefault="007023C1" w:rsidP="007023C1">
      <w:pPr>
        <w:pStyle w:val="NormalWeb"/>
        <w:rPr>
          <w:lang w:val="es-ES"/>
        </w:rPr>
      </w:pPr>
      <w:r w:rsidRPr="007023C1">
        <w:rPr>
          <w:lang w:val="es-ES"/>
        </w:rPr>
        <w:t xml:space="preserve">Para la aplicación del modelo </w:t>
      </w:r>
      <w:r w:rsidRPr="007023C1">
        <w:rPr>
          <w:rStyle w:val="Strong"/>
          <w:rFonts w:eastAsiaTheme="majorEastAsia"/>
          <w:lang w:val="es-ES"/>
        </w:rPr>
        <w:t>VAR</w:t>
      </w:r>
      <w:r w:rsidRPr="007023C1">
        <w:rPr>
          <w:lang w:val="es-ES"/>
        </w:rPr>
        <w:t xml:space="preserve"> se utilizaron las librerías </w:t>
      </w:r>
      <w:proofErr w:type="spellStart"/>
      <w:r w:rsidRPr="00A61D03">
        <w:rPr>
          <w:lang w:val="es-ES"/>
        </w:rPr>
        <w:t>vars</w:t>
      </w:r>
      <w:proofErr w:type="spellEnd"/>
      <w:r w:rsidRPr="007023C1">
        <w:rPr>
          <w:lang w:val="es-ES"/>
        </w:rPr>
        <w:t xml:space="preserve"> y </w:t>
      </w:r>
      <w:r w:rsidRPr="00A61D03">
        <w:rPr>
          <w:lang w:val="es-ES"/>
        </w:rPr>
        <w:t>MTS</w:t>
      </w:r>
      <w:r w:rsidRPr="007023C1">
        <w:rPr>
          <w:lang w:val="es-ES"/>
        </w:rPr>
        <w:t xml:space="preserve">, obteniéndose resultados consistentes </w:t>
      </w:r>
      <w:r w:rsidRPr="00A61D03">
        <w:rPr>
          <w:lang w:val="es-ES"/>
        </w:rPr>
        <w:t>entre ambas. El modelo con 2 rezagos mostró patrones interesantes en las relaciones entre las variables.</w:t>
      </w:r>
    </w:p>
    <w:p w14:paraId="642C1BDC" w14:textId="5FE8A30E" w:rsidR="007023C1" w:rsidRPr="007023C1" w:rsidRDefault="007023C1" w:rsidP="007023C1">
      <w:pPr>
        <w:pStyle w:val="NormalWeb"/>
        <w:rPr>
          <w:lang w:val="es-ES"/>
        </w:rPr>
      </w:pPr>
      <w:r w:rsidRPr="007023C1">
        <w:rPr>
          <w:rStyle w:val="Strong"/>
          <w:rFonts w:eastAsiaTheme="majorEastAsia"/>
          <w:lang w:val="es-ES"/>
        </w:rPr>
        <w:t>RYLD</w:t>
      </w:r>
      <w:r w:rsidRPr="007023C1">
        <w:rPr>
          <w:lang w:val="es-ES"/>
        </w:rPr>
        <w:t xml:space="preserve">: </w:t>
      </w:r>
      <w:r w:rsidRPr="00F35B37">
        <w:rPr>
          <w:b/>
          <w:bCs/>
          <w:lang w:val="es-ES"/>
        </w:rPr>
        <w:t xml:space="preserve">Su rendimiento está fuertemente influido por sus </w:t>
      </w:r>
      <w:r w:rsidRPr="00F35B37">
        <w:rPr>
          <w:rStyle w:val="Strong"/>
          <w:rFonts w:eastAsiaTheme="majorEastAsia"/>
          <w:b w:val="0"/>
          <w:bCs w:val="0"/>
          <w:lang w:val="es-ES"/>
        </w:rPr>
        <w:t>propios rezagos</w:t>
      </w:r>
      <w:r w:rsidRPr="00F35B37">
        <w:rPr>
          <w:b/>
          <w:bCs/>
          <w:lang w:val="es-ES"/>
        </w:rPr>
        <w:t xml:space="preserve">. El </w:t>
      </w:r>
      <w:r w:rsidRPr="00F35B37">
        <w:rPr>
          <w:rStyle w:val="Strong"/>
          <w:rFonts w:eastAsiaTheme="majorEastAsia"/>
          <w:b w:val="0"/>
          <w:bCs w:val="0"/>
          <w:lang w:val="es-ES"/>
        </w:rPr>
        <w:t>segundo rezago</w:t>
      </w:r>
      <w:r w:rsidRPr="00F35B37">
        <w:rPr>
          <w:b/>
          <w:bCs/>
          <w:lang w:val="es-ES"/>
        </w:rPr>
        <w:t xml:space="preserve"> tiene un efecto </w:t>
      </w:r>
      <w:r w:rsidRPr="00F35B37">
        <w:rPr>
          <w:rStyle w:val="Strong"/>
          <w:rFonts w:eastAsiaTheme="majorEastAsia"/>
          <w:b w:val="0"/>
          <w:bCs w:val="0"/>
          <w:lang w:val="es-ES"/>
        </w:rPr>
        <w:t>positivo y altamente significativo</w:t>
      </w:r>
      <w:r w:rsidRPr="00F35B37">
        <w:rPr>
          <w:b/>
          <w:bCs/>
          <w:lang w:val="es-ES"/>
        </w:rPr>
        <w:t xml:space="preserve">, mientras que el </w:t>
      </w:r>
      <w:r w:rsidRPr="00F35B37">
        <w:rPr>
          <w:rStyle w:val="Strong"/>
          <w:rFonts w:eastAsiaTheme="majorEastAsia"/>
          <w:b w:val="0"/>
          <w:bCs w:val="0"/>
          <w:lang w:val="es-ES"/>
        </w:rPr>
        <w:t>primer rezago</w:t>
      </w:r>
      <w:r w:rsidRPr="00F35B37">
        <w:rPr>
          <w:b/>
          <w:bCs/>
          <w:lang w:val="es-ES"/>
        </w:rPr>
        <w:t xml:space="preserve"> tiene un efecto </w:t>
      </w:r>
      <w:r w:rsidRPr="00F35B37">
        <w:rPr>
          <w:rStyle w:val="Strong"/>
          <w:rFonts w:eastAsiaTheme="majorEastAsia"/>
          <w:b w:val="0"/>
          <w:bCs w:val="0"/>
          <w:lang w:val="es-ES"/>
        </w:rPr>
        <w:t>negativo también significativo</w:t>
      </w:r>
      <w:r w:rsidRPr="00F35B37">
        <w:rPr>
          <w:b/>
          <w:bCs/>
          <w:lang w:val="es-ES"/>
        </w:rPr>
        <w:t>.</w:t>
      </w:r>
      <w:r w:rsidR="00A61D03" w:rsidRPr="00F35B37">
        <w:rPr>
          <w:b/>
          <w:bCs/>
          <w:lang w:val="es-ES"/>
        </w:rPr>
        <w:t xml:space="preserve"> </w:t>
      </w:r>
      <w:r w:rsidRPr="00F35B37">
        <w:rPr>
          <w:b/>
          <w:bCs/>
          <w:lang w:val="es-ES"/>
        </w:rPr>
        <w:t xml:space="preserve">Además, el segundo rezago de </w:t>
      </w:r>
      <w:r w:rsidRPr="00F35B37">
        <w:rPr>
          <w:rStyle w:val="Strong"/>
          <w:rFonts w:eastAsiaTheme="majorEastAsia"/>
          <w:b w:val="0"/>
          <w:bCs w:val="0"/>
          <w:lang w:val="es-ES"/>
        </w:rPr>
        <w:t>GM</w:t>
      </w:r>
      <w:r w:rsidRPr="00F35B37">
        <w:rPr>
          <w:b/>
          <w:bCs/>
          <w:lang w:val="es-ES"/>
        </w:rPr>
        <w:t xml:space="preserve"> (</w:t>
      </w:r>
      <w:proofErr w:type="gramStart"/>
      <w:r w:rsidRPr="00F35B37">
        <w:rPr>
          <w:b/>
          <w:bCs/>
          <w:lang w:val="es-ES"/>
        </w:rPr>
        <w:t>GM.l</w:t>
      </w:r>
      <w:proofErr w:type="gramEnd"/>
      <w:r w:rsidRPr="00F35B37">
        <w:rPr>
          <w:b/>
          <w:bCs/>
          <w:lang w:val="es-ES"/>
        </w:rPr>
        <w:t xml:space="preserve">2) muestra un </w:t>
      </w:r>
      <w:r w:rsidRPr="00F35B37">
        <w:rPr>
          <w:rStyle w:val="Strong"/>
          <w:rFonts w:eastAsiaTheme="majorEastAsia"/>
          <w:b w:val="0"/>
          <w:bCs w:val="0"/>
          <w:lang w:val="es-ES"/>
        </w:rPr>
        <w:t>efecto negativo marginalmente significativo</w:t>
      </w:r>
      <w:r w:rsidRPr="00F35B37">
        <w:rPr>
          <w:b/>
          <w:bCs/>
          <w:lang w:val="es-ES"/>
        </w:rPr>
        <w:t xml:space="preserve"> sobre RYLD.</w:t>
      </w:r>
    </w:p>
    <w:p w14:paraId="0B35C4BB" w14:textId="77777777" w:rsidR="007023C1" w:rsidRPr="00F35B37" w:rsidRDefault="007023C1" w:rsidP="007023C1">
      <w:pPr>
        <w:pStyle w:val="NormalWeb"/>
        <w:rPr>
          <w:lang w:val="es-ES"/>
        </w:rPr>
      </w:pPr>
      <w:r w:rsidRPr="007023C1">
        <w:rPr>
          <w:rStyle w:val="Strong"/>
          <w:rFonts w:eastAsiaTheme="majorEastAsia"/>
          <w:lang w:val="es-ES"/>
        </w:rPr>
        <w:t>TSLA</w:t>
      </w:r>
      <w:r w:rsidRPr="007023C1">
        <w:rPr>
          <w:lang w:val="es-ES"/>
        </w:rPr>
        <w:t xml:space="preserve">: </w:t>
      </w:r>
      <w:r w:rsidRPr="00F35B37">
        <w:rPr>
          <w:lang w:val="es-ES"/>
        </w:rPr>
        <w:t xml:space="preserve">Ninguna variable alcanzó significancia al 5%, aunque el segundo rezago de RYLD presenta un </w:t>
      </w:r>
      <w:r w:rsidRPr="00F35B37">
        <w:rPr>
          <w:rStyle w:val="Strong"/>
          <w:rFonts w:eastAsiaTheme="majorEastAsia"/>
          <w:lang w:val="es-ES"/>
        </w:rPr>
        <w:t>efecto positivo cercano al 10%</w:t>
      </w:r>
      <w:r w:rsidRPr="00F35B37">
        <w:rPr>
          <w:lang w:val="es-ES"/>
        </w:rPr>
        <w:t>, lo que sugiere una posible influencia débil.</w:t>
      </w:r>
    </w:p>
    <w:p w14:paraId="28C8EC70" w14:textId="77777777" w:rsidR="007023C1" w:rsidRPr="00F35B37" w:rsidRDefault="007023C1" w:rsidP="007023C1">
      <w:pPr>
        <w:pStyle w:val="NormalWeb"/>
        <w:rPr>
          <w:lang w:val="es-ES"/>
        </w:rPr>
      </w:pPr>
      <w:r w:rsidRPr="007023C1">
        <w:rPr>
          <w:rStyle w:val="Strong"/>
          <w:rFonts w:eastAsiaTheme="majorEastAsia"/>
          <w:lang w:val="es-ES"/>
        </w:rPr>
        <w:t>TM</w:t>
      </w:r>
      <w:r w:rsidRPr="007023C1">
        <w:rPr>
          <w:lang w:val="es-ES"/>
        </w:rPr>
        <w:t xml:space="preserve">: </w:t>
      </w:r>
      <w:r w:rsidRPr="00F35B37">
        <w:rPr>
          <w:lang w:val="es-ES"/>
        </w:rPr>
        <w:t xml:space="preserve">Se destaca el efecto </w:t>
      </w:r>
      <w:r w:rsidRPr="00F35B37">
        <w:rPr>
          <w:rStyle w:val="Strong"/>
          <w:rFonts w:eastAsiaTheme="majorEastAsia"/>
          <w:lang w:val="es-ES"/>
        </w:rPr>
        <w:t>negativo y significativo</w:t>
      </w:r>
      <w:r w:rsidRPr="00F35B37">
        <w:rPr>
          <w:lang w:val="es-ES"/>
        </w:rPr>
        <w:t xml:space="preserve"> del primer rezago de RYLD, indicando una relación inversa entre el rendimiento pasado de RYLD y el actual de TM.</w:t>
      </w:r>
    </w:p>
    <w:p w14:paraId="5E880969" w14:textId="674E413F" w:rsidR="007023C1" w:rsidRPr="00F35B37" w:rsidRDefault="007023C1" w:rsidP="007023C1">
      <w:pPr>
        <w:pStyle w:val="NormalWeb"/>
        <w:rPr>
          <w:lang w:val="es-ES"/>
        </w:rPr>
      </w:pPr>
      <w:r w:rsidRPr="007023C1">
        <w:rPr>
          <w:rStyle w:val="Strong"/>
          <w:rFonts w:eastAsiaTheme="majorEastAsia"/>
          <w:lang w:val="es-ES"/>
        </w:rPr>
        <w:t>GM</w:t>
      </w:r>
      <w:r w:rsidRPr="007023C1">
        <w:rPr>
          <w:lang w:val="es-ES"/>
        </w:rPr>
        <w:t xml:space="preserve">: </w:t>
      </w:r>
      <w:r w:rsidRPr="00F35B37">
        <w:rPr>
          <w:lang w:val="es-ES"/>
        </w:rPr>
        <w:t xml:space="preserve">En esta ecuación, los rezagos de </w:t>
      </w:r>
      <w:r w:rsidRPr="00F35B37">
        <w:rPr>
          <w:rStyle w:val="Strong"/>
          <w:rFonts w:eastAsiaTheme="majorEastAsia"/>
          <w:lang w:val="es-ES"/>
        </w:rPr>
        <w:t>TSLA</w:t>
      </w:r>
      <w:r w:rsidRPr="00F35B37">
        <w:rPr>
          <w:lang w:val="es-ES"/>
        </w:rPr>
        <w:t xml:space="preserve"> y </w:t>
      </w:r>
      <w:r w:rsidRPr="00F35B37">
        <w:rPr>
          <w:rStyle w:val="Strong"/>
          <w:rFonts w:eastAsiaTheme="majorEastAsia"/>
          <w:lang w:val="es-ES"/>
        </w:rPr>
        <w:t>RYLD</w:t>
      </w:r>
      <w:r w:rsidRPr="00F35B37">
        <w:rPr>
          <w:lang w:val="es-ES"/>
        </w:rPr>
        <w:t xml:space="preserve"> —particularmente RYLD.l2— muestran </w:t>
      </w:r>
      <w:r w:rsidRPr="00F35B37">
        <w:rPr>
          <w:rStyle w:val="Strong"/>
          <w:rFonts w:eastAsiaTheme="majorEastAsia"/>
          <w:lang w:val="es-ES"/>
        </w:rPr>
        <w:t>efectos significativos</w:t>
      </w:r>
      <w:r w:rsidRPr="00F35B37">
        <w:rPr>
          <w:lang w:val="es-ES"/>
        </w:rPr>
        <w:t>, lo que sugiere cierta dependencia de GM respecto al comportamiento pasado de estas variables.</w:t>
      </w:r>
    </w:p>
    <w:p w14:paraId="16B410E3" w14:textId="7C155E3C" w:rsidR="002E23FF" w:rsidRPr="007023C1" w:rsidRDefault="002E23FF" w:rsidP="007023C1">
      <w:pPr>
        <w:pStyle w:val="Caption"/>
        <w:keepNext/>
        <w:spacing w:after="0"/>
        <w:rPr>
          <w:sz w:val="16"/>
          <w:szCs w:val="16"/>
          <w:lang w:val="es-ES"/>
        </w:rPr>
      </w:pPr>
      <w:r w:rsidRPr="007023C1">
        <w:rPr>
          <w:sz w:val="16"/>
          <w:szCs w:val="16"/>
          <w:lang w:val="es-ES"/>
        </w:rPr>
        <w:lastRenderedPageBreak/>
        <w:t xml:space="preserve">VAR con </w:t>
      </w:r>
      <w:r w:rsidR="007023C1" w:rsidRPr="007023C1">
        <w:rPr>
          <w:sz w:val="16"/>
          <w:szCs w:val="16"/>
          <w:lang w:val="es-ES"/>
        </w:rPr>
        <w:t xml:space="preserve">librería MST.                                               </w:t>
      </w:r>
      <w:r w:rsidR="007023C1" w:rsidRPr="007023C1">
        <w:rPr>
          <w:sz w:val="16"/>
          <w:szCs w:val="16"/>
          <w:lang w:val="es-ES"/>
        </w:rPr>
        <w:t>VAR con</w:t>
      </w:r>
      <w:r w:rsidR="007023C1" w:rsidRPr="007023C1">
        <w:rPr>
          <w:sz w:val="16"/>
          <w:szCs w:val="16"/>
          <w:lang w:val="es-ES"/>
        </w:rPr>
        <w:t xml:space="preserve"> </w:t>
      </w:r>
      <w:r w:rsidR="007023C1" w:rsidRPr="007023C1">
        <w:rPr>
          <w:sz w:val="16"/>
          <w:szCs w:val="16"/>
          <w:lang w:val="es-ES"/>
        </w:rPr>
        <w:t xml:space="preserve">librería </w:t>
      </w:r>
      <w:r w:rsidR="007023C1" w:rsidRPr="007023C1">
        <w:rPr>
          <w:sz w:val="16"/>
          <w:szCs w:val="16"/>
          <w:lang w:val="es-ES"/>
        </w:rPr>
        <w:t>VARS</w:t>
      </w:r>
    </w:p>
    <w:p w14:paraId="72809005" w14:textId="0F9559B2" w:rsidR="00342C82" w:rsidRPr="0066064C" w:rsidRDefault="002E23FF" w:rsidP="002E23FF">
      <w:pPr>
        <w:spacing w:after="0" w:line="240" w:lineRule="auto"/>
        <w:rPr>
          <w:rFonts w:ascii="Times New Roman" w:hAnsi="Times New Roman" w:cs="Times New Roman"/>
          <w:lang w:val="es-ES"/>
        </w:rPr>
      </w:pPr>
      <w:r w:rsidRPr="002E23FF">
        <w:rPr>
          <w:rFonts w:ascii="Times New Roman" w:eastAsia="Times New Roman" w:hAnsi="Times New Roman" w:cs="Times New Roman"/>
          <w:kern w:val="0"/>
          <w:lang w:val="es-ES"/>
          <w14:ligatures w14:val="none"/>
        </w:rPr>
        <w:drawing>
          <wp:inline distT="0" distB="0" distL="0" distR="0" wp14:anchorId="683586D9" wp14:editId="4E4E5713">
            <wp:extent cx="1842247" cy="1460056"/>
            <wp:effectExtent l="0" t="0" r="0" b="635"/>
            <wp:docPr id="166901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18475" name=""/>
                    <pic:cNvPicPr/>
                  </pic:nvPicPr>
                  <pic:blipFill>
                    <a:blip r:embed="rId8"/>
                    <a:stretch>
                      <a:fillRect/>
                    </a:stretch>
                  </pic:blipFill>
                  <pic:spPr>
                    <a:xfrm>
                      <a:off x="0" y="0"/>
                      <a:ext cx="1892375" cy="1499784"/>
                    </a:xfrm>
                    <a:prstGeom prst="rect">
                      <a:avLst/>
                    </a:prstGeom>
                  </pic:spPr>
                </pic:pic>
              </a:graphicData>
            </a:graphic>
          </wp:inline>
        </w:drawing>
      </w:r>
      <w:r w:rsidRPr="007023C1">
        <w:rPr>
          <w:noProof/>
          <w:lang w:val="es-ES"/>
        </w:rPr>
        <w:t xml:space="preserve"> </w:t>
      </w:r>
      <w:r w:rsidRPr="002E23FF">
        <w:rPr>
          <w:rFonts w:ascii="Times New Roman" w:hAnsi="Times New Roman" w:cs="Times New Roman"/>
          <w:lang w:val="es-ES"/>
        </w:rPr>
        <w:drawing>
          <wp:inline distT="0" distB="0" distL="0" distR="0" wp14:anchorId="658F083F" wp14:editId="729B0138">
            <wp:extent cx="2548217" cy="1448346"/>
            <wp:effectExtent l="0" t="0" r="5080" b="0"/>
            <wp:docPr id="86082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26506" name=""/>
                    <pic:cNvPicPr/>
                  </pic:nvPicPr>
                  <pic:blipFill>
                    <a:blip r:embed="rId9"/>
                    <a:stretch>
                      <a:fillRect/>
                    </a:stretch>
                  </pic:blipFill>
                  <pic:spPr>
                    <a:xfrm>
                      <a:off x="0" y="0"/>
                      <a:ext cx="2675522" cy="1520703"/>
                    </a:xfrm>
                    <a:prstGeom prst="rect">
                      <a:avLst/>
                    </a:prstGeom>
                  </pic:spPr>
                </pic:pic>
              </a:graphicData>
            </a:graphic>
          </wp:inline>
        </w:drawing>
      </w:r>
      <w:r w:rsidR="00B4525C" w:rsidRPr="00B4525C">
        <w:rPr>
          <w:rFonts w:ascii="Times New Roman" w:eastAsia="Times New Roman" w:hAnsi="Times New Roman" w:cs="Times New Roman"/>
          <w:kern w:val="0"/>
          <w:lang w:val="es-ES"/>
          <w14:ligatures w14:val="none"/>
        </w:rPr>
        <w:br w:type="textWrapping" w:clear="all"/>
      </w:r>
    </w:p>
    <w:p w14:paraId="2CBC0097" w14:textId="106FBD52" w:rsidR="001D3D66" w:rsidRPr="007023C1" w:rsidRDefault="001D3D66" w:rsidP="00CE667B">
      <w:pPr>
        <w:pStyle w:val="ListParagraph"/>
        <w:numPr>
          <w:ilvl w:val="1"/>
          <w:numId w:val="1"/>
        </w:numPr>
        <w:spacing w:after="0" w:line="240" w:lineRule="auto"/>
        <w:jc w:val="both"/>
        <w:rPr>
          <w:rFonts w:ascii="Times New Roman" w:eastAsia="Times New Roman" w:hAnsi="Times New Roman" w:cs="Times New Roman"/>
          <w:kern w:val="0"/>
          <w:lang w:val="es-ES"/>
          <w14:ligatures w14:val="none"/>
        </w:rPr>
      </w:pPr>
      <w:r w:rsidRPr="007023C1">
        <w:rPr>
          <w:rFonts w:ascii="Times New Roman" w:hAnsi="Times New Roman" w:cs="Times New Roman"/>
          <w:b/>
          <w:bCs/>
          <w:lang w:val="es-ES_tradnl"/>
        </w:rPr>
        <w:t xml:space="preserve">Modelo </w:t>
      </w:r>
      <w:r w:rsidR="007023C1">
        <w:rPr>
          <w:rFonts w:ascii="Times New Roman" w:hAnsi="Times New Roman" w:cs="Times New Roman"/>
          <w:b/>
          <w:bCs/>
          <w:lang w:val="es-ES_tradnl"/>
        </w:rPr>
        <w:t>ARDL</w:t>
      </w:r>
      <w:r w:rsidR="0066064C" w:rsidRPr="00B4525C">
        <w:rPr>
          <w:rFonts w:ascii="Times New Roman" w:hAnsi="Times New Roman" w:cs="Times New Roman"/>
          <w:lang w:val="es-ES_tradnl"/>
        </w:rPr>
        <w:t xml:space="preserve">: </w:t>
      </w:r>
      <w:r w:rsidR="007023C1">
        <w:rPr>
          <w:rFonts w:ascii="Times New Roman" w:eastAsia="Times New Roman" w:hAnsi="Times New Roman" w:cs="Times New Roman"/>
          <w:kern w:val="0"/>
          <w:lang w:val="es-ES"/>
          <w14:ligatures w14:val="none"/>
        </w:rPr>
        <w:t xml:space="preserve">El modelo ARDL </w:t>
      </w:r>
      <w:r w:rsidR="007023C1" w:rsidRPr="007023C1">
        <w:rPr>
          <w:rFonts w:ascii="Times New Roman" w:eastAsia="Times New Roman" w:hAnsi="Times New Roman" w:cs="Times New Roman"/>
          <w:kern w:val="0"/>
          <w:lang w:val="es-ES"/>
          <w14:ligatures w14:val="none"/>
        </w:rPr>
        <w:t>es una técnica de regresión que combina componentes autorregresivos con rezagos de variables explicativas, permitiendo modelar relaciones tanto de corto como de largo plazo entre una variable dependiente y una o más explicativas, aunque estas no estén integradas del mismo orden</w:t>
      </w:r>
      <w:r w:rsidR="0066064C" w:rsidRPr="007023C1">
        <w:rPr>
          <w:rFonts w:ascii="Times New Roman" w:eastAsia="Times New Roman" w:hAnsi="Times New Roman" w:cs="Times New Roman"/>
          <w:kern w:val="0"/>
          <w:lang w:val="es-ES"/>
          <w14:ligatures w14:val="none"/>
        </w:rPr>
        <w:t>.</w:t>
      </w:r>
    </w:p>
    <w:p w14:paraId="2ADEB66B" w14:textId="77777777" w:rsidR="00CE667B" w:rsidRPr="00CE667B" w:rsidRDefault="00CE667B" w:rsidP="00CE667B">
      <w:pPr>
        <w:spacing w:after="0" w:line="240" w:lineRule="auto"/>
        <w:ind w:left="360"/>
        <w:jc w:val="both"/>
        <w:rPr>
          <w:rFonts w:ascii="Times New Roman" w:hAnsi="Times New Roman" w:cs="Times New Roman"/>
          <w:lang w:val="es-ES_tradnl"/>
        </w:rPr>
      </w:pPr>
    </w:p>
    <w:p w14:paraId="02EB0DC0" w14:textId="0AA49AEC" w:rsidR="007023C1" w:rsidRDefault="00280B41" w:rsidP="007023C1">
      <w:pPr>
        <w:spacing w:after="0" w:line="240" w:lineRule="auto"/>
        <w:jc w:val="both"/>
        <w:rPr>
          <w:rFonts w:ascii="Times New Roman" w:eastAsia="Times New Roman" w:hAnsi="Times New Roman" w:cs="Times New Roman"/>
          <w:kern w:val="0"/>
          <w:lang w:val="es-ES"/>
          <w14:ligatures w14:val="none"/>
        </w:rPr>
      </w:pPr>
      <w:r w:rsidRPr="00280B41">
        <w:rPr>
          <w:rFonts w:ascii="Times New Roman" w:eastAsia="Times New Roman" w:hAnsi="Times New Roman" w:cs="Times New Roman"/>
          <w:b/>
          <w:bCs/>
          <w:kern w:val="0"/>
          <w:lang w:val="es-ES"/>
          <w14:ligatures w14:val="none"/>
        </w:rPr>
        <w:t>Ventajas:</w:t>
      </w:r>
      <w:r w:rsidR="00B4525C" w:rsidRPr="00B4525C">
        <w:rPr>
          <w:rFonts w:ascii="Times New Roman" w:eastAsia="Times New Roman" w:hAnsi="Times New Roman" w:cs="Times New Roman"/>
          <w:kern w:val="0"/>
          <w:lang w:val="es-ES"/>
          <w14:ligatures w14:val="none"/>
        </w:rPr>
        <w:t xml:space="preserve"> </w:t>
      </w:r>
      <w:r w:rsidR="007023C1" w:rsidRPr="007023C1">
        <w:rPr>
          <w:rFonts w:ascii="Times New Roman" w:eastAsia="Times New Roman" w:hAnsi="Times New Roman" w:cs="Times New Roman"/>
          <w:kern w:val="0"/>
          <w:lang w:val="es-ES"/>
          <w14:ligatures w14:val="none"/>
        </w:rPr>
        <w:t>Es flexible al permitir que las variables estén integradas de orden 0 o 1 (</w:t>
      </w:r>
      <w:proofErr w:type="gramStart"/>
      <w:r w:rsidR="007023C1" w:rsidRPr="007023C1">
        <w:rPr>
          <w:rFonts w:ascii="Times New Roman" w:eastAsia="Times New Roman" w:hAnsi="Times New Roman" w:cs="Times New Roman"/>
          <w:kern w:val="0"/>
          <w:lang w:val="es-ES"/>
          <w14:ligatures w14:val="none"/>
        </w:rPr>
        <w:t>I(</w:t>
      </w:r>
      <w:proofErr w:type="gramEnd"/>
      <w:r w:rsidR="007023C1" w:rsidRPr="007023C1">
        <w:rPr>
          <w:rFonts w:ascii="Times New Roman" w:eastAsia="Times New Roman" w:hAnsi="Times New Roman" w:cs="Times New Roman"/>
          <w:kern w:val="0"/>
          <w:lang w:val="es-ES"/>
          <w14:ligatures w14:val="none"/>
        </w:rPr>
        <w:t xml:space="preserve">0) o </w:t>
      </w:r>
      <w:proofErr w:type="gramStart"/>
      <w:r w:rsidR="007023C1" w:rsidRPr="007023C1">
        <w:rPr>
          <w:rFonts w:ascii="Times New Roman" w:eastAsia="Times New Roman" w:hAnsi="Times New Roman" w:cs="Times New Roman"/>
          <w:kern w:val="0"/>
          <w:lang w:val="es-ES"/>
          <w14:ligatures w14:val="none"/>
        </w:rPr>
        <w:t>I(</w:t>
      </w:r>
      <w:proofErr w:type="gramEnd"/>
      <w:r w:rsidR="007023C1" w:rsidRPr="007023C1">
        <w:rPr>
          <w:rFonts w:ascii="Times New Roman" w:eastAsia="Times New Roman" w:hAnsi="Times New Roman" w:cs="Times New Roman"/>
          <w:kern w:val="0"/>
          <w:lang w:val="es-ES"/>
          <w14:ligatures w14:val="none"/>
        </w:rPr>
        <w:t>1)), sin requerir que todas sean estacionarias en el mismo nivel.</w:t>
      </w:r>
      <w:r w:rsidR="007023C1">
        <w:rPr>
          <w:rFonts w:ascii="Times New Roman" w:eastAsia="Times New Roman" w:hAnsi="Times New Roman" w:cs="Times New Roman"/>
          <w:kern w:val="0"/>
          <w:lang w:val="es-ES"/>
          <w14:ligatures w14:val="none"/>
        </w:rPr>
        <w:t xml:space="preserve"> </w:t>
      </w:r>
      <w:r w:rsidR="007023C1" w:rsidRPr="007023C1">
        <w:rPr>
          <w:rFonts w:ascii="Times New Roman" w:eastAsia="Times New Roman" w:hAnsi="Times New Roman" w:cs="Times New Roman"/>
          <w:kern w:val="0"/>
          <w:lang w:val="es-ES"/>
          <w14:ligatures w14:val="none"/>
        </w:rPr>
        <w:t xml:space="preserve">Permite estimar efectos de corto y largo plazo de manera </w:t>
      </w:r>
      <w:proofErr w:type="spellStart"/>
      <w:proofErr w:type="gramStart"/>
      <w:r w:rsidR="007023C1" w:rsidRPr="007023C1">
        <w:rPr>
          <w:rFonts w:ascii="Times New Roman" w:eastAsia="Times New Roman" w:hAnsi="Times New Roman" w:cs="Times New Roman"/>
          <w:kern w:val="0"/>
          <w:lang w:val="es-ES"/>
          <w14:ligatures w14:val="none"/>
        </w:rPr>
        <w:t>directa.Es</w:t>
      </w:r>
      <w:proofErr w:type="spellEnd"/>
      <w:proofErr w:type="gramEnd"/>
      <w:r w:rsidR="007023C1" w:rsidRPr="007023C1">
        <w:rPr>
          <w:rFonts w:ascii="Times New Roman" w:eastAsia="Times New Roman" w:hAnsi="Times New Roman" w:cs="Times New Roman"/>
          <w:kern w:val="0"/>
          <w:lang w:val="es-ES"/>
          <w14:ligatures w14:val="none"/>
        </w:rPr>
        <w:t xml:space="preserve"> útil para análisis con muestras pequeñas y permite identificar relaciones de cointegración mediante la prueba de límites (</w:t>
      </w:r>
      <w:proofErr w:type="spellStart"/>
      <w:r w:rsidR="007023C1" w:rsidRPr="007023C1">
        <w:rPr>
          <w:rFonts w:ascii="Times New Roman" w:eastAsia="Times New Roman" w:hAnsi="Times New Roman" w:cs="Times New Roman"/>
          <w:kern w:val="0"/>
          <w:lang w:val="es-ES"/>
          <w14:ligatures w14:val="none"/>
        </w:rPr>
        <w:t>bounds</w:t>
      </w:r>
      <w:proofErr w:type="spellEnd"/>
      <w:r w:rsidR="007023C1" w:rsidRPr="007023C1">
        <w:rPr>
          <w:rFonts w:ascii="Times New Roman" w:eastAsia="Times New Roman" w:hAnsi="Times New Roman" w:cs="Times New Roman"/>
          <w:kern w:val="0"/>
          <w:lang w:val="es-ES"/>
          <w14:ligatures w14:val="none"/>
        </w:rPr>
        <w:t xml:space="preserve"> test)</w:t>
      </w:r>
      <w:r w:rsidR="007023C1">
        <w:rPr>
          <w:rFonts w:ascii="Times New Roman" w:eastAsia="Times New Roman" w:hAnsi="Times New Roman" w:cs="Times New Roman"/>
          <w:kern w:val="0"/>
          <w:lang w:val="es-ES"/>
          <w14:ligatures w14:val="none"/>
        </w:rPr>
        <w:t xml:space="preserve"> permitiendo ver de forma </w:t>
      </w:r>
      <w:proofErr w:type="spellStart"/>
      <w:r w:rsidR="007023C1">
        <w:rPr>
          <w:rFonts w:ascii="Times New Roman" w:eastAsia="Times New Roman" w:hAnsi="Times New Roman" w:cs="Times New Roman"/>
          <w:kern w:val="0"/>
          <w:lang w:val="es-ES"/>
          <w14:ligatures w14:val="none"/>
        </w:rPr>
        <w:t>mas</w:t>
      </w:r>
      <w:proofErr w:type="spellEnd"/>
      <w:r w:rsidR="007023C1">
        <w:rPr>
          <w:rFonts w:ascii="Times New Roman" w:eastAsia="Times New Roman" w:hAnsi="Times New Roman" w:cs="Times New Roman"/>
          <w:kern w:val="0"/>
          <w:lang w:val="es-ES"/>
          <w14:ligatures w14:val="none"/>
        </w:rPr>
        <w:t xml:space="preserve"> clara las relaciones entre las variables a corto y largo plazo.</w:t>
      </w:r>
    </w:p>
    <w:p w14:paraId="02B3B0FD" w14:textId="6CA0A0AC" w:rsidR="00342C82" w:rsidRPr="007023C1" w:rsidRDefault="00280B41" w:rsidP="007023C1">
      <w:pPr>
        <w:spacing w:after="0" w:line="240" w:lineRule="auto"/>
        <w:jc w:val="both"/>
        <w:rPr>
          <w:rFonts w:ascii="Times New Roman" w:eastAsia="Times New Roman" w:hAnsi="Times New Roman" w:cs="Times New Roman"/>
          <w:kern w:val="0"/>
          <w:lang w:val="es-ES"/>
          <w14:ligatures w14:val="none"/>
        </w:rPr>
      </w:pPr>
      <w:r w:rsidRPr="00280B41">
        <w:rPr>
          <w:rFonts w:ascii="Times New Roman" w:eastAsia="Times New Roman" w:hAnsi="Times New Roman" w:cs="Times New Roman"/>
          <w:b/>
          <w:bCs/>
          <w:kern w:val="0"/>
          <w:lang w:val="es-ES"/>
          <w14:ligatures w14:val="none"/>
        </w:rPr>
        <w:t>Desventajas:</w:t>
      </w:r>
      <w:r w:rsidR="00CE667B">
        <w:rPr>
          <w:rFonts w:ascii="Times New Roman" w:eastAsia="Times New Roman" w:hAnsi="Times New Roman" w:cs="Times New Roman"/>
          <w:b/>
          <w:bCs/>
          <w:kern w:val="0"/>
          <w:lang w:val="es-ES"/>
          <w14:ligatures w14:val="none"/>
        </w:rPr>
        <w:t xml:space="preserve"> </w:t>
      </w:r>
      <w:r w:rsidR="007023C1" w:rsidRPr="007023C1">
        <w:rPr>
          <w:rFonts w:ascii="Times New Roman" w:eastAsia="Times New Roman" w:hAnsi="Times New Roman" w:cs="Times New Roman"/>
          <w:kern w:val="0"/>
          <w:lang w:val="es-ES"/>
          <w14:ligatures w14:val="none"/>
        </w:rPr>
        <w:t>No puede aplicarse si alguna de las variables está integrada de orden 2 (</w:t>
      </w:r>
      <w:proofErr w:type="gramStart"/>
      <w:r w:rsidR="007023C1" w:rsidRPr="007023C1">
        <w:rPr>
          <w:rFonts w:ascii="Times New Roman" w:eastAsia="Times New Roman" w:hAnsi="Times New Roman" w:cs="Times New Roman"/>
          <w:kern w:val="0"/>
          <w:lang w:val="es-ES"/>
          <w14:ligatures w14:val="none"/>
        </w:rPr>
        <w:t>I(</w:t>
      </w:r>
      <w:proofErr w:type="gramEnd"/>
      <w:r w:rsidR="007023C1" w:rsidRPr="007023C1">
        <w:rPr>
          <w:rFonts w:ascii="Times New Roman" w:eastAsia="Times New Roman" w:hAnsi="Times New Roman" w:cs="Times New Roman"/>
          <w:kern w:val="0"/>
          <w:lang w:val="es-ES"/>
          <w14:ligatures w14:val="none"/>
        </w:rPr>
        <w:t>2)).</w:t>
      </w:r>
      <w:r w:rsidR="007023C1">
        <w:rPr>
          <w:rFonts w:ascii="Times New Roman" w:eastAsia="Times New Roman" w:hAnsi="Times New Roman" w:cs="Times New Roman"/>
          <w:kern w:val="0"/>
          <w:lang w:val="es-ES"/>
          <w14:ligatures w14:val="none"/>
        </w:rPr>
        <w:t xml:space="preserve"> </w:t>
      </w:r>
      <w:r w:rsidR="007023C1" w:rsidRPr="007023C1">
        <w:rPr>
          <w:rFonts w:ascii="Times New Roman" w:eastAsia="Times New Roman" w:hAnsi="Times New Roman" w:cs="Times New Roman"/>
          <w:kern w:val="0"/>
          <w:lang w:val="es-ES"/>
          <w14:ligatures w14:val="none"/>
        </w:rPr>
        <w:t>Requiere una correcta elección del número de rezagos, ya que un mal ajuste puede llevar a resultados sesgados.</w:t>
      </w:r>
      <w:r w:rsidR="00F35B37">
        <w:rPr>
          <w:rFonts w:ascii="Times New Roman" w:eastAsia="Times New Roman" w:hAnsi="Times New Roman" w:cs="Times New Roman"/>
          <w:kern w:val="0"/>
          <w:lang w:val="es-ES"/>
          <w14:ligatures w14:val="none"/>
        </w:rPr>
        <w:t xml:space="preserve"> </w:t>
      </w:r>
    </w:p>
    <w:p w14:paraId="23943DDD" w14:textId="4EABFD6C" w:rsidR="007023C1" w:rsidRPr="00F35B37" w:rsidRDefault="007023C1" w:rsidP="00F35B37">
      <w:pPr>
        <w:spacing w:before="100" w:beforeAutospacing="1" w:after="80" w:line="240" w:lineRule="auto"/>
        <w:rPr>
          <w:rFonts w:ascii="Times New Roman" w:hAnsi="Times New Roman" w:cs="Times New Roman"/>
          <w:lang w:val="es-ES"/>
        </w:rPr>
      </w:pPr>
      <w:r w:rsidRPr="00F35B37">
        <w:rPr>
          <w:rFonts w:ascii="Times New Roman" w:hAnsi="Times New Roman" w:cs="Times New Roman"/>
          <w:lang w:val="es-ES"/>
        </w:rPr>
        <w:drawing>
          <wp:anchor distT="0" distB="0" distL="114300" distR="114300" simplePos="0" relativeHeight="251658240" behindDoc="0" locked="0" layoutInCell="1" allowOverlap="1" wp14:anchorId="339FD817" wp14:editId="64C20488">
            <wp:simplePos x="0" y="0"/>
            <wp:positionH relativeFrom="column">
              <wp:posOffset>0</wp:posOffset>
            </wp:positionH>
            <wp:positionV relativeFrom="paragraph">
              <wp:posOffset>188259</wp:posOffset>
            </wp:positionV>
            <wp:extent cx="1411941" cy="778209"/>
            <wp:effectExtent l="0" t="0" r="0" b="0"/>
            <wp:wrapSquare wrapText="bothSides"/>
            <wp:docPr id="91877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77741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1941" cy="778209"/>
                    </a:xfrm>
                    <a:prstGeom prst="rect">
                      <a:avLst/>
                    </a:prstGeom>
                  </pic:spPr>
                </pic:pic>
              </a:graphicData>
            </a:graphic>
          </wp:anchor>
        </w:drawing>
      </w:r>
      <w:r w:rsidRPr="00F35B37">
        <w:rPr>
          <w:rStyle w:val="Strong"/>
          <w:rFonts w:ascii="Times New Roman" w:hAnsi="Times New Roman" w:cs="Times New Roman"/>
          <w:lang w:val="es-ES"/>
        </w:rPr>
        <w:t>Efectos a corto plazo:</w:t>
      </w:r>
      <w:r w:rsidR="00F35B37" w:rsidRPr="00F35B37">
        <w:rPr>
          <w:rFonts w:ascii="Times New Roman" w:hAnsi="Times New Roman" w:cs="Times New Roman"/>
          <w:lang w:val="es-ES"/>
        </w:rPr>
        <w:t xml:space="preserve"> </w:t>
      </w:r>
      <w:r w:rsidRPr="00F35B37">
        <w:rPr>
          <w:rFonts w:ascii="Times New Roman" w:hAnsi="Times New Roman" w:cs="Times New Roman"/>
          <w:lang w:val="es-ES"/>
        </w:rPr>
        <w:t xml:space="preserve">Los resultados muestran que los activos </w:t>
      </w:r>
      <w:r w:rsidRPr="00F35B37">
        <w:rPr>
          <w:rStyle w:val="Strong"/>
          <w:rFonts w:ascii="Times New Roman" w:hAnsi="Times New Roman" w:cs="Times New Roman"/>
          <w:b w:val="0"/>
          <w:bCs w:val="0"/>
          <w:lang w:val="es-ES"/>
        </w:rPr>
        <w:t>TSLA</w:t>
      </w:r>
      <w:r w:rsidRPr="00F35B37">
        <w:rPr>
          <w:rFonts w:ascii="Times New Roman" w:hAnsi="Times New Roman" w:cs="Times New Roman"/>
          <w:b/>
          <w:bCs/>
          <w:lang w:val="es-ES"/>
        </w:rPr>
        <w:t xml:space="preserve">, </w:t>
      </w:r>
      <w:r w:rsidRPr="00F35B37">
        <w:rPr>
          <w:rFonts w:ascii="Times New Roman" w:eastAsia="Times New Roman" w:hAnsi="Times New Roman" w:cs="Times New Roman"/>
          <w:kern w:val="0"/>
          <w:lang w:val="es-ES"/>
          <w14:ligatures w14:val="none"/>
        </w:rPr>
        <w:t>TM y GM tienen un impacto significativo en el índice RYLD en el corto plazo:</w:t>
      </w:r>
      <w:r w:rsidR="00F35B37" w:rsidRPr="00F35B37">
        <w:rPr>
          <w:rFonts w:ascii="Times New Roman" w:eastAsia="Times New Roman" w:hAnsi="Times New Roman" w:cs="Times New Roman"/>
          <w:kern w:val="0"/>
          <w:lang w:val="es-ES"/>
          <w14:ligatures w14:val="none"/>
        </w:rPr>
        <w:t xml:space="preserve"> </w:t>
      </w:r>
      <w:r w:rsidRPr="00F35B37">
        <w:rPr>
          <w:rFonts w:ascii="Times New Roman" w:eastAsia="Times New Roman" w:hAnsi="Times New Roman" w:cs="Times New Roman"/>
          <w:kern w:val="0"/>
          <w:lang w:val="es-ES"/>
          <w14:ligatures w14:val="none"/>
        </w:rPr>
        <w:t>Un aumento de 1 unidad en TSLA incrementa RYLD en aproximadamente 0.006 unidades.</w:t>
      </w:r>
      <w:r w:rsidR="00F35B37" w:rsidRPr="00F35B37">
        <w:rPr>
          <w:rFonts w:ascii="Times New Roman" w:eastAsia="Times New Roman" w:hAnsi="Times New Roman" w:cs="Times New Roman"/>
          <w:kern w:val="0"/>
          <w:lang w:val="es-ES"/>
          <w14:ligatures w14:val="none"/>
        </w:rPr>
        <w:t xml:space="preserve"> </w:t>
      </w:r>
      <w:r w:rsidRPr="00F35B37">
        <w:rPr>
          <w:rFonts w:ascii="Times New Roman" w:eastAsia="Times New Roman" w:hAnsi="Times New Roman" w:cs="Times New Roman"/>
          <w:kern w:val="0"/>
          <w:lang w:val="es-ES"/>
          <w14:ligatures w14:val="none"/>
        </w:rPr>
        <w:t>Un aumento de 1 unidad en TM incrementa RYLD en aproximadamente 0.027 unidades.</w:t>
      </w:r>
      <w:r w:rsidR="00F35B37" w:rsidRPr="00F35B37">
        <w:rPr>
          <w:rFonts w:ascii="Times New Roman" w:eastAsia="Times New Roman" w:hAnsi="Times New Roman" w:cs="Times New Roman"/>
          <w:kern w:val="0"/>
          <w:lang w:val="es-ES"/>
          <w14:ligatures w14:val="none"/>
        </w:rPr>
        <w:t xml:space="preserve"> </w:t>
      </w:r>
      <w:r w:rsidRPr="00F35B37">
        <w:rPr>
          <w:rFonts w:ascii="Times New Roman" w:eastAsia="Times New Roman" w:hAnsi="Times New Roman" w:cs="Times New Roman"/>
          <w:kern w:val="0"/>
          <w:lang w:val="es-ES"/>
          <w14:ligatures w14:val="none"/>
        </w:rPr>
        <w:t>Un aumento de 1 unidad en GM incrementa RYLD en aproximadamente 0.094 unidades.</w:t>
      </w:r>
    </w:p>
    <w:p w14:paraId="79CBED0B" w14:textId="139C75B4" w:rsidR="00F35B37" w:rsidRPr="00C84B7B" w:rsidRDefault="007023C1" w:rsidP="00F35B37">
      <w:pPr>
        <w:pStyle w:val="NormalWeb"/>
        <w:rPr>
          <w:lang w:val="es-ES"/>
        </w:rPr>
      </w:pPr>
      <w:r w:rsidRPr="00F35B37">
        <w:rPr>
          <w:rStyle w:val="Strong"/>
          <w:rFonts w:eastAsiaTheme="majorEastAsia"/>
          <w:lang w:val="es-ES"/>
        </w:rPr>
        <w:t>Efectos a largo plazo:</w:t>
      </w:r>
      <w:r w:rsidR="00F35B37" w:rsidRPr="00F35B37">
        <w:rPr>
          <w:lang w:val="es-ES"/>
        </w:rPr>
        <w:t xml:space="preserve"> </w:t>
      </w:r>
      <w:r w:rsidRPr="00F35B37">
        <w:rPr>
          <w:lang w:val="es-ES"/>
        </w:rPr>
        <w:t>TSLA tiene un efecto negativo y significativo sobre RYLD.</w:t>
      </w:r>
      <w:r w:rsidR="00F35B37" w:rsidRPr="00F35B37">
        <w:rPr>
          <w:lang w:val="es-ES"/>
        </w:rPr>
        <w:t xml:space="preserve"> </w:t>
      </w:r>
      <w:r w:rsidRPr="00F35B37">
        <w:rPr>
          <w:lang w:val="es-ES"/>
        </w:rPr>
        <w:t>GM tiene un efecto positivo y significativo.</w:t>
      </w:r>
      <w:r w:rsidR="00F35B37" w:rsidRPr="00F35B37">
        <w:rPr>
          <w:lang w:val="es-ES"/>
        </w:rPr>
        <w:t xml:space="preserve"> </w:t>
      </w:r>
      <w:r w:rsidRPr="00F35B37">
        <w:rPr>
          <w:lang w:val="es-ES"/>
        </w:rPr>
        <w:t>TM también tiene un efecto positivo, aunque con una significancia marginal.</w:t>
      </w:r>
      <w:r w:rsidR="00F35B37" w:rsidRPr="00F35B37">
        <w:rPr>
          <w:lang w:val="es-ES"/>
        </w:rPr>
        <w:t xml:space="preserve"> </w:t>
      </w:r>
      <w:r w:rsidRPr="00F35B37">
        <w:rPr>
          <w:lang w:val="es-ES"/>
        </w:rPr>
        <w:t>En resumen, los activos TSLA y GM son los que más contribuyen a explicar el comportamiento de RYLD en el largo plazo.</w:t>
      </w:r>
    </w:p>
    <w:p w14:paraId="415963EC" w14:textId="3F2529FC" w:rsidR="001D3D66" w:rsidRPr="00B4525C" w:rsidRDefault="001D3D66" w:rsidP="00CE667B">
      <w:pPr>
        <w:pStyle w:val="ListParagraph"/>
        <w:numPr>
          <w:ilvl w:val="0"/>
          <w:numId w:val="1"/>
        </w:numPr>
        <w:spacing w:after="0" w:line="240" w:lineRule="auto"/>
        <w:jc w:val="both"/>
        <w:rPr>
          <w:rFonts w:ascii="Times New Roman" w:hAnsi="Times New Roman" w:cs="Times New Roman"/>
          <w:lang w:val="es-ES_tradnl"/>
        </w:rPr>
      </w:pPr>
      <w:r w:rsidRPr="00B4525C">
        <w:rPr>
          <w:rFonts w:ascii="Times New Roman" w:hAnsi="Times New Roman" w:cs="Times New Roman"/>
          <w:color w:val="0F1114"/>
          <w:shd w:val="clear" w:color="auto" w:fill="FFFFFF"/>
          <w:lang w:val="es-ES"/>
        </w:rPr>
        <w:t>Selección del modelo con mejor desempeño</w:t>
      </w:r>
    </w:p>
    <w:p w14:paraId="094F07EC" w14:textId="77777777" w:rsidR="00F35B37" w:rsidRPr="00F35B37" w:rsidRDefault="00F35B37" w:rsidP="00F35B37">
      <w:pPr>
        <w:spacing w:after="80" w:line="240" w:lineRule="auto"/>
        <w:jc w:val="both"/>
        <w:rPr>
          <w:rFonts w:ascii="Times New Roman" w:hAnsi="Times New Roman" w:cs="Times New Roman"/>
          <w:lang w:val="es-ES_tradnl"/>
        </w:rPr>
      </w:pPr>
      <w:r w:rsidRPr="00F35B37">
        <w:rPr>
          <w:rFonts w:ascii="Times New Roman" w:hAnsi="Times New Roman" w:cs="Times New Roman"/>
          <w:lang w:val="es-ES_tradnl"/>
        </w:rPr>
        <w:t>Tras la comparación de los modelos VAR y ARDL, se observó que el modelo VAR obtuvo un mejor desempeño en términos de error de predicción, con un RMSE de 0.1321 y un MAE de 0.1001. Estos valores reflejan una mayor precisión frente al modelo ARDL, que presentó un RMSE de 0.2003 y un MAE de 0.1418.</w:t>
      </w:r>
    </w:p>
    <w:p w14:paraId="7F316ACF" w14:textId="77777777" w:rsidR="00F35B37" w:rsidRPr="00F35B37" w:rsidRDefault="00F35B37" w:rsidP="00F35B37">
      <w:pPr>
        <w:spacing w:after="80" w:line="240" w:lineRule="auto"/>
        <w:jc w:val="both"/>
        <w:rPr>
          <w:rFonts w:ascii="Times New Roman" w:hAnsi="Times New Roman" w:cs="Times New Roman"/>
          <w:lang w:val="es-ES_tradnl"/>
        </w:rPr>
      </w:pPr>
      <w:r w:rsidRPr="00F35B37">
        <w:rPr>
          <w:rFonts w:ascii="Times New Roman" w:hAnsi="Times New Roman" w:cs="Times New Roman"/>
          <w:lang w:val="es-ES_tradnl"/>
        </w:rPr>
        <w:t>El modelo VAR se destaca por su capacidad para capturar relaciones dinámicas entre múltiples series temporales al considerar los rezagos de todas las variables del sistema. Esta estructura le permite adaptarse mejor a la naturaleza interdependiente de las variables económicas y financieras analizadas.</w:t>
      </w:r>
    </w:p>
    <w:p w14:paraId="3314FBA9" w14:textId="738CD913" w:rsidR="00C84B7B" w:rsidRDefault="00F35B37" w:rsidP="00F35B37">
      <w:pPr>
        <w:spacing w:after="80" w:line="240" w:lineRule="auto"/>
        <w:jc w:val="both"/>
        <w:rPr>
          <w:rFonts w:ascii="Times New Roman" w:hAnsi="Times New Roman" w:cs="Times New Roman"/>
          <w:lang w:val="es-ES_tradnl"/>
        </w:rPr>
      </w:pPr>
      <w:r w:rsidRPr="00F35B37">
        <w:rPr>
          <w:rFonts w:ascii="Times New Roman" w:hAnsi="Times New Roman" w:cs="Times New Roman"/>
          <w:lang w:val="es-ES_tradnl"/>
        </w:rPr>
        <w:lastRenderedPageBreak/>
        <w:t>En cambio, aunque el modelo ARDL también ofrece una aproximación robusta —especialmente útil cuando algunas variables son estacionarias y otras no—, en este caso específico mostró un rendimiento inferior al no capturar con la misma eficacia la dinámica conjunta de las series.</w:t>
      </w:r>
    </w:p>
    <w:tbl>
      <w:tblPr>
        <w:tblW w:w="4240" w:type="dxa"/>
        <w:jc w:val="center"/>
        <w:tblLook w:val="04A0" w:firstRow="1" w:lastRow="0" w:firstColumn="1" w:lastColumn="0" w:noHBand="0" w:noVBand="1"/>
      </w:tblPr>
      <w:tblGrid>
        <w:gridCol w:w="1640"/>
        <w:gridCol w:w="1300"/>
        <w:gridCol w:w="1300"/>
      </w:tblGrid>
      <w:tr w:rsidR="00F35B37" w:rsidRPr="00AA45E2" w14:paraId="378B87F8" w14:textId="77777777" w:rsidTr="00F35B37">
        <w:trPr>
          <w:trHeight w:val="320"/>
          <w:jc w:val="center"/>
        </w:trPr>
        <w:tc>
          <w:tcPr>
            <w:tcW w:w="1640" w:type="dxa"/>
            <w:tcBorders>
              <w:top w:val="single" w:sz="4" w:space="0" w:color="auto"/>
              <w:left w:val="single" w:sz="4" w:space="0" w:color="auto"/>
              <w:bottom w:val="single" w:sz="4" w:space="0" w:color="auto"/>
              <w:right w:val="single" w:sz="4" w:space="0" w:color="auto"/>
            </w:tcBorders>
            <w:shd w:val="clear" w:color="000000" w:fill="E8E8E8"/>
            <w:noWrap/>
            <w:vAlign w:val="bottom"/>
            <w:hideMark/>
          </w:tcPr>
          <w:p w14:paraId="3FB75E08" w14:textId="77777777" w:rsidR="00F35B37" w:rsidRPr="00AA45E2" w:rsidRDefault="00F35B37" w:rsidP="00AA45E2">
            <w:pPr>
              <w:spacing w:after="0" w:line="240" w:lineRule="auto"/>
              <w:rPr>
                <w:rFonts w:ascii="Aptos Narrow" w:eastAsia="Times New Roman" w:hAnsi="Aptos Narrow" w:cs="Times New Roman"/>
                <w:b/>
                <w:bCs/>
                <w:color w:val="000000"/>
                <w:kern w:val="0"/>
                <w14:ligatures w14:val="none"/>
              </w:rPr>
            </w:pPr>
            <w:proofErr w:type="spellStart"/>
            <w:r w:rsidRPr="00AA45E2">
              <w:rPr>
                <w:rFonts w:ascii="Aptos Narrow" w:eastAsia="Times New Roman" w:hAnsi="Aptos Narrow" w:cs="Times New Roman"/>
                <w:b/>
                <w:bCs/>
                <w:color w:val="000000"/>
                <w:kern w:val="0"/>
                <w14:ligatures w14:val="none"/>
              </w:rPr>
              <w:t>Modelo</w:t>
            </w:r>
            <w:proofErr w:type="spellEnd"/>
          </w:p>
        </w:tc>
        <w:tc>
          <w:tcPr>
            <w:tcW w:w="1300" w:type="dxa"/>
            <w:tcBorders>
              <w:top w:val="single" w:sz="4" w:space="0" w:color="auto"/>
              <w:left w:val="nil"/>
              <w:bottom w:val="single" w:sz="4" w:space="0" w:color="auto"/>
              <w:right w:val="single" w:sz="4" w:space="0" w:color="auto"/>
            </w:tcBorders>
            <w:shd w:val="clear" w:color="000000" w:fill="E8E8E8"/>
            <w:noWrap/>
            <w:vAlign w:val="bottom"/>
            <w:hideMark/>
          </w:tcPr>
          <w:p w14:paraId="789F2375" w14:textId="77777777" w:rsidR="00F35B37" w:rsidRPr="00AA45E2" w:rsidRDefault="00F35B37"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RMSE</w:t>
            </w:r>
          </w:p>
        </w:tc>
        <w:tc>
          <w:tcPr>
            <w:tcW w:w="1300" w:type="dxa"/>
            <w:tcBorders>
              <w:top w:val="single" w:sz="4" w:space="0" w:color="auto"/>
              <w:left w:val="nil"/>
              <w:bottom w:val="single" w:sz="4" w:space="0" w:color="auto"/>
              <w:right w:val="single" w:sz="4" w:space="0" w:color="auto"/>
            </w:tcBorders>
            <w:shd w:val="clear" w:color="000000" w:fill="E8E8E8"/>
            <w:noWrap/>
            <w:vAlign w:val="bottom"/>
            <w:hideMark/>
          </w:tcPr>
          <w:p w14:paraId="0C203572" w14:textId="77777777" w:rsidR="00F35B37" w:rsidRPr="00AA45E2" w:rsidRDefault="00F35B37" w:rsidP="00AA45E2">
            <w:pPr>
              <w:spacing w:after="0" w:line="240" w:lineRule="auto"/>
              <w:rPr>
                <w:rFonts w:ascii="Aptos Narrow" w:eastAsia="Times New Roman" w:hAnsi="Aptos Narrow" w:cs="Times New Roman"/>
                <w:b/>
                <w:bCs/>
                <w:color w:val="000000"/>
                <w:kern w:val="0"/>
                <w14:ligatures w14:val="none"/>
              </w:rPr>
            </w:pPr>
            <w:r w:rsidRPr="00AA45E2">
              <w:rPr>
                <w:rFonts w:ascii="Aptos Narrow" w:eastAsia="Times New Roman" w:hAnsi="Aptos Narrow" w:cs="Times New Roman"/>
                <w:b/>
                <w:bCs/>
                <w:color w:val="000000"/>
                <w:kern w:val="0"/>
                <w14:ligatures w14:val="none"/>
              </w:rPr>
              <w:t>MAE</w:t>
            </w:r>
          </w:p>
        </w:tc>
      </w:tr>
      <w:tr w:rsidR="00F35B37" w:rsidRPr="00AA45E2" w14:paraId="785AB7C9" w14:textId="77777777" w:rsidTr="00F35B37">
        <w:trPr>
          <w:trHeight w:val="32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EEBF65A" w14:textId="627BB57E" w:rsidR="00F35B37" w:rsidRPr="00AA45E2" w:rsidRDefault="00F35B37" w:rsidP="00AA45E2">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ARDL</w:t>
            </w:r>
          </w:p>
        </w:tc>
        <w:tc>
          <w:tcPr>
            <w:tcW w:w="1300" w:type="dxa"/>
            <w:tcBorders>
              <w:top w:val="nil"/>
              <w:left w:val="nil"/>
              <w:bottom w:val="single" w:sz="4" w:space="0" w:color="auto"/>
              <w:right w:val="single" w:sz="4" w:space="0" w:color="auto"/>
            </w:tcBorders>
            <w:shd w:val="clear" w:color="auto" w:fill="auto"/>
            <w:noWrap/>
            <w:vAlign w:val="bottom"/>
            <w:hideMark/>
          </w:tcPr>
          <w:p w14:paraId="3D56E2EA" w14:textId="6C76EB0F" w:rsidR="00F35B37" w:rsidRPr="00AA45E2" w:rsidRDefault="00F35B37" w:rsidP="00AA45E2">
            <w:pPr>
              <w:spacing w:after="0" w:line="240" w:lineRule="auto"/>
              <w:jc w:val="right"/>
              <w:rPr>
                <w:rFonts w:ascii="Aptos Narrow" w:eastAsia="Times New Roman" w:hAnsi="Aptos Narrow" w:cs="Times New Roman"/>
                <w:color w:val="000000"/>
                <w:kern w:val="0"/>
                <w14:ligatures w14:val="none"/>
              </w:rPr>
            </w:pPr>
            <w:r>
              <w:t>0.2003</w:t>
            </w:r>
          </w:p>
        </w:tc>
        <w:tc>
          <w:tcPr>
            <w:tcW w:w="1300" w:type="dxa"/>
            <w:tcBorders>
              <w:top w:val="nil"/>
              <w:left w:val="nil"/>
              <w:bottom w:val="single" w:sz="4" w:space="0" w:color="auto"/>
              <w:right w:val="single" w:sz="4" w:space="0" w:color="auto"/>
            </w:tcBorders>
            <w:shd w:val="clear" w:color="auto" w:fill="auto"/>
            <w:noWrap/>
            <w:vAlign w:val="bottom"/>
            <w:hideMark/>
          </w:tcPr>
          <w:p w14:paraId="494C0D63" w14:textId="0826A8AA" w:rsidR="00F35B37" w:rsidRPr="00AA45E2" w:rsidRDefault="00F35B37" w:rsidP="00AA45E2">
            <w:pPr>
              <w:spacing w:after="0" w:line="240" w:lineRule="auto"/>
              <w:jc w:val="right"/>
              <w:rPr>
                <w:rFonts w:ascii="Aptos Narrow" w:eastAsia="Times New Roman" w:hAnsi="Aptos Narrow" w:cs="Times New Roman"/>
                <w:color w:val="000000"/>
                <w:kern w:val="0"/>
                <w14:ligatures w14:val="none"/>
              </w:rPr>
            </w:pPr>
            <w:r>
              <w:t>0.1418</w:t>
            </w:r>
          </w:p>
        </w:tc>
      </w:tr>
      <w:tr w:rsidR="00F35B37" w:rsidRPr="00AA45E2" w14:paraId="6D268B70" w14:textId="77777777" w:rsidTr="00F35B37">
        <w:trPr>
          <w:trHeight w:val="320"/>
          <w:jc w:val="center"/>
        </w:trPr>
        <w:tc>
          <w:tcPr>
            <w:tcW w:w="1640" w:type="dxa"/>
            <w:tcBorders>
              <w:top w:val="nil"/>
              <w:left w:val="single" w:sz="4" w:space="0" w:color="auto"/>
              <w:bottom w:val="single" w:sz="4" w:space="0" w:color="auto"/>
              <w:right w:val="single" w:sz="4" w:space="0" w:color="auto"/>
            </w:tcBorders>
            <w:shd w:val="clear" w:color="000000" w:fill="C1F0C8"/>
            <w:noWrap/>
            <w:vAlign w:val="bottom"/>
            <w:hideMark/>
          </w:tcPr>
          <w:p w14:paraId="4B4992F4" w14:textId="285C55EA" w:rsidR="00F35B37" w:rsidRPr="00AA45E2" w:rsidRDefault="00F35B37" w:rsidP="00AA45E2">
            <w:pPr>
              <w:spacing w:after="0" w:line="240" w:lineRule="auto"/>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VAR</w:t>
            </w:r>
          </w:p>
        </w:tc>
        <w:tc>
          <w:tcPr>
            <w:tcW w:w="1300" w:type="dxa"/>
            <w:tcBorders>
              <w:top w:val="nil"/>
              <w:left w:val="nil"/>
              <w:bottom w:val="single" w:sz="4" w:space="0" w:color="auto"/>
              <w:right w:val="single" w:sz="4" w:space="0" w:color="auto"/>
            </w:tcBorders>
            <w:shd w:val="clear" w:color="000000" w:fill="C1F0C8"/>
            <w:noWrap/>
            <w:vAlign w:val="bottom"/>
            <w:hideMark/>
          </w:tcPr>
          <w:p w14:paraId="60977AEC" w14:textId="1F05BC84" w:rsidR="00F35B37" w:rsidRPr="00AA45E2" w:rsidRDefault="00F35B37" w:rsidP="00AA45E2">
            <w:pPr>
              <w:spacing w:after="0" w:line="240" w:lineRule="auto"/>
              <w:jc w:val="right"/>
              <w:rPr>
                <w:rFonts w:ascii="Aptos Narrow" w:eastAsia="Times New Roman" w:hAnsi="Aptos Narrow" w:cs="Times New Roman"/>
                <w:color w:val="000000"/>
                <w:kern w:val="0"/>
                <w14:ligatures w14:val="none"/>
              </w:rPr>
            </w:pPr>
            <w:r>
              <w:t>0.1321</w:t>
            </w:r>
          </w:p>
        </w:tc>
        <w:tc>
          <w:tcPr>
            <w:tcW w:w="1300" w:type="dxa"/>
            <w:tcBorders>
              <w:top w:val="nil"/>
              <w:left w:val="nil"/>
              <w:bottom w:val="single" w:sz="4" w:space="0" w:color="auto"/>
              <w:right w:val="single" w:sz="4" w:space="0" w:color="auto"/>
            </w:tcBorders>
            <w:shd w:val="clear" w:color="000000" w:fill="C1F0C8"/>
            <w:noWrap/>
            <w:vAlign w:val="bottom"/>
            <w:hideMark/>
          </w:tcPr>
          <w:p w14:paraId="2E53993C" w14:textId="5505419D" w:rsidR="00F35B37" w:rsidRPr="00AA45E2" w:rsidRDefault="00F35B37" w:rsidP="00AA45E2">
            <w:pPr>
              <w:spacing w:after="0" w:line="240" w:lineRule="auto"/>
              <w:jc w:val="right"/>
              <w:rPr>
                <w:rFonts w:ascii="Aptos Narrow" w:eastAsia="Times New Roman" w:hAnsi="Aptos Narrow" w:cs="Times New Roman"/>
                <w:color w:val="000000"/>
                <w:kern w:val="0"/>
                <w14:ligatures w14:val="none"/>
              </w:rPr>
            </w:pPr>
            <w:r>
              <w:t>0.1001</w:t>
            </w:r>
          </w:p>
        </w:tc>
      </w:tr>
    </w:tbl>
    <w:p w14:paraId="2029532C" w14:textId="77777777" w:rsidR="00C67E53" w:rsidRPr="003B0233" w:rsidRDefault="00C67E53" w:rsidP="00C67E53">
      <w:pPr>
        <w:pStyle w:val="NormalWeb"/>
        <w:rPr>
          <w:lang w:val="es-ES"/>
        </w:rPr>
      </w:pPr>
      <w:r w:rsidRPr="003B0233">
        <w:rPr>
          <w:lang w:val="es-ES"/>
        </w:rPr>
        <w:t xml:space="preserve">El modelo </w:t>
      </w:r>
      <w:r w:rsidRPr="003B0233">
        <w:rPr>
          <w:rStyle w:val="Strong"/>
          <w:rFonts w:eastAsiaTheme="majorEastAsia"/>
          <w:lang w:val="es-ES"/>
        </w:rPr>
        <w:t>VAR</w:t>
      </w:r>
      <w:r w:rsidRPr="003B0233">
        <w:rPr>
          <w:lang w:val="es-ES"/>
        </w:rPr>
        <w:t xml:space="preserve"> es seleccionado como el más adecuado para este análisis, gracias a su mejor capacidad predictiva y su habilidad para representar de forma conjunta la evolución temporal de las variables involucradas. Su estructura multivariada lo convierte en una herramienta más precisa y eficiente en este contexto.</w:t>
      </w:r>
    </w:p>
    <w:p w14:paraId="0A0FCFC9" w14:textId="790C616B" w:rsidR="004A5671" w:rsidRPr="003B0233" w:rsidRDefault="004A5671" w:rsidP="004A5671">
      <w:pPr>
        <w:spacing w:after="0" w:line="240" w:lineRule="auto"/>
        <w:jc w:val="both"/>
        <w:rPr>
          <w:rFonts w:ascii="Times New Roman" w:hAnsi="Times New Roman" w:cs="Times New Roman"/>
          <w:lang w:val="es-ES"/>
        </w:rPr>
      </w:pPr>
      <w:r w:rsidRPr="003B0233">
        <w:rPr>
          <w:rFonts w:ascii="Times New Roman" w:hAnsi="Times New Roman" w:cs="Times New Roman"/>
          <w:lang w:val="es-ES_tradnl"/>
        </w:rPr>
        <w:drawing>
          <wp:anchor distT="0" distB="0" distL="114300" distR="114300" simplePos="0" relativeHeight="251659264" behindDoc="0" locked="0" layoutInCell="1" allowOverlap="1" wp14:anchorId="183C6D74" wp14:editId="6B023463">
            <wp:simplePos x="0" y="0"/>
            <wp:positionH relativeFrom="column">
              <wp:posOffset>-188259</wp:posOffset>
            </wp:positionH>
            <wp:positionV relativeFrom="paragraph">
              <wp:posOffset>56029</wp:posOffset>
            </wp:positionV>
            <wp:extent cx="1614836" cy="2191871"/>
            <wp:effectExtent l="0" t="0" r="0" b="5715"/>
            <wp:wrapSquare wrapText="bothSides"/>
            <wp:docPr id="1896658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5822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4836" cy="2191871"/>
                    </a:xfrm>
                    <a:prstGeom prst="rect">
                      <a:avLst/>
                    </a:prstGeom>
                  </pic:spPr>
                </pic:pic>
              </a:graphicData>
            </a:graphic>
          </wp:anchor>
        </w:drawing>
      </w:r>
      <w:r w:rsidRPr="003B0233">
        <w:rPr>
          <w:rFonts w:ascii="Times New Roman" w:hAnsi="Times New Roman" w:cs="Times New Roman"/>
          <w:lang w:val="es-ES"/>
        </w:rPr>
        <w:t xml:space="preserve">En la siguiente gráfica se muestra el pronóstico a 10 días del índice RYLD (y los activos TSLA, TM y GM), realizado utilizando el modelo VAR (Vector </w:t>
      </w:r>
      <w:proofErr w:type="spellStart"/>
      <w:r w:rsidRPr="003B0233">
        <w:rPr>
          <w:rFonts w:ascii="Times New Roman" w:hAnsi="Times New Roman" w:cs="Times New Roman"/>
          <w:lang w:val="es-ES"/>
        </w:rPr>
        <w:t>Autoregresivo</w:t>
      </w:r>
      <w:proofErr w:type="spellEnd"/>
      <w:r w:rsidRPr="003B0233">
        <w:rPr>
          <w:rFonts w:ascii="Times New Roman" w:hAnsi="Times New Roman" w:cs="Times New Roman"/>
          <w:lang w:val="es-ES"/>
        </w:rPr>
        <w:t xml:space="preserve">). Se observa que la proyección sigue una trayectoria coherente con la tendencia reciente de la serie histórica, sin presentar valores atípicos ni cambios abruptos. Esto indica que el modelo ha logrado capturar adecuadamente la dinámica temporal del índice, basándose en la relación entre sus propios rezagos y los de las demás variables del sistema. La suavidad y continuidad de la curva pronosticada refuerzan la fiabilidad del modelo, ya que evita fluctuaciones extremas no respaldadas por los datos históricos. </w:t>
      </w:r>
    </w:p>
    <w:p w14:paraId="39396653" w14:textId="77777777" w:rsidR="003B0233" w:rsidRPr="003B0233" w:rsidRDefault="003B0233" w:rsidP="00C67E53">
      <w:pPr>
        <w:pStyle w:val="NormalWeb"/>
        <w:rPr>
          <w:lang w:val="es-ES"/>
        </w:rPr>
      </w:pPr>
    </w:p>
    <w:p w14:paraId="505EA8E8" w14:textId="49C1E09D" w:rsidR="00AA45E2" w:rsidRPr="003B0233" w:rsidRDefault="003B0233" w:rsidP="003B0233">
      <w:pPr>
        <w:pStyle w:val="NormalWeb"/>
        <w:jc w:val="both"/>
        <w:rPr>
          <w:lang w:val="es-ES"/>
        </w:rPr>
      </w:pPr>
      <w:r w:rsidRPr="003B0233">
        <w:rPr>
          <w:lang w:val="es-ES"/>
        </w:rPr>
        <w:t>Ambos modelos, VAR y ARDL, presentan fortalezas y limitaciones que dependen estrechamente de la naturaleza de las series temporales y las técnicas aplicadas. El modelo VAR, al requerir series estacionarias y diferenciar previamente las variables, es especialmente adecuado para capturar dinámicas multivariadas complejas y relaciones interdependientes entre todas las variables, lo que se refleja en su mejor desempeño predictivo en este caso. Sin embargo, su necesidad de estacionariedad y sensibilidad a la especificación de rezagos puede limitar su uso en series con propiedades heterogéneas. Por otro lado, el modelo ARDL ofrece una mayor flexibilidad al permitir variables integradas de distinto orden sin requerir diferenciación estricta, facilitando la estimación de efectos de corto y largo plazo, lo cual es útil en contextos con muestras pequeñas y series mixtas en integración. No obstante, su desempeño puede verse afectado cuando las relaciones dinámicas entre variables son complejas o cuando la dinámica conjunta es dominante, como ocurrió en este análisis. En resumen, la elección del modelo debe basarse en la estructura estadística de los datos y el objetivo del análisis, siendo VAR más idóneo para relaciones dinámicas multivariadas y ARDL para análisis más focalizados en relaciones a diferentes horizontes temporales con series de integración mixta.</w:t>
      </w:r>
    </w:p>
    <w:sectPr w:rsidR="00AA45E2" w:rsidRPr="003B0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D7B59" w14:textId="77777777" w:rsidR="00500271" w:rsidRDefault="00500271" w:rsidP="001D3D66">
      <w:pPr>
        <w:spacing w:after="0" w:line="240" w:lineRule="auto"/>
      </w:pPr>
      <w:r>
        <w:separator/>
      </w:r>
    </w:p>
  </w:endnote>
  <w:endnote w:type="continuationSeparator" w:id="0">
    <w:p w14:paraId="53390D6A" w14:textId="77777777" w:rsidR="00500271" w:rsidRDefault="00500271" w:rsidP="001D3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F602E" w14:textId="77777777" w:rsidR="00500271" w:rsidRDefault="00500271" w:rsidP="001D3D66">
      <w:pPr>
        <w:spacing w:after="0" w:line="240" w:lineRule="auto"/>
      </w:pPr>
      <w:r>
        <w:separator/>
      </w:r>
    </w:p>
  </w:footnote>
  <w:footnote w:type="continuationSeparator" w:id="0">
    <w:p w14:paraId="70F02FB1" w14:textId="77777777" w:rsidR="00500271" w:rsidRDefault="00500271" w:rsidP="001D3D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50CE7"/>
    <w:multiLevelType w:val="multilevel"/>
    <w:tmpl w:val="DBDC1D9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 w15:restartNumberingAfterBreak="0">
    <w:nsid w:val="030034E3"/>
    <w:multiLevelType w:val="multilevel"/>
    <w:tmpl w:val="2A9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92E96"/>
    <w:multiLevelType w:val="multilevel"/>
    <w:tmpl w:val="EDA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20D11"/>
    <w:multiLevelType w:val="multilevel"/>
    <w:tmpl w:val="EB9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04C3C"/>
    <w:multiLevelType w:val="multilevel"/>
    <w:tmpl w:val="AB9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D2224"/>
    <w:multiLevelType w:val="multilevel"/>
    <w:tmpl w:val="F91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9047D"/>
    <w:multiLevelType w:val="hybridMultilevel"/>
    <w:tmpl w:val="6206F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9D4C24"/>
    <w:multiLevelType w:val="multilevel"/>
    <w:tmpl w:val="728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015B3"/>
    <w:multiLevelType w:val="multilevel"/>
    <w:tmpl w:val="731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F0C31"/>
    <w:multiLevelType w:val="multilevel"/>
    <w:tmpl w:val="E138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622B7"/>
    <w:multiLevelType w:val="multilevel"/>
    <w:tmpl w:val="FAF4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00647"/>
    <w:multiLevelType w:val="hybridMultilevel"/>
    <w:tmpl w:val="0562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463F6"/>
    <w:multiLevelType w:val="hybridMultilevel"/>
    <w:tmpl w:val="2CC26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9F2660"/>
    <w:multiLevelType w:val="multilevel"/>
    <w:tmpl w:val="C602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22DD4"/>
    <w:multiLevelType w:val="multilevel"/>
    <w:tmpl w:val="CB8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93D22"/>
    <w:multiLevelType w:val="multilevel"/>
    <w:tmpl w:val="F886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430484">
    <w:abstractNumId w:val="0"/>
  </w:num>
  <w:num w:numId="2" w16cid:durableId="930092233">
    <w:abstractNumId w:val="6"/>
  </w:num>
  <w:num w:numId="3" w16cid:durableId="1199509196">
    <w:abstractNumId w:val="12"/>
  </w:num>
  <w:num w:numId="4" w16cid:durableId="1921869400">
    <w:abstractNumId w:val="9"/>
  </w:num>
  <w:num w:numId="5" w16cid:durableId="485630008">
    <w:abstractNumId w:val="1"/>
  </w:num>
  <w:num w:numId="6" w16cid:durableId="1705133936">
    <w:abstractNumId w:val="5"/>
  </w:num>
  <w:num w:numId="7" w16cid:durableId="768696847">
    <w:abstractNumId w:val="13"/>
  </w:num>
  <w:num w:numId="8" w16cid:durableId="1261258522">
    <w:abstractNumId w:val="8"/>
  </w:num>
  <w:num w:numId="9" w16cid:durableId="1081217036">
    <w:abstractNumId w:val="15"/>
  </w:num>
  <w:num w:numId="10" w16cid:durableId="1003121843">
    <w:abstractNumId w:val="7"/>
  </w:num>
  <w:num w:numId="11" w16cid:durableId="480073415">
    <w:abstractNumId w:val="10"/>
  </w:num>
  <w:num w:numId="12" w16cid:durableId="1077289008">
    <w:abstractNumId w:val="2"/>
  </w:num>
  <w:num w:numId="13" w16cid:durableId="810174580">
    <w:abstractNumId w:val="11"/>
  </w:num>
  <w:num w:numId="14" w16cid:durableId="897403245">
    <w:abstractNumId w:val="3"/>
  </w:num>
  <w:num w:numId="15" w16cid:durableId="659432976">
    <w:abstractNumId w:val="4"/>
  </w:num>
  <w:num w:numId="16" w16cid:durableId="15601649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66"/>
    <w:rsid w:val="00020F50"/>
    <w:rsid w:val="00050E8F"/>
    <w:rsid w:val="000813BE"/>
    <w:rsid w:val="000B15F7"/>
    <w:rsid w:val="00123236"/>
    <w:rsid w:val="001D3D66"/>
    <w:rsid w:val="00280B41"/>
    <w:rsid w:val="002970E1"/>
    <w:rsid w:val="002E23FF"/>
    <w:rsid w:val="00342C82"/>
    <w:rsid w:val="003A0A2B"/>
    <w:rsid w:val="003B0233"/>
    <w:rsid w:val="004A5671"/>
    <w:rsid w:val="00500271"/>
    <w:rsid w:val="00512364"/>
    <w:rsid w:val="0066064C"/>
    <w:rsid w:val="0066656B"/>
    <w:rsid w:val="007023C1"/>
    <w:rsid w:val="007A3C16"/>
    <w:rsid w:val="007E4C13"/>
    <w:rsid w:val="00A064B0"/>
    <w:rsid w:val="00A61D03"/>
    <w:rsid w:val="00AA45E2"/>
    <w:rsid w:val="00B4525C"/>
    <w:rsid w:val="00B853A7"/>
    <w:rsid w:val="00C67E53"/>
    <w:rsid w:val="00C84B7B"/>
    <w:rsid w:val="00CE667B"/>
    <w:rsid w:val="00F35B37"/>
    <w:rsid w:val="00FA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2C46"/>
  <w15:chartTrackingRefBased/>
  <w15:docId w15:val="{A3FBA8BD-8149-B642-B673-E0819EE0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D66"/>
    <w:rPr>
      <w:rFonts w:eastAsiaTheme="majorEastAsia" w:cstheme="majorBidi"/>
      <w:color w:val="272727" w:themeColor="text1" w:themeTint="D8"/>
    </w:rPr>
  </w:style>
  <w:style w:type="paragraph" w:styleId="Title">
    <w:name w:val="Title"/>
    <w:basedOn w:val="Normal"/>
    <w:next w:val="Normal"/>
    <w:link w:val="TitleChar"/>
    <w:uiPriority w:val="10"/>
    <w:qFormat/>
    <w:rsid w:val="001D3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D66"/>
    <w:pPr>
      <w:spacing w:before="160"/>
      <w:jc w:val="center"/>
    </w:pPr>
    <w:rPr>
      <w:i/>
      <w:iCs/>
      <w:color w:val="404040" w:themeColor="text1" w:themeTint="BF"/>
    </w:rPr>
  </w:style>
  <w:style w:type="character" w:customStyle="1" w:styleId="QuoteChar">
    <w:name w:val="Quote Char"/>
    <w:basedOn w:val="DefaultParagraphFont"/>
    <w:link w:val="Quote"/>
    <w:uiPriority w:val="29"/>
    <w:rsid w:val="001D3D66"/>
    <w:rPr>
      <w:i/>
      <w:iCs/>
      <w:color w:val="404040" w:themeColor="text1" w:themeTint="BF"/>
    </w:rPr>
  </w:style>
  <w:style w:type="paragraph" w:styleId="ListParagraph">
    <w:name w:val="List Paragraph"/>
    <w:basedOn w:val="Normal"/>
    <w:uiPriority w:val="34"/>
    <w:qFormat/>
    <w:rsid w:val="001D3D66"/>
    <w:pPr>
      <w:ind w:left="720"/>
      <w:contextualSpacing/>
    </w:pPr>
  </w:style>
  <w:style w:type="character" w:styleId="IntenseEmphasis">
    <w:name w:val="Intense Emphasis"/>
    <w:basedOn w:val="DefaultParagraphFont"/>
    <w:uiPriority w:val="21"/>
    <w:qFormat/>
    <w:rsid w:val="001D3D66"/>
    <w:rPr>
      <w:i/>
      <w:iCs/>
      <w:color w:val="0F4761" w:themeColor="accent1" w:themeShade="BF"/>
    </w:rPr>
  </w:style>
  <w:style w:type="paragraph" w:styleId="IntenseQuote">
    <w:name w:val="Intense Quote"/>
    <w:basedOn w:val="Normal"/>
    <w:next w:val="Normal"/>
    <w:link w:val="IntenseQuoteChar"/>
    <w:uiPriority w:val="30"/>
    <w:qFormat/>
    <w:rsid w:val="001D3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D66"/>
    <w:rPr>
      <w:i/>
      <w:iCs/>
      <w:color w:val="0F4761" w:themeColor="accent1" w:themeShade="BF"/>
    </w:rPr>
  </w:style>
  <w:style w:type="character" w:styleId="IntenseReference">
    <w:name w:val="Intense Reference"/>
    <w:basedOn w:val="DefaultParagraphFont"/>
    <w:uiPriority w:val="32"/>
    <w:qFormat/>
    <w:rsid w:val="001D3D66"/>
    <w:rPr>
      <w:b/>
      <w:bCs/>
      <w:smallCaps/>
      <w:color w:val="0F4761" w:themeColor="accent1" w:themeShade="BF"/>
      <w:spacing w:val="5"/>
    </w:rPr>
  </w:style>
  <w:style w:type="paragraph" w:styleId="Header">
    <w:name w:val="header"/>
    <w:basedOn w:val="Normal"/>
    <w:link w:val="HeaderChar"/>
    <w:uiPriority w:val="99"/>
    <w:unhideWhenUsed/>
    <w:rsid w:val="001D3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D66"/>
  </w:style>
  <w:style w:type="paragraph" w:styleId="Footer">
    <w:name w:val="footer"/>
    <w:basedOn w:val="Normal"/>
    <w:link w:val="FooterChar"/>
    <w:uiPriority w:val="99"/>
    <w:unhideWhenUsed/>
    <w:rsid w:val="001D3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D66"/>
  </w:style>
  <w:style w:type="character" w:styleId="Strong">
    <w:name w:val="Strong"/>
    <w:basedOn w:val="DefaultParagraphFont"/>
    <w:uiPriority w:val="22"/>
    <w:qFormat/>
    <w:rsid w:val="001D3D66"/>
    <w:rPr>
      <w:b/>
      <w:bCs/>
    </w:rPr>
  </w:style>
  <w:style w:type="paragraph" w:styleId="NormalWeb">
    <w:name w:val="Normal (Web)"/>
    <w:basedOn w:val="Normal"/>
    <w:uiPriority w:val="99"/>
    <w:unhideWhenUsed/>
    <w:rsid w:val="002E23F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Caption">
    <w:name w:val="caption"/>
    <w:basedOn w:val="Normal"/>
    <w:next w:val="Normal"/>
    <w:uiPriority w:val="35"/>
    <w:semiHidden/>
    <w:unhideWhenUsed/>
    <w:qFormat/>
    <w:rsid w:val="002E23FF"/>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7023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4018">
      <w:bodyDiv w:val="1"/>
      <w:marLeft w:val="0"/>
      <w:marRight w:val="0"/>
      <w:marTop w:val="0"/>
      <w:marBottom w:val="0"/>
      <w:divBdr>
        <w:top w:val="none" w:sz="0" w:space="0" w:color="auto"/>
        <w:left w:val="none" w:sz="0" w:space="0" w:color="auto"/>
        <w:bottom w:val="none" w:sz="0" w:space="0" w:color="auto"/>
        <w:right w:val="none" w:sz="0" w:space="0" w:color="auto"/>
      </w:divBdr>
    </w:div>
    <w:div w:id="176425644">
      <w:bodyDiv w:val="1"/>
      <w:marLeft w:val="0"/>
      <w:marRight w:val="0"/>
      <w:marTop w:val="0"/>
      <w:marBottom w:val="0"/>
      <w:divBdr>
        <w:top w:val="none" w:sz="0" w:space="0" w:color="auto"/>
        <w:left w:val="none" w:sz="0" w:space="0" w:color="auto"/>
        <w:bottom w:val="none" w:sz="0" w:space="0" w:color="auto"/>
        <w:right w:val="none" w:sz="0" w:space="0" w:color="auto"/>
      </w:divBdr>
    </w:div>
    <w:div w:id="591013828">
      <w:bodyDiv w:val="1"/>
      <w:marLeft w:val="0"/>
      <w:marRight w:val="0"/>
      <w:marTop w:val="0"/>
      <w:marBottom w:val="0"/>
      <w:divBdr>
        <w:top w:val="none" w:sz="0" w:space="0" w:color="auto"/>
        <w:left w:val="none" w:sz="0" w:space="0" w:color="auto"/>
        <w:bottom w:val="none" w:sz="0" w:space="0" w:color="auto"/>
        <w:right w:val="none" w:sz="0" w:space="0" w:color="auto"/>
      </w:divBdr>
    </w:div>
    <w:div w:id="607784351">
      <w:bodyDiv w:val="1"/>
      <w:marLeft w:val="0"/>
      <w:marRight w:val="0"/>
      <w:marTop w:val="0"/>
      <w:marBottom w:val="0"/>
      <w:divBdr>
        <w:top w:val="none" w:sz="0" w:space="0" w:color="auto"/>
        <w:left w:val="none" w:sz="0" w:space="0" w:color="auto"/>
        <w:bottom w:val="none" w:sz="0" w:space="0" w:color="auto"/>
        <w:right w:val="none" w:sz="0" w:space="0" w:color="auto"/>
      </w:divBdr>
    </w:div>
    <w:div w:id="672683378">
      <w:bodyDiv w:val="1"/>
      <w:marLeft w:val="0"/>
      <w:marRight w:val="0"/>
      <w:marTop w:val="0"/>
      <w:marBottom w:val="0"/>
      <w:divBdr>
        <w:top w:val="none" w:sz="0" w:space="0" w:color="auto"/>
        <w:left w:val="none" w:sz="0" w:space="0" w:color="auto"/>
        <w:bottom w:val="none" w:sz="0" w:space="0" w:color="auto"/>
        <w:right w:val="none" w:sz="0" w:space="0" w:color="auto"/>
      </w:divBdr>
    </w:div>
    <w:div w:id="993146355">
      <w:bodyDiv w:val="1"/>
      <w:marLeft w:val="0"/>
      <w:marRight w:val="0"/>
      <w:marTop w:val="0"/>
      <w:marBottom w:val="0"/>
      <w:divBdr>
        <w:top w:val="none" w:sz="0" w:space="0" w:color="auto"/>
        <w:left w:val="none" w:sz="0" w:space="0" w:color="auto"/>
        <w:bottom w:val="none" w:sz="0" w:space="0" w:color="auto"/>
        <w:right w:val="none" w:sz="0" w:space="0" w:color="auto"/>
      </w:divBdr>
    </w:div>
    <w:div w:id="1005287470">
      <w:bodyDiv w:val="1"/>
      <w:marLeft w:val="0"/>
      <w:marRight w:val="0"/>
      <w:marTop w:val="0"/>
      <w:marBottom w:val="0"/>
      <w:divBdr>
        <w:top w:val="none" w:sz="0" w:space="0" w:color="auto"/>
        <w:left w:val="none" w:sz="0" w:space="0" w:color="auto"/>
        <w:bottom w:val="none" w:sz="0" w:space="0" w:color="auto"/>
        <w:right w:val="none" w:sz="0" w:space="0" w:color="auto"/>
      </w:divBdr>
    </w:div>
    <w:div w:id="1079790187">
      <w:bodyDiv w:val="1"/>
      <w:marLeft w:val="0"/>
      <w:marRight w:val="0"/>
      <w:marTop w:val="0"/>
      <w:marBottom w:val="0"/>
      <w:divBdr>
        <w:top w:val="none" w:sz="0" w:space="0" w:color="auto"/>
        <w:left w:val="none" w:sz="0" w:space="0" w:color="auto"/>
        <w:bottom w:val="none" w:sz="0" w:space="0" w:color="auto"/>
        <w:right w:val="none" w:sz="0" w:space="0" w:color="auto"/>
      </w:divBdr>
    </w:div>
    <w:div w:id="1104767636">
      <w:bodyDiv w:val="1"/>
      <w:marLeft w:val="0"/>
      <w:marRight w:val="0"/>
      <w:marTop w:val="0"/>
      <w:marBottom w:val="0"/>
      <w:divBdr>
        <w:top w:val="none" w:sz="0" w:space="0" w:color="auto"/>
        <w:left w:val="none" w:sz="0" w:space="0" w:color="auto"/>
        <w:bottom w:val="none" w:sz="0" w:space="0" w:color="auto"/>
        <w:right w:val="none" w:sz="0" w:space="0" w:color="auto"/>
      </w:divBdr>
    </w:div>
    <w:div w:id="1256985130">
      <w:bodyDiv w:val="1"/>
      <w:marLeft w:val="0"/>
      <w:marRight w:val="0"/>
      <w:marTop w:val="0"/>
      <w:marBottom w:val="0"/>
      <w:divBdr>
        <w:top w:val="none" w:sz="0" w:space="0" w:color="auto"/>
        <w:left w:val="none" w:sz="0" w:space="0" w:color="auto"/>
        <w:bottom w:val="none" w:sz="0" w:space="0" w:color="auto"/>
        <w:right w:val="none" w:sz="0" w:space="0" w:color="auto"/>
      </w:divBdr>
    </w:div>
    <w:div w:id="1294170515">
      <w:bodyDiv w:val="1"/>
      <w:marLeft w:val="0"/>
      <w:marRight w:val="0"/>
      <w:marTop w:val="0"/>
      <w:marBottom w:val="0"/>
      <w:divBdr>
        <w:top w:val="none" w:sz="0" w:space="0" w:color="auto"/>
        <w:left w:val="none" w:sz="0" w:space="0" w:color="auto"/>
        <w:bottom w:val="none" w:sz="0" w:space="0" w:color="auto"/>
        <w:right w:val="none" w:sz="0" w:space="0" w:color="auto"/>
      </w:divBdr>
    </w:div>
    <w:div w:id="1415392964">
      <w:bodyDiv w:val="1"/>
      <w:marLeft w:val="0"/>
      <w:marRight w:val="0"/>
      <w:marTop w:val="0"/>
      <w:marBottom w:val="0"/>
      <w:divBdr>
        <w:top w:val="none" w:sz="0" w:space="0" w:color="auto"/>
        <w:left w:val="none" w:sz="0" w:space="0" w:color="auto"/>
        <w:bottom w:val="none" w:sz="0" w:space="0" w:color="auto"/>
        <w:right w:val="none" w:sz="0" w:space="0" w:color="auto"/>
      </w:divBdr>
    </w:div>
    <w:div w:id="1482843999">
      <w:bodyDiv w:val="1"/>
      <w:marLeft w:val="0"/>
      <w:marRight w:val="0"/>
      <w:marTop w:val="0"/>
      <w:marBottom w:val="0"/>
      <w:divBdr>
        <w:top w:val="none" w:sz="0" w:space="0" w:color="auto"/>
        <w:left w:val="none" w:sz="0" w:space="0" w:color="auto"/>
        <w:bottom w:val="none" w:sz="0" w:space="0" w:color="auto"/>
        <w:right w:val="none" w:sz="0" w:space="0" w:color="auto"/>
      </w:divBdr>
    </w:div>
    <w:div w:id="1518693453">
      <w:bodyDiv w:val="1"/>
      <w:marLeft w:val="0"/>
      <w:marRight w:val="0"/>
      <w:marTop w:val="0"/>
      <w:marBottom w:val="0"/>
      <w:divBdr>
        <w:top w:val="none" w:sz="0" w:space="0" w:color="auto"/>
        <w:left w:val="none" w:sz="0" w:space="0" w:color="auto"/>
        <w:bottom w:val="none" w:sz="0" w:space="0" w:color="auto"/>
        <w:right w:val="none" w:sz="0" w:space="0" w:color="auto"/>
      </w:divBdr>
    </w:div>
    <w:div w:id="1587807586">
      <w:bodyDiv w:val="1"/>
      <w:marLeft w:val="0"/>
      <w:marRight w:val="0"/>
      <w:marTop w:val="0"/>
      <w:marBottom w:val="0"/>
      <w:divBdr>
        <w:top w:val="none" w:sz="0" w:space="0" w:color="auto"/>
        <w:left w:val="none" w:sz="0" w:space="0" w:color="auto"/>
        <w:bottom w:val="none" w:sz="0" w:space="0" w:color="auto"/>
        <w:right w:val="none" w:sz="0" w:space="0" w:color="auto"/>
      </w:divBdr>
    </w:div>
    <w:div w:id="1996369650">
      <w:bodyDiv w:val="1"/>
      <w:marLeft w:val="0"/>
      <w:marRight w:val="0"/>
      <w:marTop w:val="0"/>
      <w:marBottom w:val="0"/>
      <w:divBdr>
        <w:top w:val="none" w:sz="0" w:space="0" w:color="auto"/>
        <w:left w:val="none" w:sz="0" w:space="0" w:color="auto"/>
        <w:bottom w:val="none" w:sz="0" w:space="0" w:color="auto"/>
        <w:right w:val="none" w:sz="0" w:space="0" w:color="auto"/>
      </w:divBdr>
    </w:div>
    <w:div w:id="2101369339">
      <w:bodyDiv w:val="1"/>
      <w:marLeft w:val="0"/>
      <w:marRight w:val="0"/>
      <w:marTop w:val="0"/>
      <w:marBottom w:val="0"/>
      <w:divBdr>
        <w:top w:val="none" w:sz="0" w:space="0" w:color="auto"/>
        <w:left w:val="none" w:sz="0" w:space="0" w:color="auto"/>
        <w:bottom w:val="none" w:sz="0" w:space="0" w:color="auto"/>
        <w:right w:val="none" w:sz="0" w:space="0" w:color="auto"/>
      </w:divBdr>
    </w:div>
    <w:div w:id="210260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AEA6A-9930-E24D-BE42-39A134AB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Oscar Camilo /ES Opella</dc:creator>
  <cp:keywords/>
  <dc:description/>
  <cp:lastModifiedBy>Alvarez, Oscar Camilo /ES Opella</cp:lastModifiedBy>
  <cp:revision>12</cp:revision>
  <dcterms:created xsi:type="dcterms:W3CDTF">2025-05-09T14:34:00Z</dcterms:created>
  <dcterms:modified xsi:type="dcterms:W3CDTF">2025-05-22T14:37:00Z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88468-0951-4aef-9cc3-0a346e475ddc_Enabled">
    <vt:lpwstr>true</vt:lpwstr>
  </property>
  <property fmtid="{D5CDD505-2E9C-101B-9397-08002B2CF9AE}" pid="3" name="MSIP_Label_d9088468-0951-4aef-9cc3-0a346e475ddc_SetDate">
    <vt:lpwstr>2025-05-09T14:59:44Z</vt:lpwstr>
  </property>
  <property fmtid="{D5CDD505-2E9C-101B-9397-08002B2CF9AE}" pid="4" name="MSIP_Label_d9088468-0951-4aef-9cc3-0a346e475ddc_Method">
    <vt:lpwstr>Privileged</vt:lpwstr>
  </property>
  <property fmtid="{D5CDD505-2E9C-101B-9397-08002B2CF9AE}" pid="5" name="MSIP_Label_d9088468-0951-4aef-9cc3-0a346e475ddc_Name">
    <vt:lpwstr>Public</vt:lpwstr>
  </property>
  <property fmtid="{D5CDD505-2E9C-101B-9397-08002B2CF9AE}" pid="6" name="MSIP_Label_d9088468-0951-4aef-9cc3-0a346e475ddc_SiteId">
    <vt:lpwstr>aca3c8d6-aa71-4e1a-a10e-03572fc58c0b</vt:lpwstr>
  </property>
  <property fmtid="{D5CDD505-2E9C-101B-9397-08002B2CF9AE}" pid="7" name="MSIP_Label_d9088468-0951-4aef-9cc3-0a346e475ddc_ActionId">
    <vt:lpwstr>95552f59-94a8-4b9f-9758-2c74bc0d636f</vt:lpwstr>
  </property>
  <property fmtid="{D5CDD505-2E9C-101B-9397-08002B2CF9AE}" pid="8" name="MSIP_Label_d9088468-0951-4aef-9cc3-0a346e475ddc_ContentBits">
    <vt:lpwstr>0</vt:lpwstr>
  </property>
  <property fmtid="{D5CDD505-2E9C-101B-9397-08002B2CF9AE}" pid="9" name="MSIP_Label_d9088468-0951-4aef-9cc3-0a346e475ddc_Tag">
    <vt:lpwstr>50, 0, 1, 1</vt:lpwstr>
  </property>
</Properties>
</file>