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pBdr>
          <w:top w:color="auto" w:space="11" w:sz="2" w:val="single"/>
        </w:pBdr>
        <w:shd w:fill="ffffff" w:val="clear"/>
        <w:spacing w:after="160" w:before="300" w:line="264" w:lineRule="auto"/>
        <w:contextualSpacing w:val="0"/>
        <w:rPr>
          <w:b w:val="1"/>
          <w:color w:val="525a5e"/>
          <w:sz w:val="38"/>
          <w:szCs w:val="38"/>
        </w:rPr>
      </w:pPr>
      <w:bookmarkStart w:colFirst="0" w:colLast="0" w:name="_ohsv3m6isba3" w:id="0"/>
      <w:bookmarkEnd w:id="0"/>
      <w:r w:rsidDel="00000000" w:rsidR="00000000" w:rsidRPr="00000000">
        <w:rPr>
          <w:b w:val="1"/>
          <w:color w:val="525a5e"/>
          <w:sz w:val="38"/>
          <w:szCs w:val="38"/>
          <w:rtl w:val="0"/>
        </w:rPr>
        <w:t xml:space="preserve">Advertising Testing</w:t>
      </w:r>
    </w:p>
    <w:p w:rsidR="00000000" w:rsidDel="00000000" w:rsidP="00000000" w:rsidRDefault="00000000" w:rsidRPr="00000000">
      <w:pPr>
        <w:shd w:fill="ffffff" w:val="clear"/>
        <w:spacing w:after="160" w:before="300" w:lineRule="auto"/>
        <w:contextualSpacing w:val="0"/>
        <w:rPr>
          <w:color w:val="525a5e"/>
          <w:sz w:val="27"/>
          <w:szCs w:val="27"/>
        </w:rPr>
      </w:pPr>
      <w:r w:rsidDel="00000000" w:rsidR="00000000" w:rsidRPr="00000000">
        <w:rPr>
          <w:color w:val="525a5e"/>
          <w:sz w:val="27"/>
          <w:szCs w:val="27"/>
          <w:rtl w:val="0"/>
        </w:rPr>
        <w:t xml:space="preserve">Like product testing, tests of your advertising campaigns can save you valuable time and resources. By taking potential campaigns directly to your audience and gauging their response you can focus on creating truly impactful advertising.</w:t>
      </w:r>
    </w:p>
    <w:p w:rsidR="00000000" w:rsidDel="00000000" w:rsidP="00000000" w:rsidRDefault="00000000" w:rsidRPr="00000000">
      <w:pPr>
        <w:contextualSpacing w:val="0"/>
        <w:rPr/>
      </w:pPr>
      <w:r w:rsidDel="00000000" w:rsidR="00000000" w:rsidRPr="00000000">
        <w:rPr>
          <w:rtl w:val="0"/>
        </w:rPr>
      </w:r>
    </w:p>
    <w:sectPr>
      <w:pgSz w:h="12240" w:w="158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