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F5993" w14:textId="1A014582" w:rsidR="00EA3E2B" w:rsidRPr="00BD51BF" w:rsidRDefault="00EA3E2B" w:rsidP="00EA3E2B">
      <w:pPr>
        <w:pStyle w:val="CPTInstructional"/>
        <w:jc w:val="center"/>
        <w:rPr>
          <w:b/>
          <w:bCs/>
          <w:lang w:val="en-GB"/>
        </w:rPr>
      </w:pPr>
      <w:bookmarkStart w:id="0" w:name="_Toc390276025"/>
      <w:bookmarkStart w:id="1" w:name="_Ref379895197"/>
      <w:bookmarkStart w:id="2" w:name="_Ref379895204"/>
      <w:bookmarkStart w:id="3" w:name="_Toc518466184"/>
      <w:bookmarkStart w:id="4" w:name="_Toc421709296"/>
      <w:bookmarkStart w:id="5" w:name="_Toc497118844"/>
      <w:bookmarkStart w:id="6" w:name="_Toc477961659"/>
      <w:bookmarkStart w:id="7" w:name="_Toc518655995"/>
      <w:bookmarkStart w:id="8" w:name="_Toc521400487"/>
      <w:bookmarkEnd w:id="0"/>
      <w:bookmarkEnd w:id="1"/>
      <w:bookmarkEnd w:id="2"/>
      <w:bookmarkEnd w:id="3"/>
      <w:bookmarkEnd w:id="4"/>
      <w:bookmarkEnd w:id="5"/>
      <w:bookmarkEnd w:id="6"/>
      <w:bookmarkEnd w:id="7"/>
      <w:bookmarkEnd w:id="8"/>
      <w:r w:rsidRPr="00BD51BF">
        <w:rPr>
          <w:rStyle w:val="DateChar"/>
          <w:lang w:val="en-GB"/>
        </w:rPr>
        <w:t>C</w:t>
      </w:r>
      <w:r w:rsidRPr="00BD51BF">
        <w:rPr>
          <w:b/>
          <w:bCs/>
          <w:lang w:val="en-GB"/>
        </w:rPr>
        <w:t>ommon Statistical Analysis Plan Template v</w:t>
      </w:r>
      <w:r w:rsidR="006A0BDE" w:rsidRPr="00BD51BF">
        <w:rPr>
          <w:b/>
          <w:bCs/>
          <w:lang w:val="en-GB"/>
        </w:rPr>
        <w:t>5</w:t>
      </w:r>
    </w:p>
    <w:p w14:paraId="711C296D" w14:textId="77777777" w:rsidR="00EA3E2B" w:rsidRPr="00BD51BF" w:rsidRDefault="00EA3E2B" w:rsidP="0048507C">
      <w:pPr>
        <w:pStyle w:val="CPTInstructional"/>
        <w:jc w:val="center"/>
        <w:rPr>
          <w:b/>
          <w:bCs/>
          <w:lang w:val="en-GB"/>
        </w:rPr>
      </w:pPr>
      <w:r w:rsidRPr="00BD51BF">
        <w:rPr>
          <w:b/>
          <w:bCs/>
          <w:lang w:val="en-GB"/>
        </w:rPr>
        <w:t>About This Template</w:t>
      </w:r>
    </w:p>
    <w:p w14:paraId="6E275B31" w14:textId="77777777" w:rsidR="006D4E72" w:rsidRPr="00BD51BF" w:rsidRDefault="006D4E72" w:rsidP="0048507C">
      <w:pPr>
        <w:pStyle w:val="CPTInstructional"/>
        <w:jc w:val="center"/>
        <w:rPr>
          <w:b/>
          <w:bCs/>
          <w:lang w:val="en-GB"/>
        </w:rPr>
      </w:pPr>
    </w:p>
    <w:p w14:paraId="606E304F" w14:textId="77777777" w:rsidR="00EA3E2B" w:rsidRPr="00BD51BF" w:rsidRDefault="00EA3E2B" w:rsidP="00C84EAF">
      <w:pPr>
        <w:pStyle w:val="CPTInstructional"/>
        <w:rPr>
          <w:b/>
          <w:bCs/>
          <w:lang w:val="en-GB"/>
        </w:rPr>
      </w:pPr>
      <w:r w:rsidRPr="00BD51BF">
        <w:rPr>
          <w:b/>
          <w:bCs/>
          <w:lang w:val="en-GB"/>
        </w:rPr>
        <w:t>Disclaimer</w:t>
      </w:r>
    </w:p>
    <w:p w14:paraId="6A7E69CE" w14:textId="199C9EC1" w:rsidR="00483AB0" w:rsidRPr="00BD51BF" w:rsidRDefault="00EA3E2B" w:rsidP="00C84EAF">
      <w:pPr>
        <w:pStyle w:val="CPTInstructional"/>
        <w:rPr>
          <w:lang w:val="en-GB"/>
        </w:rPr>
      </w:pPr>
      <w:r w:rsidRPr="00BD51BF">
        <w:rPr>
          <w:lang w:val="en-GB"/>
        </w:rPr>
        <w:t xml:space="preserve">This document is a template for a </w:t>
      </w:r>
      <w:r w:rsidR="00940C72" w:rsidRPr="00BD51BF">
        <w:rPr>
          <w:lang w:val="en-GB"/>
        </w:rPr>
        <w:t>statistical analysis plan (SAP)</w:t>
      </w:r>
      <w:r w:rsidRPr="00BD51BF">
        <w:rPr>
          <w:lang w:val="en-GB"/>
        </w:rPr>
        <w:t>. It contains sections marked as common text that may be used across SAPs with little to no editing if the user chooses to do so. The use of this template is at the discretion of the user. Recommendations for modifications in future releases of the common SAP template can be submitted at any time and will be reviewed on a routine basis.</w:t>
      </w:r>
    </w:p>
    <w:p w14:paraId="7F3E0801" w14:textId="430EF242" w:rsidR="00EA3E2B" w:rsidRPr="00BD51BF" w:rsidRDefault="00EA3E2B" w:rsidP="00C84EAF">
      <w:pPr>
        <w:pStyle w:val="CPTInstructional"/>
        <w:rPr>
          <w:lang w:val="en-GB"/>
        </w:rPr>
      </w:pPr>
      <w:r w:rsidRPr="00BD51BF">
        <w:rPr>
          <w:lang w:val="en-GB"/>
        </w:rPr>
        <w:t xml:space="preserve">These materials are provided AS IS WITHOUT WARRANTY OF ANY KIND, EITHER EXPRESSED OR IMPLIED, INCLUDING, BUT NOT LIMITED TO, THE IMPLIED WARRANTIES OF MERCHANTABILITY, FITNESS FOR A PARTICULAR PURPOSE, OR NONINFRINGEMENT. TransCelerate and its members do not accept any responsibility for any loss of any kind including loss of revenue, business, anticipated savings or profits, loss of goodwill or data, or for any indirect consequential loss whatsoever to any person using these materials or acting or refraining from action as a result of the information contained in these materials. Any party using these materials bears sole and complete responsibility for ensuring that the materials, whether modified or not, are suitable for the particular use and are accurate, current, commercially reasonable under the circumstances, and comply with all applicable laws and regulations. </w:t>
      </w:r>
    </w:p>
    <w:p w14:paraId="09C6171C" w14:textId="77777777" w:rsidR="00EA3E2B" w:rsidRPr="00BD51BF" w:rsidRDefault="00EA3E2B" w:rsidP="00C84EAF">
      <w:pPr>
        <w:pStyle w:val="CPTInstructional"/>
        <w:rPr>
          <w:lang w:val="en-GB"/>
        </w:rPr>
      </w:pPr>
      <w:r w:rsidRPr="00BD51BF">
        <w:rPr>
          <w:lang w:val="en-GB"/>
        </w:rPr>
        <w:t>Nothing in this template should be construed to represent or warrant that persons using this template have complied with all applicable laws and regulations. All individuals and organizations using this template bear responsibility for complying with the applicable laws and regulations for the relevant jurisdiction.</w:t>
      </w:r>
    </w:p>
    <w:p w14:paraId="0F7153AF" w14:textId="77777777" w:rsidR="00EA3E2B" w:rsidRPr="00BD51BF" w:rsidRDefault="00EA3E2B" w:rsidP="00C84EAF">
      <w:pPr>
        <w:pStyle w:val="CPTInstructional"/>
        <w:keepNext/>
        <w:rPr>
          <w:b/>
          <w:bCs/>
          <w:lang w:val="en-GB"/>
        </w:rPr>
      </w:pPr>
      <w:r w:rsidRPr="00BD51BF">
        <w:rPr>
          <w:b/>
          <w:bCs/>
          <w:lang w:val="en-GB"/>
        </w:rPr>
        <w:t>Components of the SAP Template</w:t>
      </w:r>
    </w:p>
    <w:p w14:paraId="09A41122" w14:textId="7A8166FD" w:rsidR="00EA3E2B" w:rsidRPr="00BD51BF" w:rsidRDefault="00EA3E2B" w:rsidP="00C84EAF">
      <w:pPr>
        <w:pStyle w:val="CPTInstructional"/>
        <w:numPr>
          <w:ilvl w:val="0"/>
          <w:numId w:val="15"/>
        </w:numPr>
        <w:spacing w:after="200" w:line="276" w:lineRule="auto"/>
        <w:rPr>
          <w:rFonts w:cs="Times New Roman"/>
          <w:lang w:val="en-GB"/>
        </w:rPr>
      </w:pPr>
      <w:r w:rsidRPr="00BD51BF">
        <w:rPr>
          <w:lang w:val="en-GB"/>
        </w:rPr>
        <w:t xml:space="preserve">The </w:t>
      </w:r>
      <w:r w:rsidRPr="00BD51BF">
        <w:rPr>
          <w:b/>
          <w:bCs/>
          <w:lang w:val="en-GB"/>
        </w:rPr>
        <w:t>Core Backbone</w:t>
      </w:r>
      <w:r w:rsidRPr="00BD51BF">
        <w:rPr>
          <w:lang w:val="en-GB"/>
        </w:rPr>
        <w:t xml:space="preserve"> and </w:t>
      </w:r>
      <w:r w:rsidRPr="00BD51BF">
        <w:rPr>
          <w:b/>
          <w:bCs/>
          <w:lang w:val="en-GB"/>
        </w:rPr>
        <w:t xml:space="preserve">Appendices </w:t>
      </w:r>
      <w:r w:rsidRPr="00BD51BF">
        <w:rPr>
          <w:lang w:val="en-GB"/>
        </w:rPr>
        <w:t xml:space="preserve">are designed to cover, at minimum, the needs for regulatory reporting and the </w:t>
      </w:r>
      <w:r w:rsidR="005B542C" w:rsidRPr="00BD51BF">
        <w:rPr>
          <w:lang w:val="en-GB"/>
        </w:rPr>
        <w:t>c</w:t>
      </w:r>
      <w:r w:rsidRPr="00BD51BF">
        <w:rPr>
          <w:lang w:val="en-GB"/>
        </w:rPr>
        <w:t xml:space="preserve">linical </w:t>
      </w:r>
      <w:r w:rsidR="005B542C" w:rsidRPr="00BD51BF">
        <w:rPr>
          <w:lang w:val="en-GB"/>
        </w:rPr>
        <w:t>s</w:t>
      </w:r>
      <w:r w:rsidRPr="00BD51BF">
        <w:rPr>
          <w:lang w:val="en-GB"/>
        </w:rPr>
        <w:t xml:space="preserve">tudy </w:t>
      </w:r>
      <w:r w:rsidR="005B542C" w:rsidRPr="00BD51BF">
        <w:rPr>
          <w:lang w:val="en-GB"/>
        </w:rPr>
        <w:t>r</w:t>
      </w:r>
      <w:r w:rsidRPr="00BD51BF">
        <w:rPr>
          <w:lang w:val="en-GB"/>
        </w:rPr>
        <w:t>eport (CSR). Level</w:t>
      </w:r>
      <w:r w:rsidR="005B542C" w:rsidRPr="00BD51BF">
        <w:rPr>
          <w:lang w:val="en-GB"/>
        </w:rPr>
        <w:t>s</w:t>
      </w:r>
      <w:r w:rsidRPr="00BD51BF">
        <w:rPr>
          <w:lang w:val="en-GB"/>
        </w:rPr>
        <w:t xml:space="preserve"> 1 and 2 headings are aligned with Section 9 Statistical Considerations in the </w:t>
      </w:r>
      <w:r w:rsidR="00FC6FDE" w:rsidRPr="00BD51BF">
        <w:rPr>
          <w:lang w:val="en-GB"/>
        </w:rPr>
        <w:t>c</w:t>
      </w:r>
      <w:r w:rsidRPr="00BD51BF">
        <w:rPr>
          <w:lang w:val="en-GB"/>
        </w:rPr>
        <w:t xml:space="preserve">ommon </w:t>
      </w:r>
      <w:r w:rsidR="00FC6FDE" w:rsidRPr="00BD51BF">
        <w:rPr>
          <w:lang w:val="en-GB"/>
        </w:rPr>
        <w:t>p</w:t>
      </w:r>
      <w:r w:rsidRPr="00BD51BF">
        <w:rPr>
          <w:lang w:val="en-GB"/>
        </w:rPr>
        <w:t xml:space="preserve">rotocol </w:t>
      </w:r>
      <w:r w:rsidR="00FC6FDE" w:rsidRPr="00BD51BF">
        <w:rPr>
          <w:lang w:val="en-GB"/>
        </w:rPr>
        <w:t>t</w:t>
      </w:r>
      <w:r w:rsidRPr="00BD51BF">
        <w:rPr>
          <w:lang w:val="en-GB"/>
        </w:rPr>
        <w:t>emplate</w:t>
      </w:r>
      <w:r w:rsidR="00FC6FDE" w:rsidRPr="00BD51BF">
        <w:rPr>
          <w:lang w:val="en-GB"/>
        </w:rPr>
        <w:t xml:space="preserve"> (CPT)</w:t>
      </w:r>
      <w:r w:rsidRPr="00BD51BF">
        <w:rPr>
          <w:lang w:val="en-GB"/>
        </w:rPr>
        <w:t>. Level 3 and lower headings can be deleted/added/modified if additional planned analyses need to be described.</w:t>
      </w:r>
    </w:p>
    <w:p w14:paraId="7631ED6F" w14:textId="77777777" w:rsidR="00EA3E2B" w:rsidRPr="00BD51BF" w:rsidRDefault="00EA3E2B" w:rsidP="00C84EAF">
      <w:pPr>
        <w:pStyle w:val="CPTInstructional"/>
        <w:numPr>
          <w:ilvl w:val="1"/>
          <w:numId w:val="15"/>
        </w:numPr>
        <w:spacing w:after="200" w:line="276" w:lineRule="auto"/>
        <w:rPr>
          <w:rFonts w:cs="Times New Roman"/>
          <w:lang w:val="en-GB"/>
        </w:rPr>
      </w:pPr>
      <w:r w:rsidRPr="00BD51BF">
        <w:rPr>
          <w:lang w:val="en-GB"/>
        </w:rPr>
        <w:t>The</w:t>
      </w:r>
      <w:r w:rsidRPr="00BD51BF">
        <w:rPr>
          <w:b/>
          <w:bCs/>
          <w:lang w:val="en-GB"/>
        </w:rPr>
        <w:t xml:space="preserve"> Core Backbone</w:t>
      </w:r>
      <w:r w:rsidRPr="00BD51BF">
        <w:rPr>
          <w:lang w:val="en-GB"/>
        </w:rPr>
        <w:t xml:space="preserve"> contains analysis plan information common to all phases, study populations, and therapeutic areas. The core backbone is streamlined and focused on the regulatory reporting recommendations and/or requirements. </w:t>
      </w:r>
    </w:p>
    <w:p w14:paraId="553C9950" w14:textId="77777777" w:rsidR="007F7DB0" w:rsidRPr="00BD51BF" w:rsidRDefault="00EA3E2B" w:rsidP="007F7DB0">
      <w:pPr>
        <w:pStyle w:val="CPTInstructional"/>
        <w:numPr>
          <w:ilvl w:val="1"/>
          <w:numId w:val="15"/>
        </w:numPr>
        <w:spacing w:after="200" w:line="276" w:lineRule="auto"/>
        <w:rPr>
          <w:rFonts w:cs="Times New Roman"/>
          <w:lang w:val="en-GB"/>
        </w:rPr>
      </w:pPr>
      <w:r w:rsidRPr="00BD51BF">
        <w:rPr>
          <w:b/>
          <w:bCs/>
          <w:lang w:val="en-GB"/>
        </w:rPr>
        <w:t>Appendices</w:t>
      </w:r>
      <w:r w:rsidRPr="00BD51BF">
        <w:rPr>
          <w:lang w:val="en-GB"/>
        </w:rPr>
        <w:t xml:space="preserve"> provide additional information that can be accessed when needed</w:t>
      </w:r>
      <w:r w:rsidR="00FC6FDE" w:rsidRPr="00BD51BF">
        <w:rPr>
          <w:lang w:val="en-GB"/>
        </w:rPr>
        <w:t>,</w:t>
      </w:r>
      <w:r w:rsidRPr="00BD51BF">
        <w:rPr>
          <w:lang w:val="en-GB"/>
        </w:rPr>
        <w:t xml:space="preserve"> eg, abbreviations, data handling conventions, CSR items </w:t>
      </w:r>
      <w:r w:rsidR="007F7DB0" w:rsidRPr="00BD51BF">
        <w:rPr>
          <w:lang w:val="en-GB"/>
        </w:rPr>
        <w:t xml:space="preserve">that are </w:t>
      </w:r>
      <w:r w:rsidRPr="00BD51BF">
        <w:rPr>
          <w:lang w:val="en-GB"/>
        </w:rPr>
        <w:t xml:space="preserve">not critical for </w:t>
      </w:r>
      <w:r w:rsidR="007F7DB0" w:rsidRPr="00BD51BF">
        <w:rPr>
          <w:lang w:val="en-GB"/>
        </w:rPr>
        <w:t xml:space="preserve">prespecification </w:t>
      </w:r>
    </w:p>
    <w:p w14:paraId="40F918FF" w14:textId="44A6FCCA" w:rsidR="00EA3E2B" w:rsidRPr="00BD51BF" w:rsidRDefault="00EA3E2B" w:rsidP="001158D3">
      <w:pPr>
        <w:pStyle w:val="CPTInstructional"/>
        <w:numPr>
          <w:ilvl w:val="2"/>
          <w:numId w:val="15"/>
        </w:numPr>
        <w:spacing w:after="200" w:line="276" w:lineRule="auto"/>
        <w:rPr>
          <w:rFonts w:cs="Times New Roman"/>
          <w:lang w:val="en-GB"/>
        </w:rPr>
      </w:pPr>
      <w:r w:rsidRPr="00BD51BF">
        <w:rPr>
          <w:lang w:val="en-GB"/>
        </w:rPr>
        <w:t>This information may also be contained in separate documentation and referenced.</w:t>
      </w:r>
    </w:p>
    <w:p w14:paraId="2F40BF90" w14:textId="77777777" w:rsidR="00EA3E2B" w:rsidRPr="00BD51BF" w:rsidRDefault="00EA3E2B" w:rsidP="00C84EAF">
      <w:pPr>
        <w:pStyle w:val="CPTInstructional"/>
        <w:keepNext/>
        <w:rPr>
          <w:b/>
          <w:bCs/>
          <w:lang w:val="en-GB"/>
        </w:rPr>
      </w:pPr>
      <w:r w:rsidRPr="00BD51BF">
        <w:rPr>
          <w:b/>
          <w:bCs/>
          <w:lang w:val="en-GB"/>
        </w:rPr>
        <w:t>Core Backbone Headings</w:t>
      </w:r>
    </w:p>
    <w:p w14:paraId="12E90AB6" w14:textId="77777777" w:rsidR="007F7DB0" w:rsidRPr="00BD51BF" w:rsidRDefault="007F7DB0" w:rsidP="007F7DB0">
      <w:pPr>
        <w:pStyle w:val="CPTInstructional"/>
        <w:numPr>
          <w:ilvl w:val="0"/>
          <w:numId w:val="15"/>
        </w:numPr>
        <w:rPr>
          <w:lang w:val="en-GB"/>
        </w:rPr>
      </w:pPr>
      <w:r w:rsidRPr="00BD51BF">
        <w:rPr>
          <w:lang w:val="en-GB"/>
        </w:rPr>
        <w:t>Levels 1 and 2 headings should be consistent across analysis plans that use the TransCelerate common SAP template for reference purposes. The structure of this template was chosen to maximize alignment with the statistical section of the Common Protocol Template.</w:t>
      </w:r>
    </w:p>
    <w:p w14:paraId="75FECDAC" w14:textId="4C68A386" w:rsidR="00EA3E2B" w:rsidRPr="00BD51BF" w:rsidRDefault="00EA3E2B" w:rsidP="00C84EAF">
      <w:pPr>
        <w:pStyle w:val="CPTInstructional"/>
        <w:numPr>
          <w:ilvl w:val="0"/>
          <w:numId w:val="15"/>
        </w:numPr>
        <w:spacing w:after="200" w:line="276" w:lineRule="auto"/>
        <w:rPr>
          <w:lang w:val="en-GB"/>
        </w:rPr>
      </w:pPr>
      <w:r w:rsidRPr="00BD51BF">
        <w:rPr>
          <w:lang w:val="en-GB"/>
        </w:rPr>
        <w:t>Level</w:t>
      </w:r>
      <w:r w:rsidR="00907A1B" w:rsidRPr="00BD51BF">
        <w:rPr>
          <w:lang w:val="en-GB"/>
        </w:rPr>
        <w:t>s</w:t>
      </w:r>
      <w:r w:rsidRPr="00BD51BF">
        <w:rPr>
          <w:lang w:val="en-GB"/>
        </w:rPr>
        <w:t xml:space="preserve"> 1 and 2 headings should not be deleted. If they are not relevant to the study, </w:t>
      </w:r>
      <w:r w:rsidR="000061B5" w:rsidRPr="00BD51BF">
        <w:rPr>
          <w:lang w:val="en-GB"/>
        </w:rPr>
        <w:t>n</w:t>
      </w:r>
      <w:r w:rsidRPr="00BD51BF">
        <w:rPr>
          <w:lang w:val="en-GB"/>
        </w:rPr>
        <w:t>ot applicable should be inserted so that the numbering of subsequent sections is not changed.</w:t>
      </w:r>
    </w:p>
    <w:p w14:paraId="6C5CF376" w14:textId="75B992A8" w:rsidR="00EA3E2B" w:rsidRPr="00BD51BF" w:rsidRDefault="00EA3E2B" w:rsidP="00C84EAF">
      <w:pPr>
        <w:pStyle w:val="CPTInstructional"/>
        <w:numPr>
          <w:ilvl w:val="0"/>
          <w:numId w:val="15"/>
        </w:numPr>
        <w:spacing w:after="200" w:line="276" w:lineRule="auto"/>
        <w:rPr>
          <w:lang w:val="en-GB"/>
        </w:rPr>
      </w:pPr>
      <w:r w:rsidRPr="00BD51BF">
        <w:rPr>
          <w:lang w:val="en-GB"/>
        </w:rPr>
        <w:t xml:space="preserve">Level 3 and </w:t>
      </w:r>
      <w:r w:rsidR="000B30AA" w:rsidRPr="00BD51BF">
        <w:rPr>
          <w:lang w:val="en-GB"/>
        </w:rPr>
        <w:t>subsequent</w:t>
      </w:r>
      <w:r w:rsidR="00CD7E1A" w:rsidRPr="00BD51BF">
        <w:rPr>
          <w:lang w:val="en-GB"/>
        </w:rPr>
        <w:t xml:space="preserve"> sub</w:t>
      </w:r>
      <w:r w:rsidRPr="00BD51BF">
        <w:rPr>
          <w:lang w:val="en-GB"/>
        </w:rPr>
        <w:t xml:space="preserve">headings </w:t>
      </w:r>
      <w:r w:rsidR="000061B5" w:rsidRPr="00BD51BF">
        <w:rPr>
          <w:lang w:val="en-GB"/>
        </w:rPr>
        <w:t xml:space="preserve">are suggested and </w:t>
      </w:r>
      <w:r w:rsidRPr="00BD51BF">
        <w:rPr>
          <w:lang w:val="en-GB"/>
        </w:rPr>
        <w:t>can be deleted/added/modified as needed.</w:t>
      </w:r>
    </w:p>
    <w:p w14:paraId="44F4EBF4" w14:textId="77777777" w:rsidR="00EA3E2B" w:rsidRPr="00BD51BF" w:rsidRDefault="00EA3E2B" w:rsidP="00C84EAF">
      <w:pPr>
        <w:pStyle w:val="CPTInstructional"/>
        <w:keepNext/>
        <w:rPr>
          <w:b/>
          <w:bCs/>
          <w:lang w:val="en-GB"/>
        </w:rPr>
      </w:pPr>
      <w:r w:rsidRPr="00BD51BF">
        <w:rPr>
          <w:b/>
          <w:bCs/>
          <w:lang w:val="en-GB"/>
        </w:rPr>
        <w:t>Terminology</w:t>
      </w:r>
    </w:p>
    <w:p w14:paraId="68AF5AAC" w14:textId="77777777" w:rsidR="000061B5" w:rsidRPr="00BD51BF" w:rsidRDefault="000061B5" w:rsidP="00C84EAF">
      <w:pPr>
        <w:pStyle w:val="CPTInstructional"/>
        <w:numPr>
          <w:ilvl w:val="0"/>
          <w:numId w:val="16"/>
        </w:numPr>
        <w:spacing w:after="200" w:line="276" w:lineRule="auto"/>
        <w:rPr>
          <w:lang w:val="en-GB"/>
        </w:rPr>
      </w:pPr>
      <w:r w:rsidRPr="00BD51BF">
        <w:rPr>
          <w:lang w:val="en-GB"/>
        </w:rPr>
        <w:t>The terminology used in the SAP should match the protocol.</w:t>
      </w:r>
    </w:p>
    <w:p w14:paraId="030CD3AD" w14:textId="5EC91584" w:rsidR="00EA3E2B" w:rsidRPr="00BD51BF" w:rsidRDefault="00EA3E2B" w:rsidP="00C84EAF">
      <w:pPr>
        <w:pStyle w:val="CPTInstructional"/>
        <w:numPr>
          <w:ilvl w:val="0"/>
          <w:numId w:val="16"/>
        </w:numPr>
        <w:spacing w:after="200" w:line="276" w:lineRule="auto"/>
        <w:rPr>
          <w:lang w:val="en-GB"/>
        </w:rPr>
      </w:pPr>
      <w:r w:rsidRPr="00BD51BF">
        <w:rPr>
          <w:lang w:val="en-GB"/>
        </w:rPr>
        <w:lastRenderedPageBreak/>
        <w:t xml:space="preserve">The following terminology has been selected for use within </w:t>
      </w:r>
      <w:r w:rsidR="000061B5" w:rsidRPr="00BD51BF">
        <w:rPr>
          <w:lang w:val="en-GB"/>
        </w:rPr>
        <w:t xml:space="preserve">TransCelerate common templates (CPT, SAP, and CSR) </w:t>
      </w:r>
      <w:r w:rsidRPr="00BD51BF">
        <w:rPr>
          <w:lang w:val="en-GB"/>
        </w:rPr>
        <w:t>and is considered to be appropriate for all phases, study populations, and therapeutic areas.</w:t>
      </w:r>
    </w:p>
    <w:p w14:paraId="10C6005D" w14:textId="77777777" w:rsidR="007F7DB0" w:rsidRPr="00BD51BF" w:rsidRDefault="007F7DB0" w:rsidP="007F7DB0">
      <w:pPr>
        <w:pStyle w:val="CPTInstructional"/>
        <w:numPr>
          <w:ilvl w:val="1"/>
          <w:numId w:val="16"/>
        </w:numPr>
        <w:spacing w:after="200" w:line="276" w:lineRule="auto"/>
        <w:ind w:left="1080"/>
        <w:rPr>
          <w:lang w:val="en-GB"/>
        </w:rPr>
      </w:pPr>
      <w:r w:rsidRPr="00BD51BF">
        <w:rPr>
          <w:i/>
          <w:iCs/>
          <w:lang w:val="en-GB"/>
        </w:rPr>
        <w:t>Participant</w:t>
      </w:r>
      <w:r w:rsidRPr="00BD51BF">
        <w:rPr>
          <w:lang w:val="en-GB"/>
        </w:rPr>
        <w:t xml:space="preserve"> is used rather than subject, healthy volunteer, or patient.</w:t>
      </w:r>
    </w:p>
    <w:p w14:paraId="3E571816" w14:textId="4A95EE57" w:rsidR="00D231F4" w:rsidRPr="00BD51BF" w:rsidRDefault="00D231F4" w:rsidP="00A57455">
      <w:pPr>
        <w:pStyle w:val="CPTInstructional"/>
        <w:numPr>
          <w:ilvl w:val="1"/>
          <w:numId w:val="16"/>
        </w:numPr>
        <w:spacing w:after="200" w:line="276" w:lineRule="auto"/>
        <w:ind w:left="1080"/>
        <w:rPr>
          <w:i/>
          <w:iCs/>
          <w:lang w:val="en-GB"/>
        </w:rPr>
      </w:pPr>
      <w:r w:rsidRPr="00BD51BF">
        <w:rPr>
          <w:i/>
          <w:iCs/>
          <w:lang w:val="en-GB"/>
        </w:rPr>
        <w:t xml:space="preserve">Study intervention </w:t>
      </w:r>
      <w:r w:rsidRPr="00BD51BF">
        <w:rPr>
          <w:lang w:val="en-GB"/>
        </w:rPr>
        <w:t>is used rather than study drug.</w:t>
      </w:r>
      <w:r w:rsidRPr="00BD51BF">
        <w:rPr>
          <w:i/>
          <w:iCs/>
          <w:lang w:val="en-GB"/>
        </w:rPr>
        <w:t xml:space="preserve"> Study interventions</w:t>
      </w:r>
      <w:r w:rsidRPr="00BD51BF">
        <w:rPr>
          <w:lang w:val="en-GB"/>
        </w:rPr>
        <w:t xml:space="preserve"> are all prespecified, investigational and noninvestigational medicinal products*, medical devices and other interventions (eg, surgical and behavioral) intended to be administered to the study participants during the study conduct. Procedures conducted to manage participants or to collect data are excluded from the usage of this term. Investigational interventions are a subset of study interventions that are being tested or used as a control (eg, placebo or active comparator).</w:t>
      </w:r>
    </w:p>
    <w:p w14:paraId="5B868DA4" w14:textId="77777777" w:rsidR="007F7DB0" w:rsidRPr="00BD51BF" w:rsidRDefault="007F7DB0" w:rsidP="007F7DB0">
      <w:pPr>
        <w:pStyle w:val="CPTInstructional"/>
        <w:spacing w:after="200" w:line="276" w:lineRule="auto"/>
        <w:ind w:left="1440"/>
        <w:rPr>
          <w:lang w:val="en-GB"/>
        </w:rPr>
      </w:pPr>
      <w:r w:rsidRPr="00BD51BF">
        <w:rPr>
          <w:lang w:val="en-GB"/>
        </w:rPr>
        <w:t>*Please be referred to Eudralex - Volume 10 - Clinical trials guidelines (Chapter III) for further information on some categories of medicinal products that are normally used in clinical trials as NIMPs (noninvestigational medicinal products), such as rescue medication, challenge agents, medicinal products used to assess endpoints in the clinical trial, concomitant medicinal products systematically prescribed to the study patients, and background treatment.</w:t>
      </w:r>
    </w:p>
    <w:p w14:paraId="53F4C523" w14:textId="77777777" w:rsidR="007F7DB0" w:rsidRPr="00BD51BF" w:rsidRDefault="007F7DB0" w:rsidP="00C57773">
      <w:pPr>
        <w:pStyle w:val="CPTInstructional"/>
        <w:ind w:left="1440"/>
        <w:rPr>
          <w:lang w:val="en-GB"/>
        </w:rPr>
      </w:pPr>
      <w:r w:rsidRPr="00BD51BF">
        <w:rPr>
          <w:lang w:val="en-GB"/>
        </w:rPr>
        <w:t>Of note, all products administered during the study that are not study interventions are recorded as concomitant therapy.</w:t>
      </w:r>
    </w:p>
    <w:p w14:paraId="758A3787" w14:textId="77777777" w:rsidR="00EA3E2B" w:rsidRPr="00BD51BF" w:rsidRDefault="00EA3E2B" w:rsidP="001D73DE">
      <w:pPr>
        <w:pStyle w:val="CPTInstructional"/>
        <w:keepNext/>
        <w:rPr>
          <w:b/>
          <w:bCs/>
          <w:lang w:val="en-GB"/>
        </w:rPr>
      </w:pPr>
      <w:r w:rsidRPr="00BD51BF">
        <w:rPr>
          <w:b/>
          <w:bCs/>
          <w:lang w:val="en-GB"/>
        </w:rPr>
        <w:t>Formatting and Text Conventions</w:t>
      </w:r>
    </w:p>
    <w:p w14:paraId="799D1F78" w14:textId="77777777" w:rsidR="006D4E72" w:rsidRPr="00BD51BF" w:rsidRDefault="006D4E72" w:rsidP="006D4E72">
      <w:pPr>
        <w:pStyle w:val="CPTInstructional"/>
        <w:numPr>
          <w:ilvl w:val="0"/>
          <w:numId w:val="24"/>
        </w:numPr>
        <w:spacing w:after="200" w:line="276" w:lineRule="auto"/>
        <w:rPr>
          <w:lang w:val="en-GB"/>
        </w:rPr>
      </w:pPr>
      <w:r w:rsidRPr="00BD51BF">
        <w:rPr>
          <w:lang w:val="en-GB"/>
        </w:rPr>
        <w:t xml:space="preserve">Common Text: Black font preceded by &lt;Start of common text&gt; and followed by &lt;End of common text&gt; is common language intended to be harmonized across SAPs. The recommendation is to use this text as written to maintain consistency across template users, but the text can be adapted or deleted, if required. </w:t>
      </w:r>
      <w:r w:rsidRPr="00BD51BF">
        <w:rPr>
          <w:rFonts w:cs="Times New Roman"/>
          <w:b/>
          <w:bCs/>
          <w:sz w:val="24"/>
          <w:szCs w:val="24"/>
          <w:lang w:val="en-GB"/>
        </w:rPr>
        <w:t>Driver:</w:t>
      </w:r>
      <w:r w:rsidRPr="00BD51BF">
        <w:rPr>
          <w:rFonts w:cs="Times New Roman"/>
          <w:sz w:val="24"/>
          <w:szCs w:val="24"/>
          <w:lang w:val="en-GB"/>
        </w:rPr>
        <w:t xml:space="preserve"> Industry regulation or guidance.</w:t>
      </w:r>
    </w:p>
    <w:p w14:paraId="20306608" w14:textId="77777777" w:rsidR="00766C7E" w:rsidRPr="00BD51BF" w:rsidRDefault="00766C7E" w:rsidP="00766C7E">
      <w:pPr>
        <w:pStyle w:val="CPTInstructional"/>
        <w:numPr>
          <w:ilvl w:val="0"/>
          <w:numId w:val="24"/>
        </w:numPr>
        <w:spacing w:after="200" w:line="276" w:lineRule="auto"/>
        <w:rPr>
          <w:lang w:val="en-GB"/>
        </w:rPr>
      </w:pPr>
      <w:r w:rsidRPr="00BD51BF">
        <w:rPr>
          <w:lang w:val="en-GB"/>
        </w:rPr>
        <w:t xml:space="preserve">Suggested Text: Black text preceded by &lt;Start of suggested text&gt; and followed by &lt;End of suggested text&gt; is suggested language that can be adapted or deleted as needed. Authors should consider implications to reuse within the CTS or the CT Registry if text is to be modified or removed. </w:t>
      </w:r>
    </w:p>
    <w:p w14:paraId="1BCD3C40" w14:textId="022A690A" w:rsidR="006D4E72" w:rsidRPr="00BD51BF" w:rsidRDefault="006D4E72" w:rsidP="006D4E72">
      <w:pPr>
        <w:pStyle w:val="CPTInstructional"/>
        <w:numPr>
          <w:ilvl w:val="0"/>
          <w:numId w:val="24"/>
        </w:numPr>
        <w:spacing w:after="200" w:line="276" w:lineRule="auto"/>
        <w:rPr>
          <w:lang w:val="en-GB"/>
        </w:rPr>
      </w:pPr>
      <w:r w:rsidRPr="00BD51BF">
        <w:rPr>
          <w:lang w:val="en-GB"/>
        </w:rPr>
        <w:t>Variable Text: Blue bracketed text is variable text that should be addressed based on individual study needs.</w:t>
      </w:r>
    </w:p>
    <w:p w14:paraId="17E8D6FC" w14:textId="77777777" w:rsidR="002862A6" w:rsidRPr="00BD51BF" w:rsidRDefault="002862A6" w:rsidP="00046E10">
      <w:pPr>
        <w:pStyle w:val="CPTInstructional"/>
        <w:numPr>
          <w:ilvl w:val="0"/>
          <w:numId w:val="24"/>
        </w:numPr>
        <w:spacing w:after="200" w:line="276" w:lineRule="auto"/>
        <w:rPr>
          <w:lang w:val="en-GB"/>
        </w:rPr>
      </w:pPr>
      <w:r w:rsidRPr="00BD51BF">
        <w:rPr>
          <w:lang w:val="en-GB"/>
        </w:rPr>
        <w:t>Example Text: Green italicized text preceded by &lt;</w:t>
      </w:r>
      <w:r w:rsidRPr="00BD51BF">
        <w:rPr>
          <w:i/>
          <w:iCs/>
          <w:lang w:val="en-GB"/>
        </w:rPr>
        <w:t>Start of example text</w:t>
      </w:r>
      <w:r w:rsidRPr="00BD51BF">
        <w:rPr>
          <w:lang w:val="en-GB"/>
        </w:rPr>
        <w:t>&gt; and followed by &lt;</w:t>
      </w:r>
      <w:r w:rsidRPr="00BD51BF">
        <w:rPr>
          <w:i/>
          <w:iCs/>
          <w:lang w:val="en-GB"/>
        </w:rPr>
        <w:t>End of example text</w:t>
      </w:r>
      <w:r w:rsidRPr="00BD51BF">
        <w:rPr>
          <w:lang w:val="en-GB"/>
        </w:rPr>
        <w:t xml:space="preserve">&gt; should be removed by the author if not utilized. </w:t>
      </w:r>
    </w:p>
    <w:p w14:paraId="5A8C2FED" w14:textId="457971D0" w:rsidR="002862A6" w:rsidRPr="00BD51BF" w:rsidRDefault="002862A6" w:rsidP="00046E10">
      <w:pPr>
        <w:pStyle w:val="CPTInstructional"/>
        <w:numPr>
          <w:ilvl w:val="0"/>
          <w:numId w:val="24"/>
        </w:numPr>
        <w:spacing w:after="200" w:line="276" w:lineRule="auto"/>
        <w:rPr>
          <w:lang w:val="en-GB"/>
        </w:rPr>
      </w:pPr>
      <w:r w:rsidRPr="00BD51BF">
        <w:rPr>
          <w:lang w:val="en-GB"/>
        </w:rPr>
        <w:t>Instructional Text: Intended to aid in the authoring of the SAP. In the basic Word edition, it is red, hidden text, and paragraph marks must be enabled in order for it to be displayed. In the technology-enabled edition, it will appear only in the instructional text panel.</w:t>
      </w:r>
    </w:p>
    <w:p w14:paraId="5F100A75" w14:textId="7FA186CE" w:rsidR="002862A6" w:rsidRPr="00BD51BF" w:rsidRDefault="006D4E72" w:rsidP="006D4E72">
      <w:pPr>
        <w:pStyle w:val="CPTInstructional"/>
        <w:numPr>
          <w:ilvl w:val="0"/>
          <w:numId w:val="24"/>
        </w:numPr>
        <w:spacing w:line="256" w:lineRule="auto"/>
        <w:contextualSpacing/>
        <w:rPr>
          <w:lang w:val="en-GB"/>
        </w:rPr>
      </w:pPr>
      <w:r w:rsidRPr="00BD51BF">
        <w:rPr>
          <w:lang w:val="en-GB"/>
        </w:rPr>
        <w:t xml:space="preserve">The flags for the start and end of common, suggested, or example text can be removed automatically at the time of </w:t>
      </w:r>
      <w:r w:rsidR="00782BB5" w:rsidRPr="00BD51BF">
        <w:rPr>
          <w:lang w:val="en-GB"/>
        </w:rPr>
        <w:t>SAP</w:t>
      </w:r>
      <w:r w:rsidRPr="00BD51BF">
        <w:rPr>
          <w:lang w:val="en-GB"/>
        </w:rPr>
        <w:t xml:space="preserve"> finalization if the eSAP template has been used or should be removed manually by the author if the Basic Word Edition SAP template has been used.</w:t>
      </w:r>
    </w:p>
    <w:p w14:paraId="415DF26C" w14:textId="77777777" w:rsidR="002862A6" w:rsidRPr="00BD51BF" w:rsidRDefault="002862A6" w:rsidP="002862A6">
      <w:pPr>
        <w:pStyle w:val="CPTInstructional"/>
        <w:keepNext/>
        <w:rPr>
          <w:b/>
          <w:lang w:val="en-GB"/>
        </w:rPr>
      </w:pPr>
      <w:r w:rsidRPr="00BD51BF">
        <w:rPr>
          <w:b/>
          <w:lang w:val="en-GB"/>
        </w:rPr>
        <w:lastRenderedPageBreak/>
        <w:t>Disclosure</w:t>
      </w:r>
    </w:p>
    <w:p w14:paraId="4C29EFB4" w14:textId="2E238409" w:rsidR="002862A6" w:rsidRPr="00BD51BF" w:rsidRDefault="002862A6" w:rsidP="00046E10">
      <w:pPr>
        <w:pStyle w:val="CPTInstructional"/>
        <w:numPr>
          <w:ilvl w:val="0"/>
          <w:numId w:val="24"/>
        </w:numPr>
        <w:spacing w:after="160" w:line="256" w:lineRule="auto"/>
        <w:rPr>
          <w:lang w:val="en-GB"/>
        </w:rPr>
      </w:pPr>
      <w:r w:rsidRPr="00BD51BF">
        <w:rPr>
          <w:lang w:val="en-GB"/>
        </w:rPr>
        <w:t xml:space="preserve">Users are reminded that many regulators have begun to require increased public disclosure of clinical trial documents. For recommendations related to using this template given the disclosure requirements, please refer to the best practices for disclosure in the implementation toolkit available on TransCelerate’s website. </w:t>
      </w:r>
    </w:p>
    <w:p w14:paraId="0494CFF9" w14:textId="33B67C46" w:rsidR="009A0668" w:rsidRPr="00BD51BF" w:rsidRDefault="00FE17DA" w:rsidP="00CB2B8C">
      <w:pPr>
        <w:pStyle w:val="CPTInstructional"/>
        <w:rPr>
          <w:lang w:val="en-GB"/>
        </w:rPr>
      </w:pPr>
      <w:r w:rsidRPr="00BD51BF">
        <w:rPr>
          <w:lang w:val="en-GB"/>
        </w:rPr>
        <w:t xml:space="preserve">All language proposed in this Library (whether proposed as common, suggested, example, or variable text) may be modified as the user sees fit or as required by any applicable law or regulation. </w:t>
      </w:r>
    </w:p>
    <w:p w14:paraId="72174123" w14:textId="05ADC6E3" w:rsidR="003415B2" w:rsidRPr="00BD51BF" w:rsidRDefault="7E2C4AF2">
      <w:pPr>
        <w:pStyle w:val="Heading1NoTOC"/>
        <w:pageBreakBefore w:val="0"/>
        <w:rPr>
          <w:rFonts w:ascii="Times New Roman" w:eastAsia="Times New Roman" w:hAnsi="Times New Roman"/>
          <w:lang w:val="en-GB"/>
        </w:rPr>
      </w:pPr>
      <w:bookmarkStart w:id="9" w:name="_Toc154052357"/>
      <w:r w:rsidRPr="00BD51BF">
        <w:rPr>
          <w:rFonts w:ascii="Times New Roman" w:eastAsia="Times New Roman" w:hAnsi="Times New Roman"/>
          <w:lang w:val="en-GB"/>
        </w:rPr>
        <w:t>Title Page</w:t>
      </w:r>
      <w:bookmarkEnd w:id="9"/>
    </w:p>
    <w:p w14:paraId="29663A8F" w14:textId="2C9122CB" w:rsidR="00D869DE" w:rsidRPr="00BD51BF" w:rsidRDefault="7E2C4AF2" w:rsidP="00E90F3E">
      <w:pPr>
        <w:rPr>
          <w:b/>
          <w:lang w:val="en-GB"/>
        </w:rPr>
      </w:pPr>
      <w:r w:rsidRPr="00BD51BF">
        <w:rPr>
          <w:b/>
          <w:lang w:val="en-GB"/>
        </w:rPr>
        <w:t xml:space="preserve">Protocol Title: </w:t>
      </w:r>
      <w:r w:rsidR="003E1C53" w:rsidRPr="00BD51BF">
        <w:rPr>
          <w:b/>
          <w:lang w:val="en-GB"/>
        </w:rPr>
        <w:t xml:space="preserve">ImPRESS - </w:t>
      </w:r>
      <w:r w:rsidR="003E1C53" w:rsidRPr="00BD51BF">
        <w:rPr>
          <w:bCs/>
          <w:lang w:val="en-GB"/>
        </w:rPr>
        <w:t xml:space="preserve">Imaging Perfusion Restrictions from Extracellular Solid Stress </w:t>
      </w:r>
    </w:p>
    <w:p w14:paraId="53BD0C9F" w14:textId="2E739B2D" w:rsidR="00E14CD3" w:rsidRPr="00BD51BF" w:rsidRDefault="00E14CD3" w:rsidP="00E90F3E">
      <w:pPr>
        <w:rPr>
          <w:b/>
          <w:lang w:val="en-GB"/>
        </w:rPr>
      </w:pPr>
    </w:p>
    <w:p w14:paraId="056670C9" w14:textId="0BAD7466" w:rsidR="00411C2B" w:rsidRPr="00BD51BF" w:rsidRDefault="7E2C4AF2" w:rsidP="002862A6">
      <w:pPr>
        <w:spacing w:before="240"/>
        <w:rPr>
          <w:b/>
          <w:lang w:val="en-GB"/>
        </w:rPr>
      </w:pPr>
      <w:r w:rsidRPr="00BD51BF">
        <w:rPr>
          <w:b/>
          <w:lang w:val="en-GB"/>
        </w:rPr>
        <w:t xml:space="preserve">Protocol Number: </w:t>
      </w:r>
      <w:r w:rsidR="37978F8F" w:rsidRPr="00BD51BF">
        <w:rPr>
          <w:bCs/>
          <w:lang w:val="en-GB"/>
        </w:rPr>
        <w:t xml:space="preserve"> </w:t>
      </w:r>
      <w:r w:rsidR="003E1C53" w:rsidRPr="00BD51BF">
        <w:rPr>
          <w:bCs/>
          <w:lang w:val="en-GB"/>
        </w:rPr>
        <w:t>ImPRESS-losartan study</w:t>
      </w:r>
    </w:p>
    <w:p w14:paraId="2948EC7D" w14:textId="62316B72" w:rsidR="00411C2B" w:rsidRPr="00BD51BF" w:rsidRDefault="7E2C4AF2" w:rsidP="7E2C4AF2">
      <w:pPr>
        <w:spacing w:before="240"/>
        <w:rPr>
          <w:b/>
          <w:bCs/>
          <w:lang w:val="en-GB"/>
        </w:rPr>
      </w:pPr>
      <w:r w:rsidRPr="00BD51BF">
        <w:rPr>
          <w:b/>
          <w:bCs/>
          <w:lang w:val="en-GB"/>
        </w:rPr>
        <w:t xml:space="preserve">Compound Number: </w:t>
      </w:r>
      <w:r w:rsidR="003E1C53" w:rsidRPr="00BD51BF">
        <w:rPr>
          <w:b/>
          <w:bCs/>
          <w:lang w:val="en-GB"/>
        </w:rPr>
        <w:t>NA</w:t>
      </w:r>
    </w:p>
    <w:p w14:paraId="27D34DE6" w14:textId="24F9F01B" w:rsidR="00D869DE" w:rsidRPr="00BD51BF" w:rsidRDefault="7E2C4AF2" w:rsidP="7E2C4AF2">
      <w:pPr>
        <w:spacing w:before="240"/>
        <w:rPr>
          <w:b/>
          <w:bCs/>
          <w:lang w:val="en-GB"/>
        </w:rPr>
      </w:pPr>
      <w:r w:rsidRPr="00BD51BF">
        <w:rPr>
          <w:b/>
          <w:bCs/>
          <w:lang w:val="en-GB"/>
        </w:rPr>
        <w:t xml:space="preserve">Short Title: </w:t>
      </w:r>
      <w:r w:rsidR="003E1C53" w:rsidRPr="00BD51BF">
        <w:rPr>
          <w:lang w:val="en-GB"/>
        </w:rPr>
        <w:t>ImPRESS</w:t>
      </w:r>
    </w:p>
    <w:p w14:paraId="3635D758" w14:textId="4DCF954F" w:rsidR="00D869DE" w:rsidRPr="00BD51BF" w:rsidRDefault="7E2C4AF2" w:rsidP="7E2C4AF2">
      <w:pPr>
        <w:spacing w:before="240"/>
        <w:rPr>
          <w:b/>
          <w:bCs/>
          <w:lang w:val="en-GB"/>
        </w:rPr>
      </w:pPr>
      <w:r w:rsidRPr="00BD51BF">
        <w:rPr>
          <w:b/>
          <w:bCs/>
          <w:lang w:val="en-GB"/>
        </w:rPr>
        <w:t xml:space="preserve">Sponsor Name: </w:t>
      </w:r>
      <w:r w:rsidR="003E1C53" w:rsidRPr="00BD51BF">
        <w:rPr>
          <w:lang w:val="en-GB"/>
        </w:rPr>
        <w:t>Oslo University Hospital</w:t>
      </w:r>
    </w:p>
    <w:p w14:paraId="066B93BE" w14:textId="22F2EEF0" w:rsidR="00D869DE" w:rsidRPr="00BD51BF" w:rsidRDefault="7E2C4AF2" w:rsidP="7E2C4AF2">
      <w:pPr>
        <w:spacing w:before="240"/>
        <w:rPr>
          <w:lang w:val="en-GB"/>
        </w:rPr>
      </w:pPr>
      <w:r w:rsidRPr="00BD51BF">
        <w:rPr>
          <w:b/>
          <w:bCs/>
          <w:lang w:val="en-GB"/>
        </w:rPr>
        <w:t xml:space="preserve">Legal Registered Address: </w:t>
      </w:r>
      <w:r w:rsidR="003E1C53" w:rsidRPr="00BD51BF">
        <w:rPr>
          <w:lang w:val="en-GB"/>
        </w:rPr>
        <w:t>P.O. Box 4950 Nydalen, 0424 Oslo, Norway</w:t>
      </w:r>
    </w:p>
    <w:p w14:paraId="53F5B344" w14:textId="30D99B84" w:rsidR="00947452" w:rsidRPr="00BD51BF" w:rsidRDefault="00BB2265" w:rsidP="00596FA9">
      <w:pPr>
        <w:spacing w:before="240"/>
        <w:rPr>
          <w:b/>
          <w:lang w:val="en-GB"/>
        </w:rPr>
      </w:pPr>
      <w:r w:rsidRPr="00BD51BF">
        <w:rPr>
          <w:b/>
          <w:bCs/>
          <w:lang w:val="en-GB"/>
        </w:rPr>
        <w:t>Regulatory Agency Identifier Number(s)</w:t>
      </w:r>
      <w:r w:rsidR="001C15A2" w:rsidRPr="00BD51BF">
        <w:rPr>
          <w:b/>
          <w:lang w:val="en-G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4"/>
        <w:gridCol w:w="7846"/>
      </w:tblGrid>
      <w:tr w:rsidR="00BB2265" w:rsidRPr="00BD51BF" w14:paraId="10CE4A2D" w14:textId="77777777" w:rsidTr="25265610">
        <w:tc>
          <w:tcPr>
            <w:tcW w:w="1526" w:type="dxa"/>
          </w:tcPr>
          <w:p w14:paraId="106DDB26" w14:textId="77777777" w:rsidR="00BB2265" w:rsidRPr="00BD51BF" w:rsidRDefault="00BB2265">
            <w:pPr>
              <w:rPr>
                <w:b/>
                <w:bCs/>
                <w:lang w:val="en-GB"/>
              </w:rPr>
            </w:pPr>
            <w:r w:rsidRPr="00BD51BF">
              <w:rPr>
                <w:b/>
                <w:bCs/>
                <w:lang w:val="en-GB"/>
              </w:rPr>
              <w:t>Registry</w:t>
            </w:r>
          </w:p>
        </w:tc>
        <w:tc>
          <w:tcPr>
            <w:tcW w:w="8050" w:type="dxa"/>
          </w:tcPr>
          <w:p w14:paraId="617CEE49" w14:textId="77777777" w:rsidR="00BB2265" w:rsidRPr="00BD51BF" w:rsidRDefault="00BB2265">
            <w:pPr>
              <w:rPr>
                <w:b/>
                <w:bCs/>
                <w:lang w:val="en-GB"/>
              </w:rPr>
            </w:pPr>
            <w:r w:rsidRPr="00BD51BF">
              <w:rPr>
                <w:b/>
                <w:bCs/>
                <w:lang w:val="en-GB"/>
              </w:rPr>
              <w:t>ID</w:t>
            </w:r>
          </w:p>
        </w:tc>
      </w:tr>
      <w:tr w:rsidR="00BB2265" w:rsidRPr="00BD51BF" w14:paraId="585D67F5" w14:textId="77777777" w:rsidTr="25265610">
        <w:tc>
          <w:tcPr>
            <w:tcW w:w="1526" w:type="dxa"/>
          </w:tcPr>
          <w:p w14:paraId="55006A27" w14:textId="2068AD00" w:rsidR="00BB2265" w:rsidRPr="00BD51BF" w:rsidRDefault="003E1C53" w:rsidP="00164A3B">
            <w:pPr>
              <w:rPr>
                <w:lang w:val="en-GB"/>
              </w:rPr>
            </w:pPr>
            <w:r w:rsidRPr="00BD51BF">
              <w:rPr>
                <w:lang w:val="en-GB"/>
              </w:rPr>
              <w:t>EudraCT</w:t>
            </w:r>
          </w:p>
        </w:tc>
        <w:tc>
          <w:tcPr>
            <w:tcW w:w="8050" w:type="dxa"/>
          </w:tcPr>
          <w:p w14:paraId="0BF530CA" w14:textId="1D035809" w:rsidR="00BB2265" w:rsidRPr="00BD51BF" w:rsidRDefault="003E1C53" w:rsidP="00BB2265">
            <w:pPr>
              <w:rPr>
                <w:lang w:val="en-GB"/>
              </w:rPr>
            </w:pPr>
            <w:r w:rsidRPr="00BD51BF">
              <w:rPr>
                <w:lang w:val="en-GB"/>
              </w:rPr>
              <w:t>2018-003229-27</w:t>
            </w:r>
          </w:p>
        </w:tc>
      </w:tr>
    </w:tbl>
    <w:p w14:paraId="5242E3FB" w14:textId="6BFCD623" w:rsidR="002902A3" w:rsidRPr="00BD51BF" w:rsidRDefault="002902A3" w:rsidP="00BC7141">
      <w:pPr>
        <w:rPr>
          <w:lang w:val="en-GB"/>
        </w:rPr>
      </w:pPr>
    </w:p>
    <w:p w14:paraId="479ABE12" w14:textId="5159DC13" w:rsidR="002A6C5E" w:rsidRPr="00BD51BF" w:rsidRDefault="7E2C4AF2" w:rsidP="003359AC">
      <w:pPr>
        <w:pStyle w:val="Heading3NoTOC"/>
        <w:pageBreakBefore/>
        <w:rPr>
          <w:lang w:val="en-GB"/>
        </w:rPr>
      </w:pPr>
      <w:bookmarkStart w:id="10" w:name="_Toc518466152"/>
      <w:bookmarkStart w:id="11" w:name="_Toc518655967"/>
      <w:r w:rsidRPr="00BD51BF">
        <w:rPr>
          <w:lang w:val="en-GB"/>
        </w:rPr>
        <w:lastRenderedPageBreak/>
        <w:t>Table of Contents</w:t>
      </w:r>
      <w:bookmarkEnd w:id="10"/>
      <w:bookmarkEnd w:id="11"/>
    </w:p>
    <w:p w14:paraId="54053161" w14:textId="19DFAF9B" w:rsidR="00E73365" w:rsidRPr="00BD51BF" w:rsidRDefault="00BA285C">
      <w:pPr>
        <w:pStyle w:val="TOC1"/>
        <w:rPr>
          <w:rFonts w:asciiTheme="minorHAnsi" w:eastAsiaTheme="minorEastAsia" w:hAnsiTheme="minorHAnsi" w:cstheme="minorBidi"/>
          <w:b w:val="0"/>
          <w:color w:val="auto"/>
          <w:kern w:val="2"/>
          <w:sz w:val="22"/>
          <w:szCs w:val="22"/>
          <w:lang w:val="en-GB"/>
          <w14:ligatures w14:val="standardContextual"/>
        </w:rPr>
      </w:pPr>
      <w:r w:rsidRPr="00BD51BF">
        <w:rPr>
          <w:b w:val="0"/>
          <w:lang w:val="en-GB"/>
        </w:rPr>
        <w:fldChar w:fldCharType="begin"/>
      </w:r>
      <w:r w:rsidRPr="00BD51BF">
        <w:rPr>
          <w:b w:val="0"/>
          <w:lang w:val="en-GB"/>
        </w:rPr>
        <w:instrText xml:space="preserve"> TOC \o "1-2" \h \z \t "Heading 3,3,Heading 3 (non-numbered),3" </w:instrText>
      </w:r>
      <w:r w:rsidRPr="00BD51BF">
        <w:rPr>
          <w:b w:val="0"/>
          <w:lang w:val="en-GB"/>
        </w:rPr>
        <w:fldChar w:fldCharType="separate"/>
      </w:r>
      <w:hyperlink w:anchor="_Toc154052357" w:history="1">
        <w:r w:rsidR="00E73365" w:rsidRPr="00BD51BF">
          <w:rPr>
            <w:rStyle w:val="Hyperlink"/>
            <w:rFonts w:eastAsia="Times New Roman"/>
            <w:lang w:val="en-GB"/>
          </w:rPr>
          <w:t>Title Page</w:t>
        </w:r>
        <w:r w:rsidR="00E73365" w:rsidRPr="00BD51BF">
          <w:rPr>
            <w:webHidden/>
            <w:lang w:val="en-GB"/>
          </w:rPr>
          <w:tab/>
        </w:r>
        <w:r w:rsidR="00E73365" w:rsidRPr="00BD51BF">
          <w:rPr>
            <w:webHidden/>
            <w:lang w:val="en-GB"/>
          </w:rPr>
          <w:fldChar w:fldCharType="begin"/>
        </w:r>
        <w:r w:rsidR="00E73365" w:rsidRPr="00BD51BF">
          <w:rPr>
            <w:webHidden/>
            <w:lang w:val="en-GB"/>
          </w:rPr>
          <w:instrText xml:space="preserve"> PAGEREF _Toc154052357 \h </w:instrText>
        </w:r>
        <w:r w:rsidR="00E73365" w:rsidRPr="00BD51BF">
          <w:rPr>
            <w:webHidden/>
            <w:lang w:val="en-GB"/>
          </w:rPr>
        </w:r>
        <w:r w:rsidR="00E73365" w:rsidRPr="00BD51BF">
          <w:rPr>
            <w:webHidden/>
            <w:lang w:val="en-GB"/>
          </w:rPr>
          <w:fldChar w:fldCharType="separate"/>
        </w:r>
        <w:r w:rsidR="00E73365" w:rsidRPr="00BD51BF">
          <w:rPr>
            <w:webHidden/>
            <w:lang w:val="en-GB"/>
          </w:rPr>
          <w:t>1</w:t>
        </w:r>
        <w:r w:rsidR="00E73365" w:rsidRPr="00BD51BF">
          <w:rPr>
            <w:webHidden/>
            <w:lang w:val="en-GB"/>
          </w:rPr>
          <w:fldChar w:fldCharType="end"/>
        </w:r>
      </w:hyperlink>
    </w:p>
    <w:p w14:paraId="664432D9" w14:textId="353847FA" w:rsidR="00E73365" w:rsidRPr="00BD51BF" w:rsidRDefault="00E73365">
      <w:pPr>
        <w:pStyle w:val="TOC1"/>
        <w:rPr>
          <w:rFonts w:asciiTheme="minorHAnsi" w:eastAsiaTheme="minorEastAsia" w:hAnsiTheme="minorHAnsi" w:cstheme="minorBidi"/>
          <w:b w:val="0"/>
          <w:color w:val="auto"/>
          <w:kern w:val="2"/>
          <w:sz w:val="22"/>
          <w:szCs w:val="22"/>
          <w:lang w:val="en-GB"/>
          <w14:ligatures w14:val="standardContextual"/>
        </w:rPr>
      </w:pPr>
      <w:hyperlink w:anchor="_Toc154052358" w:history="1">
        <w:r w:rsidRPr="00BD51BF">
          <w:rPr>
            <w:rStyle w:val="Hyperlink"/>
            <w:lang w:val="en-GB"/>
          </w:rPr>
          <w:t>Version History</w:t>
        </w:r>
        <w:r w:rsidRPr="00BD51BF">
          <w:rPr>
            <w:webHidden/>
            <w:lang w:val="en-GB"/>
          </w:rPr>
          <w:tab/>
        </w:r>
        <w:r w:rsidRPr="00BD51BF">
          <w:rPr>
            <w:webHidden/>
            <w:lang w:val="en-GB"/>
          </w:rPr>
          <w:fldChar w:fldCharType="begin"/>
        </w:r>
        <w:r w:rsidRPr="00BD51BF">
          <w:rPr>
            <w:webHidden/>
            <w:lang w:val="en-GB"/>
          </w:rPr>
          <w:instrText xml:space="preserve"> PAGEREF _Toc154052358 \h </w:instrText>
        </w:r>
        <w:r w:rsidRPr="00BD51BF">
          <w:rPr>
            <w:webHidden/>
            <w:lang w:val="en-GB"/>
          </w:rPr>
        </w:r>
        <w:r w:rsidRPr="00BD51BF">
          <w:rPr>
            <w:webHidden/>
            <w:lang w:val="en-GB"/>
          </w:rPr>
          <w:fldChar w:fldCharType="separate"/>
        </w:r>
        <w:r w:rsidRPr="00BD51BF">
          <w:rPr>
            <w:webHidden/>
            <w:lang w:val="en-GB"/>
          </w:rPr>
          <w:t>3</w:t>
        </w:r>
        <w:r w:rsidRPr="00BD51BF">
          <w:rPr>
            <w:webHidden/>
            <w:lang w:val="en-GB"/>
          </w:rPr>
          <w:fldChar w:fldCharType="end"/>
        </w:r>
      </w:hyperlink>
    </w:p>
    <w:p w14:paraId="615F9C27" w14:textId="38BF7139" w:rsidR="00E73365" w:rsidRPr="00BD51BF" w:rsidRDefault="00E73365">
      <w:pPr>
        <w:pStyle w:val="TOC1"/>
        <w:rPr>
          <w:rFonts w:asciiTheme="minorHAnsi" w:eastAsiaTheme="minorEastAsia" w:hAnsiTheme="minorHAnsi" w:cstheme="minorBidi"/>
          <w:b w:val="0"/>
          <w:color w:val="auto"/>
          <w:kern w:val="2"/>
          <w:sz w:val="22"/>
          <w:szCs w:val="22"/>
          <w:lang w:val="en-GB"/>
          <w14:ligatures w14:val="standardContextual"/>
        </w:rPr>
      </w:pPr>
      <w:hyperlink w:anchor="_Toc154052359" w:history="1">
        <w:r w:rsidRPr="00BD51BF">
          <w:rPr>
            <w:rStyle w:val="Hyperlink"/>
            <w:lang w:val="en-GB"/>
          </w:rPr>
          <w:t>1.</w:t>
        </w:r>
        <w:r w:rsidRPr="00BD51BF">
          <w:rPr>
            <w:rFonts w:asciiTheme="minorHAnsi" w:eastAsiaTheme="minorEastAsia" w:hAnsiTheme="minorHAnsi" w:cstheme="minorBidi"/>
            <w:b w:val="0"/>
            <w:color w:val="auto"/>
            <w:kern w:val="2"/>
            <w:sz w:val="22"/>
            <w:szCs w:val="22"/>
            <w:lang w:val="en-GB"/>
            <w14:ligatures w14:val="standardContextual"/>
          </w:rPr>
          <w:tab/>
        </w:r>
        <w:r w:rsidRPr="00BD51BF">
          <w:rPr>
            <w:rStyle w:val="Hyperlink"/>
            <w:lang w:val="en-GB"/>
          </w:rPr>
          <w:t>Introduction</w:t>
        </w:r>
        <w:r w:rsidRPr="00BD51BF">
          <w:rPr>
            <w:webHidden/>
            <w:lang w:val="en-GB"/>
          </w:rPr>
          <w:tab/>
        </w:r>
        <w:r w:rsidRPr="00BD51BF">
          <w:rPr>
            <w:webHidden/>
            <w:lang w:val="en-GB"/>
          </w:rPr>
          <w:fldChar w:fldCharType="begin"/>
        </w:r>
        <w:r w:rsidRPr="00BD51BF">
          <w:rPr>
            <w:webHidden/>
            <w:lang w:val="en-GB"/>
          </w:rPr>
          <w:instrText xml:space="preserve"> PAGEREF _Toc154052359 \h </w:instrText>
        </w:r>
        <w:r w:rsidRPr="00BD51BF">
          <w:rPr>
            <w:webHidden/>
            <w:lang w:val="en-GB"/>
          </w:rPr>
        </w:r>
        <w:r w:rsidRPr="00BD51BF">
          <w:rPr>
            <w:webHidden/>
            <w:lang w:val="en-GB"/>
          </w:rPr>
          <w:fldChar w:fldCharType="separate"/>
        </w:r>
        <w:r w:rsidRPr="00BD51BF">
          <w:rPr>
            <w:webHidden/>
            <w:lang w:val="en-GB"/>
          </w:rPr>
          <w:t>4</w:t>
        </w:r>
        <w:r w:rsidRPr="00BD51BF">
          <w:rPr>
            <w:webHidden/>
            <w:lang w:val="en-GB"/>
          </w:rPr>
          <w:fldChar w:fldCharType="end"/>
        </w:r>
      </w:hyperlink>
    </w:p>
    <w:p w14:paraId="2BF65E88" w14:textId="4908191C" w:rsidR="00E73365" w:rsidRPr="00BD51BF" w:rsidRDefault="00E73365">
      <w:pPr>
        <w:pStyle w:val="TOC2"/>
        <w:rPr>
          <w:rFonts w:asciiTheme="minorHAnsi" w:eastAsiaTheme="minorEastAsia" w:hAnsiTheme="minorHAnsi" w:cstheme="minorBidi"/>
          <w:color w:val="auto"/>
          <w:kern w:val="2"/>
          <w:sz w:val="22"/>
          <w:szCs w:val="22"/>
          <w:lang w:val="en-GB"/>
          <w14:ligatures w14:val="standardContextual"/>
        </w:rPr>
      </w:pPr>
      <w:hyperlink w:anchor="_Toc154052360" w:history="1">
        <w:r w:rsidRPr="00BD51BF">
          <w:rPr>
            <w:rStyle w:val="Hyperlink"/>
            <w:lang w:val="en-GB"/>
          </w:rPr>
          <w:t>1.1.</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Objectives, Endpoints, and Estimands</w:t>
        </w:r>
        <w:r w:rsidRPr="00BD51BF">
          <w:rPr>
            <w:webHidden/>
            <w:lang w:val="en-GB"/>
          </w:rPr>
          <w:tab/>
        </w:r>
        <w:r w:rsidRPr="00BD51BF">
          <w:rPr>
            <w:webHidden/>
            <w:lang w:val="en-GB"/>
          </w:rPr>
          <w:fldChar w:fldCharType="begin"/>
        </w:r>
        <w:r w:rsidRPr="00BD51BF">
          <w:rPr>
            <w:webHidden/>
            <w:lang w:val="en-GB"/>
          </w:rPr>
          <w:instrText xml:space="preserve"> PAGEREF _Toc154052360 \h </w:instrText>
        </w:r>
        <w:r w:rsidRPr="00BD51BF">
          <w:rPr>
            <w:webHidden/>
            <w:lang w:val="en-GB"/>
          </w:rPr>
        </w:r>
        <w:r w:rsidRPr="00BD51BF">
          <w:rPr>
            <w:webHidden/>
            <w:lang w:val="en-GB"/>
          </w:rPr>
          <w:fldChar w:fldCharType="separate"/>
        </w:r>
        <w:r w:rsidRPr="00BD51BF">
          <w:rPr>
            <w:webHidden/>
            <w:lang w:val="en-GB"/>
          </w:rPr>
          <w:t>4</w:t>
        </w:r>
        <w:r w:rsidRPr="00BD51BF">
          <w:rPr>
            <w:webHidden/>
            <w:lang w:val="en-GB"/>
          </w:rPr>
          <w:fldChar w:fldCharType="end"/>
        </w:r>
      </w:hyperlink>
    </w:p>
    <w:p w14:paraId="2595637F" w14:textId="6FDFC0BC" w:rsidR="00E73365" w:rsidRPr="00BD51BF" w:rsidRDefault="00E73365">
      <w:pPr>
        <w:pStyle w:val="TOC2"/>
        <w:rPr>
          <w:rFonts w:asciiTheme="minorHAnsi" w:eastAsiaTheme="minorEastAsia" w:hAnsiTheme="minorHAnsi" w:cstheme="minorBidi"/>
          <w:color w:val="auto"/>
          <w:kern w:val="2"/>
          <w:sz w:val="22"/>
          <w:szCs w:val="22"/>
          <w:lang w:val="en-GB"/>
          <w14:ligatures w14:val="standardContextual"/>
        </w:rPr>
      </w:pPr>
      <w:hyperlink w:anchor="_Toc154052361" w:history="1">
        <w:r w:rsidRPr="00BD51BF">
          <w:rPr>
            <w:rStyle w:val="Hyperlink"/>
            <w:lang w:val="en-GB"/>
          </w:rPr>
          <w:t>1.2.</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Study Design</w:t>
        </w:r>
        <w:r w:rsidRPr="00BD51BF">
          <w:rPr>
            <w:webHidden/>
            <w:lang w:val="en-GB"/>
          </w:rPr>
          <w:tab/>
        </w:r>
        <w:r w:rsidRPr="00BD51BF">
          <w:rPr>
            <w:webHidden/>
            <w:lang w:val="en-GB"/>
          </w:rPr>
          <w:fldChar w:fldCharType="begin"/>
        </w:r>
        <w:r w:rsidRPr="00BD51BF">
          <w:rPr>
            <w:webHidden/>
            <w:lang w:val="en-GB"/>
          </w:rPr>
          <w:instrText xml:space="preserve"> PAGEREF _Toc154052361 \h </w:instrText>
        </w:r>
        <w:r w:rsidRPr="00BD51BF">
          <w:rPr>
            <w:webHidden/>
            <w:lang w:val="en-GB"/>
          </w:rPr>
        </w:r>
        <w:r w:rsidRPr="00BD51BF">
          <w:rPr>
            <w:webHidden/>
            <w:lang w:val="en-GB"/>
          </w:rPr>
          <w:fldChar w:fldCharType="separate"/>
        </w:r>
        <w:r w:rsidRPr="00BD51BF">
          <w:rPr>
            <w:webHidden/>
            <w:lang w:val="en-GB"/>
          </w:rPr>
          <w:t>5</w:t>
        </w:r>
        <w:r w:rsidRPr="00BD51BF">
          <w:rPr>
            <w:webHidden/>
            <w:lang w:val="en-GB"/>
          </w:rPr>
          <w:fldChar w:fldCharType="end"/>
        </w:r>
      </w:hyperlink>
    </w:p>
    <w:p w14:paraId="6F16BBAD" w14:textId="1FC83BA0" w:rsidR="00E73365" w:rsidRPr="00BD51BF" w:rsidRDefault="00E73365">
      <w:pPr>
        <w:pStyle w:val="TOC1"/>
        <w:rPr>
          <w:rFonts w:asciiTheme="minorHAnsi" w:eastAsiaTheme="minorEastAsia" w:hAnsiTheme="minorHAnsi" w:cstheme="minorBidi"/>
          <w:b w:val="0"/>
          <w:color w:val="auto"/>
          <w:kern w:val="2"/>
          <w:sz w:val="22"/>
          <w:szCs w:val="22"/>
          <w:lang w:val="en-GB"/>
          <w14:ligatures w14:val="standardContextual"/>
        </w:rPr>
      </w:pPr>
      <w:hyperlink w:anchor="_Toc154052362" w:history="1">
        <w:r w:rsidRPr="00BD51BF">
          <w:rPr>
            <w:rStyle w:val="Hyperlink"/>
            <w:lang w:val="en-GB"/>
          </w:rPr>
          <w:t>2.</w:t>
        </w:r>
        <w:r w:rsidRPr="00BD51BF">
          <w:rPr>
            <w:rFonts w:asciiTheme="minorHAnsi" w:eastAsiaTheme="minorEastAsia" w:hAnsiTheme="minorHAnsi" w:cstheme="minorBidi"/>
            <w:b w:val="0"/>
            <w:color w:val="auto"/>
            <w:kern w:val="2"/>
            <w:sz w:val="22"/>
            <w:szCs w:val="22"/>
            <w:lang w:val="en-GB"/>
            <w14:ligatures w14:val="standardContextual"/>
          </w:rPr>
          <w:tab/>
        </w:r>
        <w:r w:rsidRPr="00BD51BF">
          <w:rPr>
            <w:rStyle w:val="Hyperlink"/>
            <w:lang w:val="en-GB"/>
          </w:rPr>
          <w:t>General Considerations</w:t>
        </w:r>
        <w:r w:rsidRPr="00BD51BF">
          <w:rPr>
            <w:webHidden/>
            <w:lang w:val="en-GB"/>
          </w:rPr>
          <w:tab/>
        </w:r>
        <w:r w:rsidRPr="00BD51BF">
          <w:rPr>
            <w:webHidden/>
            <w:lang w:val="en-GB"/>
          </w:rPr>
          <w:fldChar w:fldCharType="begin"/>
        </w:r>
        <w:r w:rsidRPr="00BD51BF">
          <w:rPr>
            <w:webHidden/>
            <w:lang w:val="en-GB"/>
          </w:rPr>
          <w:instrText xml:space="preserve"> PAGEREF _Toc154052362 \h </w:instrText>
        </w:r>
        <w:r w:rsidRPr="00BD51BF">
          <w:rPr>
            <w:webHidden/>
            <w:lang w:val="en-GB"/>
          </w:rPr>
        </w:r>
        <w:r w:rsidRPr="00BD51BF">
          <w:rPr>
            <w:webHidden/>
            <w:lang w:val="en-GB"/>
          </w:rPr>
          <w:fldChar w:fldCharType="separate"/>
        </w:r>
        <w:r w:rsidRPr="00BD51BF">
          <w:rPr>
            <w:webHidden/>
            <w:lang w:val="en-GB"/>
          </w:rPr>
          <w:t>6</w:t>
        </w:r>
        <w:r w:rsidRPr="00BD51BF">
          <w:rPr>
            <w:webHidden/>
            <w:lang w:val="en-GB"/>
          </w:rPr>
          <w:fldChar w:fldCharType="end"/>
        </w:r>
      </w:hyperlink>
    </w:p>
    <w:p w14:paraId="562AD30F" w14:textId="4F71BE29" w:rsidR="00E73365" w:rsidRPr="00BD51BF" w:rsidRDefault="00E73365">
      <w:pPr>
        <w:pStyle w:val="TOC2"/>
        <w:rPr>
          <w:rFonts w:asciiTheme="minorHAnsi" w:eastAsiaTheme="minorEastAsia" w:hAnsiTheme="minorHAnsi" w:cstheme="minorBidi"/>
          <w:color w:val="auto"/>
          <w:kern w:val="2"/>
          <w:sz w:val="22"/>
          <w:szCs w:val="22"/>
          <w:lang w:val="en-GB"/>
          <w14:ligatures w14:val="standardContextual"/>
        </w:rPr>
      </w:pPr>
      <w:hyperlink w:anchor="_Toc154052363" w:history="1">
        <w:r w:rsidRPr="00BD51BF">
          <w:rPr>
            <w:rStyle w:val="Hyperlink"/>
            <w:lang w:val="en-GB"/>
          </w:rPr>
          <w:t>2.1.</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[Decision Criteria/Statistical Hypotheses]</w:t>
        </w:r>
        <w:r w:rsidRPr="00BD51BF">
          <w:rPr>
            <w:webHidden/>
            <w:lang w:val="en-GB"/>
          </w:rPr>
          <w:tab/>
        </w:r>
        <w:r w:rsidRPr="00BD51BF">
          <w:rPr>
            <w:webHidden/>
            <w:lang w:val="en-GB"/>
          </w:rPr>
          <w:fldChar w:fldCharType="begin"/>
        </w:r>
        <w:r w:rsidRPr="00BD51BF">
          <w:rPr>
            <w:webHidden/>
            <w:lang w:val="en-GB"/>
          </w:rPr>
          <w:instrText xml:space="preserve"> PAGEREF _Toc154052363 \h </w:instrText>
        </w:r>
        <w:r w:rsidRPr="00BD51BF">
          <w:rPr>
            <w:webHidden/>
            <w:lang w:val="en-GB"/>
          </w:rPr>
        </w:r>
        <w:r w:rsidRPr="00BD51BF">
          <w:rPr>
            <w:webHidden/>
            <w:lang w:val="en-GB"/>
          </w:rPr>
          <w:fldChar w:fldCharType="separate"/>
        </w:r>
        <w:r w:rsidRPr="00BD51BF">
          <w:rPr>
            <w:webHidden/>
            <w:lang w:val="en-GB"/>
          </w:rPr>
          <w:t>6</w:t>
        </w:r>
        <w:r w:rsidRPr="00BD51BF">
          <w:rPr>
            <w:webHidden/>
            <w:lang w:val="en-GB"/>
          </w:rPr>
          <w:fldChar w:fldCharType="end"/>
        </w:r>
      </w:hyperlink>
    </w:p>
    <w:p w14:paraId="43EFBFFD" w14:textId="4F59CF3F" w:rsidR="00E73365" w:rsidRPr="00BD51BF" w:rsidRDefault="00E73365">
      <w:pPr>
        <w:pStyle w:val="TOC2"/>
        <w:rPr>
          <w:rFonts w:asciiTheme="minorHAnsi" w:eastAsiaTheme="minorEastAsia" w:hAnsiTheme="minorHAnsi" w:cstheme="minorBidi"/>
          <w:color w:val="auto"/>
          <w:kern w:val="2"/>
          <w:sz w:val="22"/>
          <w:szCs w:val="22"/>
          <w:lang w:val="en-GB"/>
          <w14:ligatures w14:val="standardContextual"/>
        </w:rPr>
      </w:pPr>
      <w:hyperlink w:anchor="_Toc154052364" w:history="1">
        <w:r w:rsidRPr="00BD51BF">
          <w:rPr>
            <w:rStyle w:val="Hyperlink"/>
            <w:lang w:val="en-GB"/>
          </w:rPr>
          <w:t>2.2.</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Multiplicity Adjustment</w:t>
        </w:r>
        <w:r w:rsidRPr="00BD51BF">
          <w:rPr>
            <w:webHidden/>
            <w:lang w:val="en-GB"/>
          </w:rPr>
          <w:tab/>
        </w:r>
        <w:r w:rsidRPr="00BD51BF">
          <w:rPr>
            <w:webHidden/>
            <w:lang w:val="en-GB"/>
          </w:rPr>
          <w:fldChar w:fldCharType="begin"/>
        </w:r>
        <w:r w:rsidRPr="00BD51BF">
          <w:rPr>
            <w:webHidden/>
            <w:lang w:val="en-GB"/>
          </w:rPr>
          <w:instrText xml:space="preserve"> PAGEREF _Toc154052364 \h </w:instrText>
        </w:r>
        <w:r w:rsidRPr="00BD51BF">
          <w:rPr>
            <w:webHidden/>
            <w:lang w:val="en-GB"/>
          </w:rPr>
        </w:r>
        <w:r w:rsidRPr="00BD51BF">
          <w:rPr>
            <w:webHidden/>
            <w:lang w:val="en-GB"/>
          </w:rPr>
          <w:fldChar w:fldCharType="separate"/>
        </w:r>
        <w:r w:rsidRPr="00BD51BF">
          <w:rPr>
            <w:webHidden/>
            <w:lang w:val="en-GB"/>
          </w:rPr>
          <w:t>6</w:t>
        </w:r>
        <w:r w:rsidRPr="00BD51BF">
          <w:rPr>
            <w:webHidden/>
            <w:lang w:val="en-GB"/>
          </w:rPr>
          <w:fldChar w:fldCharType="end"/>
        </w:r>
      </w:hyperlink>
    </w:p>
    <w:p w14:paraId="5FA52912" w14:textId="1CB6DA9D" w:rsidR="00E73365" w:rsidRPr="00BD51BF" w:rsidRDefault="00E73365">
      <w:pPr>
        <w:pStyle w:val="TOC2"/>
        <w:rPr>
          <w:rFonts w:asciiTheme="minorHAnsi" w:eastAsiaTheme="minorEastAsia" w:hAnsiTheme="minorHAnsi" w:cstheme="minorBidi"/>
          <w:color w:val="auto"/>
          <w:kern w:val="2"/>
          <w:sz w:val="22"/>
          <w:szCs w:val="22"/>
          <w:lang w:val="en-GB"/>
          <w14:ligatures w14:val="standardContextual"/>
        </w:rPr>
      </w:pPr>
      <w:hyperlink w:anchor="_Toc154052365" w:history="1">
        <w:r w:rsidRPr="00BD51BF">
          <w:rPr>
            <w:rStyle w:val="Hyperlink"/>
            <w:lang w:val="en-GB"/>
          </w:rPr>
          <w:t>2.3.</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Impact of Intercurrent Events Strategies</w:t>
        </w:r>
        <w:r w:rsidRPr="00BD51BF">
          <w:rPr>
            <w:webHidden/>
            <w:lang w:val="en-GB"/>
          </w:rPr>
          <w:tab/>
        </w:r>
        <w:r w:rsidRPr="00BD51BF">
          <w:rPr>
            <w:webHidden/>
            <w:lang w:val="en-GB"/>
          </w:rPr>
          <w:fldChar w:fldCharType="begin"/>
        </w:r>
        <w:r w:rsidRPr="00BD51BF">
          <w:rPr>
            <w:webHidden/>
            <w:lang w:val="en-GB"/>
          </w:rPr>
          <w:instrText xml:space="preserve"> PAGEREF _Toc154052365 \h </w:instrText>
        </w:r>
        <w:r w:rsidRPr="00BD51BF">
          <w:rPr>
            <w:webHidden/>
            <w:lang w:val="en-GB"/>
          </w:rPr>
        </w:r>
        <w:r w:rsidRPr="00BD51BF">
          <w:rPr>
            <w:webHidden/>
            <w:lang w:val="en-GB"/>
          </w:rPr>
          <w:fldChar w:fldCharType="separate"/>
        </w:r>
        <w:r w:rsidRPr="00BD51BF">
          <w:rPr>
            <w:webHidden/>
            <w:lang w:val="en-GB"/>
          </w:rPr>
          <w:t>6</w:t>
        </w:r>
        <w:r w:rsidRPr="00BD51BF">
          <w:rPr>
            <w:webHidden/>
            <w:lang w:val="en-GB"/>
          </w:rPr>
          <w:fldChar w:fldCharType="end"/>
        </w:r>
      </w:hyperlink>
    </w:p>
    <w:p w14:paraId="5E258169" w14:textId="3AF24133" w:rsidR="00E73365" w:rsidRPr="00BD51BF" w:rsidRDefault="00E73365">
      <w:pPr>
        <w:pStyle w:val="TOC2"/>
        <w:rPr>
          <w:rFonts w:asciiTheme="minorHAnsi" w:eastAsiaTheme="minorEastAsia" w:hAnsiTheme="minorHAnsi" w:cstheme="minorBidi"/>
          <w:color w:val="auto"/>
          <w:kern w:val="2"/>
          <w:sz w:val="22"/>
          <w:szCs w:val="22"/>
          <w:lang w:val="en-GB"/>
          <w14:ligatures w14:val="standardContextual"/>
        </w:rPr>
      </w:pPr>
      <w:hyperlink w:anchor="_Toc154052366" w:history="1">
        <w:r w:rsidRPr="00BD51BF">
          <w:rPr>
            <w:rStyle w:val="Hyperlink"/>
            <w:lang w:val="en-GB"/>
          </w:rPr>
          <w:t>2.4.</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Handling of Missing Data</w:t>
        </w:r>
        <w:r w:rsidRPr="00BD51BF">
          <w:rPr>
            <w:webHidden/>
            <w:lang w:val="en-GB"/>
          </w:rPr>
          <w:tab/>
        </w:r>
        <w:r w:rsidRPr="00BD51BF">
          <w:rPr>
            <w:webHidden/>
            <w:lang w:val="en-GB"/>
          </w:rPr>
          <w:fldChar w:fldCharType="begin"/>
        </w:r>
        <w:r w:rsidRPr="00BD51BF">
          <w:rPr>
            <w:webHidden/>
            <w:lang w:val="en-GB"/>
          </w:rPr>
          <w:instrText xml:space="preserve"> PAGEREF _Toc154052366 \h </w:instrText>
        </w:r>
        <w:r w:rsidRPr="00BD51BF">
          <w:rPr>
            <w:webHidden/>
            <w:lang w:val="en-GB"/>
          </w:rPr>
        </w:r>
        <w:r w:rsidRPr="00BD51BF">
          <w:rPr>
            <w:webHidden/>
            <w:lang w:val="en-GB"/>
          </w:rPr>
          <w:fldChar w:fldCharType="separate"/>
        </w:r>
        <w:r w:rsidRPr="00BD51BF">
          <w:rPr>
            <w:webHidden/>
            <w:lang w:val="en-GB"/>
          </w:rPr>
          <w:t>6</w:t>
        </w:r>
        <w:r w:rsidRPr="00BD51BF">
          <w:rPr>
            <w:webHidden/>
            <w:lang w:val="en-GB"/>
          </w:rPr>
          <w:fldChar w:fldCharType="end"/>
        </w:r>
      </w:hyperlink>
    </w:p>
    <w:p w14:paraId="5FE28C3C" w14:textId="377B470C" w:rsidR="00E73365" w:rsidRPr="00BD51BF" w:rsidRDefault="00E73365">
      <w:pPr>
        <w:pStyle w:val="TOC1"/>
        <w:rPr>
          <w:rFonts w:asciiTheme="minorHAnsi" w:eastAsiaTheme="minorEastAsia" w:hAnsiTheme="minorHAnsi" w:cstheme="minorBidi"/>
          <w:b w:val="0"/>
          <w:color w:val="auto"/>
          <w:kern w:val="2"/>
          <w:sz w:val="22"/>
          <w:szCs w:val="22"/>
          <w:lang w:val="en-GB"/>
          <w14:ligatures w14:val="standardContextual"/>
        </w:rPr>
      </w:pPr>
      <w:hyperlink w:anchor="_Toc154052367" w:history="1">
        <w:r w:rsidRPr="00BD51BF">
          <w:rPr>
            <w:rStyle w:val="Hyperlink"/>
            <w:lang w:val="en-GB"/>
          </w:rPr>
          <w:t>3.</w:t>
        </w:r>
        <w:r w:rsidRPr="00BD51BF">
          <w:rPr>
            <w:rFonts w:asciiTheme="minorHAnsi" w:eastAsiaTheme="minorEastAsia" w:hAnsiTheme="minorHAnsi" w:cstheme="minorBidi"/>
            <w:b w:val="0"/>
            <w:color w:val="auto"/>
            <w:kern w:val="2"/>
            <w:sz w:val="22"/>
            <w:szCs w:val="22"/>
            <w:lang w:val="en-GB"/>
            <w14:ligatures w14:val="standardContextual"/>
          </w:rPr>
          <w:tab/>
        </w:r>
        <w:r w:rsidRPr="00BD51BF">
          <w:rPr>
            <w:rStyle w:val="Hyperlink"/>
            <w:lang w:val="en-GB"/>
          </w:rPr>
          <w:t>Analysis Sets</w:t>
        </w:r>
        <w:r w:rsidRPr="00BD51BF">
          <w:rPr>
            <w:webHidden/>
            <w:lang w:val="en-GB"/>
          </w:rPr>
          <w:tab/>
        </w:r>
        <w:r w:rsidRPr="00BD51BF">
          <w:rPr>
            <w:webHidden/>
            <w:lang w:val="en-GB"/>
          </w:rPr>
          <w:fldChar w:fldCharType="begin"/>
        </w:r>
        <w:r w:rsidRPr="00BD51BF">
          <w:rPr>
            <w:webHidden/>
            <w:lang w:val="en-GB"/>
          </w:rPr>
          <w:instrText xml:space="preserve"> PAGEREF _Toc154052367 \h </w:instrText>
        </w:r>
        <w:r w:rsidRPr="00BD51BF">
          <w:rPr>
            <w:webHidden/>
            <w:lang w:val="en-GB"/>
          </w:rPr>
        </w:r>
        <w:r w:rsidRPr="00BD51BF">
          <w:rPr>
            <w:webHidden/>
            <w:lang w:val="en-GB"/>
          </w:rPr>
          <w:fldChar w:fldCharType="separate"/>
        </w:r>
        <w:r w:rsidRPr="00BD51BF">
          <w:rPr>
            <w:webHidden/>
            <w:lang w:val="en-GB"/>
          </w:rPr>
          <w:t>7</w:t>
        </w:r>
        <w:r w:rsidRPr="00BD51BF">
          <w:rPr>
            <w:webHidden/>
            <w:lang w:val="en-GB"/>
          </w:rPr>
          <w:fldChar w:fldCharType="end"/>
        </w:r>
      </w:hyperlink>
    </w:p>
    <w:p w14:paraId="112AB3A4" w14:textId="12D66C30" w:rsidR="00E73365" w:rsidRPr="00BD51BF" w:rsidRDefault="00E73365">
      <w:pPr>
        <w:pStyle w:val="TOC1"/>
        <w:rPr>
          <w:rFonts w:asciiTheme="minorHAnsi" w:eastAsiaTheme="minorEastAsia" w:hAnsiTheme="minorHAnsi" w:cstheme="minorBidi"/>
          <w:b w:val="0"/>
          <w:color w:val="auto"/>
          <w:kern w:val="2"/>
          <w:sz w:val="22"/>
          <w:szCs w:val="22"/>
          <w:lang w:val="en-GB"/>
          <w14:ligatures w14:val="standardContextual"/>
        </w:rPr>
      </w:pPr>
      <w:hyperlink w:anchor="_Toc154052368" w:history="1">
        <w:r w:rsidRPr="00BD51BF">
          <w:rPr>
            <w:rStyle w:val="Hyperlink"/>
            <w:lang w:val="en-GB"/>
          </w:rPr>
          <w:t>4.</w:t>
        </w:r>
        <w:r w:rsidRPr="00BD51BF">
          <w:rPr>
            <w:rFonts w:asciiTheme="minorHAnsi" w:eastAsiaTheme="minorEastAsia" w:hAnsiTheme="minorHAnsi" w:cstheme="minorBidi"/>
            <w:b w:val="0"/>
            <w:color w:val="auto"/>
            <w:kern w:val="2"/>
            <w:sz w:val="22"/>
            <w:szCs w:val="22"/>
            <w:lang w:val="en-GB"/>
            <w14:ligatures w14:val="standardContextual"/>
          </w:rPr>
          <w:tab/>
        </w:r>
        <w:r w:rsidRPr="00BD51BF">
          <w:rPr>
            <w:rStyle w:val="Hyperlink"/>
            <w:lang w:val="en-GB"/>
          </w:rPr>
          <w:t>Analyses Supporting Primary Objective(s)</w:t>
        </w:r>
        <w:r w:rsidRPr="00BD51BF">
          <w:rPr>
            <w:webHidden/>
            <w:lang w:val="en-GB"/>
          </w:rPr>
          <w:tab/>
        </w:r>
        <w:r w:rsidRPr="00BD51BF">
          <w:rPr>
            <w:webHidden/>
            <w:lang w:val="en-GB"/>
          </w:rPr>
          <w:fldChar w:fldCharType="begin"/>
        </w:r>
        <w:r w:rsidRPr="00BD51BF">
          <w:rPr>
            <w:webHidden/>
            <w:lang w:val="en-GB"/>
          </w:rPr>
          <w:instrText xml:space="preserve"> PAGEREF _Toc154052368 \h </w:instrText>
        </w:r>
        <w:r w:rsidRPr="00BD51BF">
          <w:rPr>
            <w:webHidden/>
            <w:lang w:val="en-GB"/>
          </w:rPr>
        </w:r>
        <w:r w:rsidRPr="00BD51BF">
          <w:rPr>
            <w:webHidden/>
            <w:lang w:val="en-GB"/>
          </w:rPr>
          <w:fldChar w:fldCharType="separate"/>
        </w:r>
        <w:r w:rsidRPr="00BD51BF">
          <w:rPr>
            <w:webHidden/>
            <w:lang w:val="en-GB"/>
          </w:rPr>
          <w:t>9</w:t>
        </w:r>
        <w:r w:rsidRPr="00BD51BF">
          <w:rPr>
            <w:webHidden/>
            <w:lang w:val="en-GB"/>
          </w:rPr>
          <w:fldChar w:fldCharType="end"/>
        </w:r>
      </w:hyperlink>
    </w:p>
    <w:p w14:paraId="2E3A45E3" w14:textId="1F59BDE2" w:rsidR="00E73365" w:rsidRPr="00BD51BF" w:rsidRDefault="00E73365">
      <w:pPr>
        <w:pStyle w:val="TOC2"/>
        <w:rPr>
          <w:rFonts w:asciiTheme="minorHAnsi" w:eastAsiaTheme="minorEastAsia" w:hAnsiTheme="minorHAnsi" w:cstheme="minorBidi"/>
          <w:color w:val="auto"/>
          <w:kern w:val="2"/>
          <w:sz w:val="22"/>
          <w:szCs w:val="22"/>
          <w:lang w:val="en-GB"/>
          <w14:ligatures w14:val="standardContextual"/>
        </w:rPr>
      </w:pPr>
      <w:hyperlink w:anchor="_Toc154052369" w:history="1">
        <w:r w:rsidRPr="00BD51BF">
          <w:rPr>
            <w:rStyle w:val="Hyperlink"/>
            <w:lang w:val="en-GB"/>
          </w:rPr>
          <w:t>4.1.</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Primary [Endpoint(s)/Estimand(s)]</w:t>
        </w:r>
        <w:r w:rsidRPr="00BD51BF">
          <w:rPr>
            <w:webHidden/>
            <w:lang w:val="en-GB"/>
          </w:rPr>
          <w:tab/>
        </w:r>
        <w:r w:rsidRPr="00BD51BF">
          <w:rPr>
            <w:webHidden/>
            <w:lang w:val="en-GB"/>
          </w:rPr>
          <w:fldChar w:fldCharType="begin"/>
        </w:r>
        <w:r w:rsidRPr="00BD51BF">
          <w:rPr>
            <w:webHidden/>
            <w:lang w:val="en-GB"/>
          </w:rPr>
          <w:instrText xml:space="preserve"> PAGEREF _Toc154052369 \h </w:instrText>
        </w:r>
        <w:r w:rsidRPr="00BD51BF">
          <w:rPr>
            <w:webHidden/>
            <w:lang w:val="en-GB"/>
          </w:rPr>
        </w:r>
        <w:r w:rsidRPr="00BD51BF">
          <w:rPr>
            <w:webHidden/>
            <w:lang w:val="en-GB"/>
          </w:rPr>
          <w:fldChar w:fldCharType="separate"/>
        </w:r>
        <w:r w:rsidRPr="00BD51BF">
          <w:rPr>
            <w:webHidden/>
            <w:lang w:val="en-GB"/>
          </w:rPr>
          <w:t>9</w:t>
        </w:r>
        <w:r w:rsidRPr="00BD51BF">
          <w:rPr>
            <w:webHidden/>
            <w:lang w:val="en-GB"/>
          </w:rPr>
          <w:fldChar w:fldCharType="end"/>
        </w:r>
      </w:hyperlink>
    </w:p>
    <w:p w14:paraId="0C97EEDC" w14:textId="3AA36E72" w:rsidR="00E73365" w:rsidRPr="00BD51BF" w:rsidRDefault="00E73365">
      <w:pPr>
        <w:pStyle w:val="TOC3"/>
        <w:rPr>
          <w:rFonts w:asciiTheme="minorHAnsi" w:eastAsiaTheme="minorEastAsia" w:hAnsiTheme="minorHAnsi" w:cstheme="minorBidi"/>
          <w:color w:val="auto"/>
          <w:kern w:val="2"/>
          <w:sz w:val="22"/>
          <w:szCs w:val="22"/>
          <w:lang w:val="en-GB"/>
          <w14:ligatures w14:val="standardContextual"/>
        </w:rPr>
      </w:pPr>
      <w:hyperlink w:anchor="_Toc154052370" w:history="1">
        <w:r w:rsidRPr="00BD51BF">
          <w:rPr>
            <w:rStyle w:val="Hyperlink"/>
            <w:lang w:val="en-GB"/>
          </w:rPr>
          <w:t>4.1.1.</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Definition of Endpoint(s)</w:t>
        </w:r>
        <w:r w:rsidRPr="00BD51BF">
          <w:rPr>
            <w:webHidden/>
            <w:lang w:val="en-GB"/>
          </w:rPr>
          <w:tab/>
        </w:r>
        <w:r w:rsidRPr="00BD51BF">
          <w:rPr>
            <w:webHidden/>
            <w:lang w:val="en-GB"/>
          </w:rPr>
          <w:fldChar w:fldCharType="begin"/>
        </w:r>
        <w:r w:rsidRPr="00BD51BF">
          <w:rPr>
            <w:webHidden/>
            <w:lang w:val="en-GB"/>
          </w:rPr>
          <w:instrText xml:space="preserve"> PAGEREF _Toc154052370 \h </w:instrText>
        </w:r>
        <w:r w:rsidRPr="00BD51BF">
          <w:rPr>
            <w:webHidden/>
            <w:lang w:val="en-GB"/>
          </w:rPr>
        </w:r>
        <w:r w:rsidRPr="00BD51BF">
          <w:rPr>
            <w:webHidden/>
            <w:lang w:val="en-GB"/>
          </w:rPr>
          <w:fldChar w:fldCharType="separate"/>
        </w:r>
        <w:r w:rsidRPr="00BD51BF">
          <w:rPr>
            <w:webHidden/>
            <w:lang w:val="en-GB"/>
          </w:rPr>
          <w:t>9</w:t>
        </w:r>
        <w:r w:rsidRPr="00BD51BF">
          <w:rPr>
            <w:webHidden/>
            <w:lang w:val="en-GB"/>
          </w:rPr>
          <w:fldChar w:fldCharType="end"/>
        </w:r>
      </w:hyperlink>
    </w:p>
    <w:p w14:paraId="3BB315C9" w14:textId="75FCF9A7" w:rsidR="00E73365" w:rsidRPr="00BD51BF" w:rsidRDefault="00E73365">
      <w:pPr>
        <w:pStyle w:val="TOC3"/>
        <w:rPr>
          <w:rFonts w:asciiTheme="minorHAnsi" w:eastAsiaTheme="minorEastAsia" w:hAnsiTheme="minorHAnsi" w:cstheme="minorBidi"/>
          <w:color w:val="auto"/>
          <w:kern w:val="2"/>
          <w:sz w:val="22"/>
          <w:szCs w:val="22"/>
          <w:lang w:val="en-GB"/>
          <w14:ligatures w14:val="standardContextual"/>
        </w:rPr>
      </w:pPr>
      <w:hyperlink w:anchor="_Toc154052371" w:history="1">
        <w:r w:rsidRPr="00BD51BF">
          <w:rPr>
            <w:rStyle w:val="Hyperlink"/>
            <w:lang w:val="en-GB"/>
          </w:rPr>
          <w:t>4.1.2.</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Main Analytical Approach</w:t>
        </w:r>
        <w:r w:rsidRPr="00BD51BF">
          <w:rPr>
            <w:webHidden/>
            <w:lang w:val="en-GB"/>
          </w:rPr>
          <w:tab/>
        </w:r>
        <w:r w:rsidRPr="00BD51BF">
          <w:rPr>
            <w:webHidden/>
            <w:lang w:val="en-GB"/>
          </w:rPr>
          <w:fldChar w:fldCharType="begin"/>
        </w:r>
        <w:r w:rsidRPr="00BD51BF">
          <w:rPr>
            <w:webHidden/>
            <w:lang w:val="en-GB"/>
          </w:rPr>
          <w:instrText xml:space="preserve"> PAGEREF _Toc154052371 \h </w:instrText>
        </w:r>
        <w:r w:rsidRPr="00BD51BF">
          <w:rPr>
            <w:webHidden/>
            <w:lang w:val="en-GB"/>
          </w:rPr>
        </w:r>
        <w:r w:rsidRPr="00BD51BF">
          <w:rPr>
            <w:webHidden/>
            <w:lang w:val="en-GB"/>
          </w:rPr>
          <w:fldChar w:fldCharType="separate"/>
        </w:r>
        <w:r w:rsidRPr="00BD51BF">
          <w:rPr>
            <w:webHidden/>
            <w:lang w:val="en-GB"/>
          </w:rPr>
          <w:t>9</w:t>
        </w:r>
        <w:r w:rsidRPr="00BD51BF">
          <w:rPr>
            <w:webHidden/>
            <w:lang w:val="en-GB"/>
          </w:rPr>
          <w:fldChar w:fldCharType="end"/>
        </w:r>
      </w:hyperlink>
    </w:p>
    <w:p w14:paraId="60578BC5" w14:textId="02C44BA8" w:rsidR="00E73365" w:rsidRPr="00BD51BF" w:rsidRDefault="00E73365">
      <w:pPr>
        <w:pStyle w:val="TOC3"/>
        <w:rPr>
          <w:rFonts w:asciiTheme="minorHAnsi" w:eastAsiaTheme="minorEastAsia" w:hAnsiTheme="minorHAnsi" w:cstheme="minorBidi"/>
          <w:color w:val="auto"/>
          <w:kern w:val="2"/>
          <w:sz w:val="22"/>
          <w:szCs w:val="22"/>
          <w:lang w:val="en-GB"/>
          <w14:ligatures w14:val="standardContextual"/>
        </w:rPr>
      </w:pPr>
      <w:hyperlink w:anchor="_Toc154052372" w:history="1">
        <w:r w:rsidRPr="00BD51BF">
          <w:rPr>
            <w:rStyle w:val="Hyperlink"/>
            <w:lang w:val="en-GB"/>
          </w:rPr>
          <w:t>4.1.3.</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Sensitivity [Analysis/Analyses]</w:t>
        </w:r>
        <w:r w:rsidRPr="00BD51BF">
          <w:rPr>
            <w:webHidden/>
            <w:lang w:val="en-GB"/>
          </w:rPr>
          <w:tab/>
        </w:r>
        <w:r w:rsidRPr="00BD51BF">
          <w:rPr>
            <w:webHidden/>
            <w:lang w:val="en-GB"/>
          </w:rPr>
          <w:fldChar w:fldCharType="begin"/>
        </w:r>
        <w:r w:rsidRPr="00BD51BF">
          <w:rPr>
            <w:webHidden/>
            <w:lang w:val="en-GB"/>
          </w:rPr>
          <w:instrText xml:space="preserve"> PAGEREF _Toc154052372 \h </w:instrText>
        </w:r>
        <w:r w:rsidRPr="00BD51BF">
          <w:rPr>
            <w:webHidden/>
            <w:lang w:val="en-GB"/>
          </w:rPr>
        </w:r>
        <w:r w:rsidRPr="00BD51BF">
          <w:rPr>
            <w:webHidden/>
            <w:lang w:val="en-GB"/>
          </w:rPr>
          <w:fldChar w:fldCharType="separate"/>
        </w:r>
        <w:r w:rsidRPr="00BD51BF">
          <w:rPr>
            <w:webHidden/>
            <w:lang w:val="en-GB"/>
          </w:rPr>
          <w:t>9</w:t>
        </w:r>
        <w:r w:rsidRPr="00BD51BF">
          <w:rPr>
            <w:webHidden/>
            <w:lang w:val="en-GB"/>
          </w:rPr>
          <w:fldChar w:fldCharType="end"/>
        </w:r>
      </w:hyperlink>
    </w:p>
    <w:p w14:paraId="1999F6E9" w14:textId="7B319E6A" w:rsidR="00E73365" w:rsidRPr="00BD51BF" w:rsidRDefault="00E73365">
      <w:pPr>
        <w:pStyle w:val="TOC3"/>
        <w:rPr>
          <w:rFonts w:asciiTheme="minorHAnsi" w:eastAsiaTheme="minorEastAsia" w:hAnsiTheme="minorHAnsi" w:cstheme="minorBidi"/>
          <w:color w:val="auto"/>
          <w:kern w:val="2"/>
          <w:sz w:val="22"/>
          <w:szCs w:val="22"/>
          <w:lang w:val="en-GB"/>
          <w14:ligatures w14:val="standardContextual"/>
        </w:rPr>
      </w:pPr>
      <w:hyperlink w:anchor="_Toc154052373" w:history="1">
        <w:r w:rsidRPr="00BD51BF">
          <w:rPr>
            <w:rStyle w:val="Hyperlink"/>
            <w:lang w:val="en-GB"/>
          </w:rPr>
          <w:t>4.1.4.</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Supplementary [Analysis/Analyses]</w:t>
        </w:r>
        <w:r w:rsidRPr="00BD51BF">
          <w:rPr>
            <w:webHidden/>
            <w:lang w:val="en-GB"/>
          </w:rPr>
          <w:tab/>
        </w:r>
        <w:r w:rsidRPr="00BD51BF">
          <w:rPr>
            <w:webHidden/>
            <w:lang w:val="en-GB"/>
          </w:rPr>
          <w:fldChar w:fldCharType="begin"/>
        </w:r>
        <w:r w:rsidRPr="00BD51BF">
          <w:rPr>
            <w:webHidden/>
            <w:lang w:val="en-GB"/>
          </w:rPr>
          <w:instrText xml:space="preserve"> PAGEREF _Toc154052373 \h </w:instrText>
        </w:r>
        <w:r w:rsidRPr="00BD51BF">
          <w:rPr>
            <w:webHidden/>
            <w:lang w:val="en-GB"/>
          </w:rPr>
        </w:r>
        <w:r w:rsidRPr="00BD51BF">
          <w:rPr>
            <w:webHidden/>
            <w:lang w:val="en-GB"/>
          </w:rPr>
          <w:fldChar w:fldCharType="separate"/>
        </w:r>
        <w:r w:rsidRPr="00BD51BF">
          <w:rPr>
            <w:webHidden/>
            <w:lang w:val="en-GB"/>
          </w:rPr>
          <w:t>9</w:t>
        </w:r>
        <w:r w:rsidRPr="00BD51BF">
          <w:rPr>
            <w:webHidden/>
            <w:lang w:val="en-GB"/>
          </w:rPr>
          <w:fldChar w:fldCharType="end"/>
        </w:r>
      </w:hyperlink>
    </w:p>
    <w:p w14:paraId="42A2032A" w14:textId="2773092E" w:rsidR="00E73365" w:rsidRPr="00BD51BF" w:rsidRDefault="00E73365">
      <w:pPr>
        <w:pStyle w:val="TOC1"/>
        <w:rPr>
          <w:rFonts w:asciiTheme="minorHAnsi" w:eastAsiaTheme="minorEastAsia" w:hAnsiTheme="minorHAnsi" w:cstheme="minorBidi"/>
          <w:b w:val="0"/>
          <w:color w:val="auto"/>
          <w:kern w:val="2"/>
          <w:sz w:val="22"/>
          <w:szCs w:val="22"/>
          <w:lang w:val="en-GB"/>
          <w14:ligatures w14:val="standardContextual"/>
        </w:rPr>
      </w:pPr>
      <w:hyperlink w:anchor="_Toc154052374" w:history="1">
        <w:r w:rsidRPr="00BD51BF">
          <w:rPr>
            <w:rStyle w:val="Hyperlink"/>
            <w:lang w:val="en-GB"/>
          </w:rPr>
          <w:t>5.</w:t>
        </w:r>
        <w:r w:rsidRPr="00BD51BF">
          <w:rPr>
            <w:rFonts w:asciiTheme="minorHAnsi" w:eastAsiaTheme="minorEastAsia" w:hAnsiTheme="minorHAnsi" w:cstheme="minorBidi"/>
            <w:b w:val="0"/>
            <w:color w:val="auto"/>
            <w:kern w:val="2"/>
            <w:sz w:val="22"/>
            <w:szCs w:val="22"/>
            <w:lang w:val="en-GB"/>
            <w14:ligatures w14:val="standardContextual"/>
          </w:rPr>
          <w:tab/>
        </w:r>
        <w:r w:rsidRPr="00BD51BF">
          <w:rPr>
            <w:rStyle w:val="Hyperlink"/>
            <w:lang w:val="en-GB"/>
          </w:rPr>
          <w:t>Analyses Supporting Secondary Objective(s)</w:t>
        </w:r>
        <w:r w:rsidRPr="00BD51BF">
          <w:rPr>
            <w:webHidden/>
            <w:lang w:val="en-GB"/>
          </w:rPr>
          <w:tab/>
        </w:r>
        <w:r w:rsidRPr="00BD51BF">
          <w:rPr>
            <w:webHidden/>
            <w:lang w:val="en-GB"/>
          </w:rPr>
          <w:fldChar w:fldCharType="begin"/>
        </w:r>
        <w:r w:rsidRPr="00BD51BF">
          <w:rPr>
            <w:webHidden/>
            <w:lang w:val="en-GB"/>
          </w:rPr>
          <w:instrText xml:space="preserve"> PAGEREF _Toc154052374 \h </w:instrText>
        </w:r>
        <w:r w:rsidRPr="00BD51BF">
          <w:rPr>
            <w:webHidden/>
            <w:lang w:val="en-GB"/>
          </w:rPr>
        </w:r>
        <w:r w:rsidRPr="00BD51BF">
          <w:rPr>
            <w:webHidden/>
            <w:lang w:val="en-GB"/>
          </w:rPr>
          <w:fldChar w:fldCharType="separate"/>
        </w:r>
        <w:r w:rsidRPr="00BD51BF">
          <w:rPr>
            <w:webHidden/>
            <w:lang w:val="en-GB"/>
          </w:rPr>
          <w:t>10</w:t>
        </w:r>
        <w:r w:rsidRPr="00BD51BF">
          <w:rPr>
            <w:webHidden/>
            <w:lang w:val="en-GB"/>
          </w:rPr>
          <w:fldChar w:fldCharType="end"/>
        </w:r>
      </w:hyperlink>
    </w:p>
    <w:p w14:paraId="5C6036C7" w14:textId="2DAE9034" w:rsidR="00E73365" w:rsidRPr="00BD51BF" w:rsidRDefault="00E73365">
      <w:pPr>
        <w:pStyle w:val="TOC2"/>
        <w:rPr>
          <w:rFonts w:asciiTheme="minorHAnsi" w:eastAsiaTheme="minorEastAsia" w:hAnsiTheme="minorHAnsi" w:cstheme="minorBidi"/>
          <w:color w:val="auto"/>
          <w:kern w:val="2"/>
          <w:sz w:val="22"/>
          <w:szCs w:val="22"/>
          <w:lang w:val="en-GB"/>
          <w14:ligatures w14:val="standardContextual"/>
        </w:rPr>
      </w:pPr>
      <w:hyperlink w:anchor="_Toc154052375" w:history="1">
        <w:r w:rsidRPr="00BD51BF">
          <w:rPr>
            <w:rStyle w:val="Hyperlink"/>
            <w:lang w:val="en-GB"/>
          </w:rPr>
          <w:t>5.1.</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Analyses Supporting Secondary Objective [label]</w:t>
        </w:r>
        <w:r w:rsidRPr="00BD51BF">
          <w:rPr>
            <w:webHidden/>
            <w:lang w:val="en-GB"/>
          </w:rPr>
          <w:tab/>
        </w:r>
        <w:r w:rsidRPr="00BD51BF">
          <w:rPr>
            <w:webHidden/>
            <w:lang w:val="en-GB"/>
          </w:rPr>
          <w:fldChar w:fldCharType="begin"/>
        </w:r>
        <w:r w:rsidRPr="00BD51BF">
          <w:rPr>
            <w:webHidden/>
            <w:lang w:val="en-GB"/>
          </w:rPr>
          <w:instrText xml:space="preserve"> PAGEREF _Toc154052375 \h </w:instrText>
        </w:r>
        <w:r w:rsidRPr="00BD51BF">
          <w:rPr>
            <w:webHidden/>
            <w:lang w:val="en-GB"/>
          </w:rPr>
        </w:r>
        <w:r w:rsidRPr="00BD51BF">
          <w:rPr>
            <w:webHidden/>
            <w:lang w:val="en-GB"/>
          </w:rPr>
          <w:fldChar w:fldCharType="separate"/>
        </w:r>
        <w:r w:rsidRPr="00BD51BF">
          <w:rPr>
            <w:webHidden/>
            <w:lang w:val="en-GB"/>
          </w:rPr>
          <w:t>10</w:t>
        </w:r>
        <w:r w:rsidRPr="00BD51BF">
          <w:rPr>
            <w:webHidden/>
            <w:lang w:val="en-GB"/>
          </w:rPr>
          <w:fldChar w:fldCharType="end"/>
        </w:r>
      </w:hyperlink>
    </w:p>
    <w:p w14:paraId="722245EF" w14:textId="7FAE0D31" w:rsidR="00E73365" w:rsidRPr="00BD51BF" w:rsidRDefault="00E73365">
      <w:pPr>
        <w:pStyle w:val="TOC3"/>
        <w:rPr>
          <w:rFonts w:asciiTheme="minorHAnsi" w:eastAsiaTheme="minorEastAsia" w:hAnsiTheme="minorHAnsi" w:cstheme="minorBidi"/>
          <w:color w:val="auto"/>
          <w:kern w:val="2"/>
          <w:sz w:val="22"/>
          <w:szCs w:val="22"/>
          <w:lang w:val="en-GB"/>
          <w14:ligatures w14:val="standardContextual"/>
        </w:rPr>
      </w:pPr>
      <w:hyperlink w:anchor="_Toc154052376" w:history="1">
        <w:r w:rsidRPr="00BD51BF">
          <w:rPr>
            <w:rStyle w:val="Hyperlink"/>
            <w:lang w:val="en-GB"/>
          </w:rPr>
          <w:t>5.1.1.</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[Key/Confirmatory] Secondary [Endpoint(s)/Estimand(s)]</w:t>
        </w:r>
        <w:r w:rsidRPr="00BD51BF">
          <w:rPr>
            <w:webHidden/>
            <w:lang w:val="en-GB"/>
          </w:rPr>
          <w:tab/>
        </w:r>
        <w:r w:rsidRPr="00BD51BF">
          <w:rPr>
            <w:webHidden/>
            <w:lang w:val="en-GB"/>
          </w:rPr>
          <w:fldChar w:fldCharType="begin"/>
        </w:r>
        <w:r w:rsidRPr="00BD51BF">
          <w:rPr>
            <w:webHidden/>
            <w:lang w:val="en-GB"/>
          </w:rPr>
          <w:instrText xml:space="preserve"> PAGEREF _Toc154052376 \h </w:instrText>
        </w:r>
        <w:r w:rsidRPr="00BD51BF">
          <w:rPr>
            <w:webHidden/>
            <w:lang w:val="en-GB"/>
          </w:rPr>
        </w:r>
        <w:r w:rsidRPr="00BD51BF">
          <w:rPr>
            <w:webHidden/>
            <w:lang w:val="en-GB"/>
          </w:rPr>
          <w:fldChar w:fldCharType="separate"/>
        </w:r>
        <w:r w:rsidRPr="00BD51BF">
          <w:rPr>
            <w:webHidden/>
            <w:lang w:val="en-GB"/>
          </w:rPr>
          <w:t>10</w:t>
        </w:r>
        <w:r w:rsidRPr="00BD51BF">
          <w:rPr>
            <w:webHidden/>
            <w:lang w:val="en-GB"/>
          </w:rPr>
          <w:fldChar w:fldCharType="end"/>
        </w:r>
      </w:hyperlink>
    </w:p>
    <w:p w14:paraId="27E1D344" w14:textId="7F3EC31B" w:rsidR="00E73365" w:rsidRPr="00BD51BF" w:rsidRDefault="00E73365">
      <w:pPr>
        <w:pStyle w:val="TOC3"/>
        <w:rPr>
          <w:rFonts w:asciiTheme="minorHAnsi" w:eastAsiaTheme="minorEastAsia" w:hAnsiTheme="minorHAnsi" w:cstheme="minorBidi"/>
          <w:color w:val="auto"/>
          <w:kern w:val="2"/>
          <w:sz w:val="22"/>
          <w:szCs w:val="22"/>
          <w:lang w:val="en-GB"/>
          <w14:ligatures w14:val="standardContextual"/>
        </w:rPr>
      </w:pPr>
      <w:hyperlink w:anchor="_Toc154052377" w:history="1">
        <w:r w:rsidRPr="00BD51BF">
          <w:rPr>
            <w:rStyle w:val="Hyperlink"/>
            <w:lang w:val="en-GB"/>
          </w:rPr>
          <w:t>5.1.2.</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Supportive Secondary [Endpoint(s)/Estimand(s)]</w:t>
        </w:r>
        <w:r w:rsidRPr="00BD51BF">
          <w:rPr>
            <w:webHidden/>
            <w:lang w:val="en-GB"/>
          </w:rPr>
          <w:tab/>
        </w:r>
        <w:r w:rsidRPr="00BD51BF">
          <w:rPr>
            <w:webHidden/>
            <w:lang w:val="en-GB"/>
          </w:rPr>
          <w:fldChar w:fldCharType="begin"/>
        </w:r>
        <w:r w:rsidRPr="00BD51BF">
          <w:rPr>
            <w:webHidden/>
            <w:lang w:val="en-GB"/>
          </w:rPr>
          <w:instrText xml:space="preserve"> PAGEREF _Toc154052377 \h </w:instrText>
        </w:r>
        <w:r w:rsidRPr="00BD51BF">
          <w:rPr>
            <w:webHidden/>
            <w:lang w:val="en-GB"/>
          </w:rPr>
        </w:r>
        <w:r w:rsidRPr="00BD51BF">
          <w:rPr>
            <w:webHidden/>
            <w:lang w:val="en-GB"/>
          </w:rPr>
          <w:fldChar w:fldCharType="separate"/>
        </w:r>
        <w:r w:rsidRPr="00BD51BF">
          <w:rPr>
            <w:webHidden/>
            <w:lang w:val="en-GB"/>
          </w:rPr>
          <w:t>10</w:t>
        </w:r>
        <w:r w:rsidRPr="00BD51BF">
          <w:rPr>
            <w:webHidden/>
            <w:lang w:val="en-GB"/>
          </w:rPr>
          <w:fldChar w:fldCharType="end"/>
        </w:r>
      </w:hyperlink>
    </w:p>
    <w:p w14:paraId="1D72B1D8" w14:textId="4BF0294F" w:rsidR="00E73365" w:rsidRPr="00BD51BF" w:rsidRDefault="00E73365">
      <w:pPr>
        <w:pStyle w:val="TOC1"/>
        <w:rPr>
          <w:rFonts w:asciiTheme="minorHAnsi" w:eastAsiaTheme="minorEastAsia" w:hAnsiTheme="minorHAnsi" w:cstheme="minorBidi"/>
          <w:b w:val="0"/>
          <w:color w:val="auto"/>
          <w:kern w:val="2"/>
          <w:sz w:val="22"/>
          <w:szCs w:val="22"/>
          <w:lang w:val="en-GB"/>
          <w14:ligatures w14:val="standardContextual"/>
        </w:rPr>
      </w:pPr>
      <w:hyperlink w:anchor="_Toc154052378" w:history="1">
        <w:r w:rsidRPr="00BD51BF">
          <w:rPr>
            <w:rStyle w:val="Hyperlink"/>
            <w:lang w:val="en-GB"/>
          </w:rPr>
          <w:t>6.</w:t>
        </w:r>
        <w:r w:rsidRPr="00BD51BF">
          <w:rPr>
            <w:rFonts w:asciiTheme="minorHAnsi" w:eastAsiaTheme="minorEastAsia" w:hAnsiTheme="minorHAnsi" w:cstheme="minorBidi"/>
            <w:b w:val="0"/>
            <w:color w:val="auto"/>
            <w:kern w:val="2"/>
            <w:sz w:val="22"/>
            <w:szCs w:val="22"/>
            <w:lang w:val="en-GB"/>
            <w14:ligatures w14:val="standardContextual"/>
          </w:rPr>
          <w:tab/>
        </w:r>
        <w:r w:rsidRPr="00BD51BF">
          <w:rPr>
            <w:rStyle w:val="Hyperlink"/>
            <w:lang w:val="en-GB"/>
          </w:rPr>
          <w:t>Analyses Supporting [Tertiary/Exploratory/Other] Objective(s)</w:t>
        </w:r>
        <w:r w:rsidRPr="00BD51BF">
          <w:rPr>
            <w:webHidden/>
            <w:lang w:val="en-GB"/>
          </w:rPr>
          <w:tab/>
        </w:r>
        <w:r w:rsidRPr="00BD51BF">
          <w:rPr>
            <w:webHidden/>
            <w:lang w:val="en-GB"/>
          </w:rPr>
          <w:fldChar w:fldCharType="begin"/>
        </w:r>
        <w:r w:rsidRPr="00BD51BF">
          <w:rPr>
            <w:webHidden/>
            <w:lang w:val="en-GB"/>
          </w:rPr>
          <w:instrText xml:space="preserve"> PAGEREF _Toc154052378 \h </w:instrText>
        </w:r>
        <w:r w:rsidRPr="00BD51BF">
          <w:rPr>
            <w:webHidden/>
            <w:lang w:val="en-GB"/>
          </w:rPr>
        </w:r>
        <w:r w:rsidRPr="00BD51BF">
          <w:rPr>
            <w:webHidden/>
            <w:lang w:val="en-GB"/>
          </w:rPr>
          <w:fldChar w:fldCharType="separate"/>
        </w:r>
        <w:r w:rsidRPr="00BD51BF">
          <w:rPr>
            <w:webHidden/>
            <w:lang w:val="en-GB"/>
          </w:rPr>
          <w:t>11</w:t>
        </w:r>
        <w:r w:rsidRPr="00BD51BF">
          <w:rPr>
            <w:webHidden/>
            <w:lang w:val="en-GB"/>
          </w:rPr>
          <w:fldChar w:fldCharType="end"/>
        </w:r>
      </w:hyperlink>
    </w:p>
    <w:p w14:paraId="541D72A6" w14:textId="2822BC4B" w:rsidR="00E73365" w:rsidRPr="00BD51BF" w:rsidRDefault="00E73365">
      <w:pPr>
        <w:pStyle w:val="TOC1"/>
        <w:rPr>
          <w:rFonts w:asciiTheme="minorHAnsi" w:eastAsiaTheme="minorEastAsia" w:hAnsiTheme="minorHAnsi" w:cstheme="minorBidi"/>
          <w:b w:val="0"/>
          <w:color w:val="auto"/>
          <w:kern w:val="2"/>
          <w:sz w:val="22"/>
          <w:szCs w:val="22"/>
          <w:lang w:val="en-GB"/>
          <w14:ligatures w14:val="standardContextual"/>
        </w:rPr>
      </w:pPr>
      <w:hyperlink w:anchor="_Toc154052379" w:history="1">
        <w:r w:rsidRPr="00BD51BF">
          <w:rPr>
            <w:rStyle w:val="Hyperlink"/>
            <w:lang w:val="en-GB"/>
          </w:rPr>
          <w:t>7.</w:t>
        </w:r>
        <w:r w:rsidRPr="00BD51BF">
          <w:rPr>
            <w:rFonts w:asciiTheme="minorHAnsi" w:eastAsiaTheme="minorEastAsia" w:hAnsiTheme="minorHAnsi" w:cstheme="minorBidi"/>
            <w:b w:val="0"/>
            <w:color w:val="auto"/>
            <w:kern w:val="2"/>
            <w:sz w:val="22"/>
            <w:szCs w:val="22"/>
            <w:lang w:val="en-GB"/>
            <w14:ligatures w14:val="standardContextual"/>
          </w:rPr>
          <w:tab/>
        </w:r>
        <w:r w:rsidRPr="00BD51BF">
          <w:rPr>
            <w:rStyle w:val="Hyperlink"/>
            <w:lang w:val="en-GB"/>
          </w:rPr>
          <w:t>[Other] Safety Analyses</w:t>
        </w:r>
        <w:r w:rsidRPr="00BD51BF">
          <w:rPr>
            <w:webHidden/>
            <w:lang w:val="en-GB"/>
          </w:rPr>
          <w:tab/>
        </w:r>
        <w:r w:rsidRPr="00BD51BF">
          <w:rPr>
            <w:webHidden/>
            <w:lang w:val="en-GB"/>
          </w:rPr>
          <w:fldChar w:fldCharType="begin"/>
        </w:r>
        <w:r w:rsidRPr="00BD51BF">
          <w:rPr>
            <w:webHidden/>
            <w:lang w:val="en-GB"/>
          </w:rPr>
          <w:instrText xml:space="preserve"> PAGEREF _Toc154052379 \h </w:instrText>
        </w:r>
        <w:r w:rsidRPr="00BD51BF">
          <w:rPr>
            <w:webHidden/>
            <w:lang w:val="en-GB"/>
          </w:rPr>
        </w:r>
        <w:r w:rsidRPr="00BD51BF">
          <w:rPr>
            <w:webHidden/>
            <w:lang w:val="en-GB"/>
          </w:rPr>
          <w:fldChar w:fldCharType="separate"/>
        </w:r>
        <w:r w:rsidRPr="00BD51BF">
          <w:rPr>
            <w:webHidden/>
            <w:lang w:val="en-GB"/>
          </w:rPr>
          <w:t>12</w:t>
        </w:r>
        <w:r w:rsidRPr="00BD51BF">
          <w:rPr>
            <w:webHidden/>
            <w:lang w:val="en-GB"/>
          </w:rPr>
          <w:fldChar w:fldCharType="end"/>
        </w:r>
      </w:hyperlink>
    </w:p>
    <w:p w14:paraId="08C43994" w14:textId="23CE2665" w:rsidR="00E73365" w:rsidRPr="00BD51BF" w:rsidRDefault="00E73365">
      <w:pPr>
        <w:pStyle w:val="TOC2"/>
        <w:rPr>
          <w:rFonts w:asciiTheme="minorHAnsi" w:eastAsiaTheme="minorEastAsia" w:hAnsiTheme="minorHAnsi" w:cstheme="minorBidi"/>
          <w:color w:val="auto"/>
          <w:kern w:val="2"/>
          <w:sz w:val="22"/>
          <w:szCs w:val="22"/>
          <w:lang w:val="en-GB"/>
          <w14:ligatures w14:val="standardContextual"/>
        </w:rPr>
      </w:pPr>
      <w:hyperlink w:anchor="_Toc154052380" w:history="1">
        <w:r w:rsidRPr="00BD51BF">
          <w:rPr>
            <w:rStyle w:val="Hyperlink"/>
            <w:lang w:val="en-GB"/>
          </w:rPr>
          <w:t>7.1.</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Extent of Exposure</w:t>
        </w:r>
        <w:r w:rsidRPr="00BD51BF">
          <w:rPr>
            <w:webHidden/>
            <w:lang w:val="en-GB"/>
          </w:rPr>
          <w:tab/>
        </w:r>
        <w:r w:rsidRPr="00BD51BF">
          <w:rPr>
            <w:webHidden/>
            <w:lang w:val="en-GB"/>
          </w:rPr>
          <w:fldChar w:fldCharType="begin"/>
        </w:r>
        <w:r w:rsidRPr="00BD51BF">
          <w:rPr>
            <w:webHidden/>
            <w:lang w:val="en-GB"/>
          </w:rPr>
          <w:instrText xml:space="preserve"> PAGEREF _Toc154052380 \h </w:instrText>
        </w:r>
        <w:r w:rsidRPr="00BD51BF">
          <w:rPr>
            <w:webHidden/>
            <w:lang w:val="en-GB"/>
          </w:rPr>
        </w:r>
        <w:r w:rsidRPr="00BD51BF">
          <w:rPr>
            <w:webHidden/>
            <w:lang w:val="en-GB"/>
          </w:rPr>
          <w:fldChar w:fldCharType="separate"/>
        </w:r>
        <w:r w:rsidRPr="00BD51BF">
          <w:rPr>
            <w:webHidden/>
            <w:lang w:val="en-GB"/>
          </w:rPr>
          <w:t>12</w:t>
        </w:r>
        <w:r w:rsidRPr="00BD51BF">
          <w:rPr>
            <w:webHidden/>
            <w:lang w:val="en-GB"/>
          </w:rPr>
          <w:fldChar w:fldCharType="end"/>
        </w:r>
      </w:hyperlink>
    </w:p>
    <w:p w14:paraId="6AE18C20" w14:textId="5CB964B7" w:rsidR="00E73365" w:rsidRPr="00BD51BF" w:rsidRDefault="00E73365">
      <w:pPr>
        <w:pStyle w:val="TOC2"/>
        <w:rPr>
          <w:rFonts w:asciiTheme="minorHAnsi" w:eastAsiaTheme="minorEastAsia" w:hAnsiTheme="minorHAnsi" w:cstheme="minorBidi"/>
          <w:color w:val="auto"/>
          <w:kern w:val="2"/>
          <w:sz w:val="22"/>
          <w:szCs w:val="22"/>
          <w:lang w:val="en-GB"/>
          <w14:ligatures w14:val="standardContextual"/>
        </w:rPr>
      </w:pPr>
      <w:hyperlink w:anchor="_Toc154052381" w:history="1">
        <w:r w:rsidRPr="00BD51BF">
          <w:rPr>
            <w:rStyle w:val="Hyperlink"/>
            <w:lang w:val="en-GB"/>
          </w:rPr>
          <w:t>7.2.</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Adverse Events</w:t>
        </w:r>
        <w:r w:rsidRPr="00BD51BF">
          <w:rPr>
            <w:webHidden/>
            <w:lang w:val="en-GB"/>
          </w:rPr>
          <w:tab/>
        </w:r>
        <w:r w:rsidRPr="00BD51BF">
          <w:rPr>
            <w:webHidden/>
            <w:lang w:val="en-GB"/>
          </w:rPr>
          <w:fldChar w:fldCharType="begin"/>
        </w:r>
        <w:r w:rsidRPr="00BD51BF">
          <w:rPr>
            <w:webHidden/>
            <w:lang w:val="en-GB"/>
          </w:rPr>
          <w:instrText xml:space="preserve"> PAGEREF _Toc154052381 \h </w:instrText>
        </w:r>
        <w:r w:rsidRPr="00BD51BF">
          <w:rPr>
            <w:webHidden/>
            <w:lang w:val="en-GB"/>
          </w:rPr>
        </w:r>
        <w:r w:rsidRPr="00BD51BF">
          <w:rPr>
            <w:webHidden/>
            <w:lang w:val="en-GB"/>
          </w:rPr>
          <w:fldChar w:fldCharType="separate"/>
        </w:r>
        <w:r w:rsidRPr="00BD51BF">
          <w:rPr>
            <w:webHidden/>
            <w:lang w:val="en-GB"/>
          </w:rPr>
          <w:t>12</w:t>
        </w:r>
        <w:r w:rsidRPr="00BD51BF">
          <w:rPr>
            <w:webHidden/>
            <w:lang w:val="en-GB"/>
          </w:rPr>
          <w:fldChar w:fldCharType="end"/>
        </w:r>
      </w:hyperlink>
    </w:p>
    <w:p w14:paraId="69C98BA7" w14:textId="00FB0389" w:rsidR="00E73365" w:rsidRPr="00BD51BF" w:rsidRDefault="00E73365">
      <w:pPr>
        <w:pStyle w:val="TOC2"/>
        <w:rPr>
          <w:rFonts w:asciiTheme="minorHAnsi" w:eastAsiaTheme="minorEastAsia" w:hAnsiTheme="minorHAnsi" w:cstheme="minorBidi"/>
          <w:color w:val="auto"/>
          <w:kern w:val="2"/>
          <w:sz w:val="22"/>
          <w:szCs w:val="22"/>
          <w:lang w:val="en-GB"/>
          <w14:ligatures w14:val="standardContextual"/>
        </w:rPr>
      </w:pPr>
      <w:hyperlink w:anchor="_Toc154052382" w:history="1">
        <w:r w:rsidRPr="00BD51BF">
          <w:rPr>
            <w:rStyle w:val="Hyperlink"/>
            <w:lang w:val="en-GB"/>
          </w:rPr>
          <w:t>7.3.</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Additional Safety Assessments</w:t>
        </w:r>
        <w:r w:rsidRPr="00BD51BF">
          <w:rPr>
            <w:webHidden/>
            <w:lang w:val="en-GB"/>
          </w:rPr>
          <w:tab/>
        </w:r>
        <w:r w:rsidRPr="00BD51BF">
          <w:rPr>
            <w:webHidden/>
            <w:lang w:val="en-GB"/>
          </w:rPr>
          <w:fldChar w:fldCharType="begin"/>
        </w:r>
        <w:r w:rsidRPr="00BD51BF">
          <w:rPr>
            <w:webHidden/>
            <w:lang w:val="en-GB"/>
          </w:rPr>
          <w:instrText xml:space="preserve"> PAGEREF _Toc154052382 \h </w:instrText>
        </w:r>
        <w:r w:rsidRPr="00BD51BF">
          <w:rPr>
            <w:webHidden/>
            <w:lang w:val="en-GB"/>
          </w:rPr>
        </w:r>
        <w:r w:rsidRPr="00BD51BF">
          <w:rPr>
            <w:webHidden/>
            <w:lang w:val="en-GB"/>
          </w:rPr>
          <w:fldChar w:fldCharType="separate"/>
        </w:r>
        <w:r w:rsidRPr="00BD51BF">
          <w:rPr>
            <w:webHidden/>
            <w:lang w:val="en-GB"/>
          </w:rPr>
          <w:t>12</w:t>
        </w:r>
        <w:r w:rsidRPr="00BD51BF">
          <w:rPr>
            <w:webHidden/>
            <w:lang w:val="en-GB"/>
          </w:rPr>
          <w:fldChar w:fldCharType="end"/>
        </w:r>
      </w:hyperlink>
    </w:p>
    <w:p w14:paraId="73FF7263" w14:textId="350ECD15" w:rsidR="00E73365" w:rsidRPr="00BD51BF" w:rsidRDefault="00E73365">
      <w:pPr>
        <w:pStyle w:val="TOC1"/>
        <w:rPr>
          <w:rFonts w:asciiTheme="minorHAnsi" w:eastAsiaTheme="minorEastAsia" w:hAnsiTheme="minorHAnsi" w:cstheme="minorBidi"/>
          <w:b w:val="0"/>
          <w:color w:val="auto"/>
          <w:kern w:val="2"/>
          <w:sz w:val="22"/>
          <w:szCs w:val="22"/>
          <w:lang w:val="en-GB"/>
          <w14:ligatures w14:val="standardContextual"/>
        </w:rPr>
      </w:pPr>
      <w:hyperlink w:anchor="_Toc154052383" w:history="1">
        <w:r w:rsidRPr="00BD51BF">
          <w:rPr>
            <w:rStyle w:val="Hyperlink"/>
            <w:lang w:val="en-GB"/>
          </w:rPr>
          <w:t>8.</w:t>
        </w:r>
        <w:r w:rsidRPr="00BD51BF">
          <w:rPr>
            <w:rFonts w:asciiTheme="minorHAnsi" w:eastAsiaTheme="minorEastAsia" w:hAnsiTheme="minorHAnsi" w:cstheme="minorBidi"/>
            <w:b w:val="0"/>
            <w:color w:val="auto"/>
            <w:kern w:val="2"/>
            <w:sz w:val="22"/>
            <w:szCs w:val="22"/>
            <w:lang w:val="en-GB"/>
            <w14:ligatures w14:val="standardContextual"/>
          </w:rPr>
          <w:tab/>
        </w:r>
        <w:r w:rsidRPr="00BD51BF">
          <w:rPr>
            <w:rStyle w:val="Hyperlink"/>
            <w:lang w:val="en-GB"/>
          </w:rPr>
          <w:t>Other Analyses</w:t>
        </w:r>
        <w:r w:rsidRPr="00BD51BF">
          <w:rPr>
            <w:webHidden/>
            <w:lang w:val="en-GB"/>
          </w:rPr>
          <w:tab/>
        </w:r>
        <w:r w:rsidRPr="00BD51BF">
          <w:rPr>
            <w:webHidden/>
            <w:lang w:val="en-GB"/>
          </w:rPr>
          <w:fldChar w:fldCharType="begin"/>
        </w:r>
        <w:r w:rsidRPr="00BD51BF">
          <w:rPr>
            <w:webHidden/>
            <w:lang w:val="en-GB"/>
          </w:rPr>
          <w:instrText xml:space="preserve"> PAGEREF _Toc154052383 \h </w:instrText>
        </w:r>
        <w:r w:rsidRPr="00BD51BF">
          <w:rPr>
            <w:webHidden/>
            <w:lang w:val="en-GB"/>
          </w:rPr>
        </w:r>
        <w:r w:rsidRPr="00BD51BF">
          <w:rPr>
            <w:webHidden/>
            <w:lang w:val="en-GB"/>
          </w:rPr>
          <w:fldChar w:fldCharType="separate"/>
        </w:r>
        <w:r w:rsidRPr="00BD51BF">
          <w:rPr>
            <w:webHidden/>
            <w:lang w:val="en-GB"/>
          </w:rPr>
          <w:t>13</w:t>
        </w:r>
        <w:r w:rsidRPr="00BD51BF">
          <w:rPr>
            <w:webHidden/>
            <w:lang w:val="en-GB"/>
          </w:rPr>
          <w:fldChar w:fldCharType="end"/>
        </w:r>
      </w:hyperlink>
    </w:p>
    <w:p w14:paraId="29D42F4F" w14:textId="2376BB26" w:rsidR="00E73365" w:rsidRPr="00BD51BF" w:rsidRDefault="00E73365">
      <w:pPr>
        <w:pStyle w:val="TOC2"/>
        <w:rPr>
          <w:rFonts w:asciiTheme="minorHAnsi" w:eastAsiaTheme="minorEastAsia" w:hAnsiTheme="minorHAnsi" w:cstheme="minorBidi"/>
          <w:color w:val="auto"/>
          <w:kern w:val="2"/>
          <w:sz w:val="22"/>
          <w:szCs w:val="22"/>
          <w:lang w:val="en-GB"/>
          <w14:ligatures w14:val="standardContextual"/>
        </w:rPr>
      </w:pPr>
      <w:hyperlink w:anchor="_Toc154052384" w:history="1">
        <w:r w:rsidRPr="00BD51BF">
          <w:rPr>
            <w:rStyle w:val="Hyperlink"/>
            <w:lang w:val="en-GB"/>
          </w:rPr>
          <w:t>8.1.</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Other Variables and/or Parameters</w:t>
        </w:r>
        <w:r w:rsidRPr="00BD51BF">
          <w:rPr>
            <w:webHidden/>
            <w:lang w:val="en-GB"/>
          </w:rPr>
          <w:tab/>
        </w:r>
        <w:r w:rsidRPr="00BD51BF">
          <w:rPr>
            <w:webHidden/>
            <w:lang w:val="en-GB"/>
          </w:rPr>
          <w:fldChar w:fldCharType="begin"/>
        </w:r>
        <w:r w:rsidRPr="00BD51BF">
          <w:rPr>
            <w:webHidden/>
            <w:lang w:val="en-GB"/>
          </w:rPr>
          <w:instrText xml:space="preserve"> PAGEREF _Toc154052384 \h </w:instrText>
        </w:r>
        <w:r w:rsidRPr="00BD51BF">
          <w:rPr>
            <w:webHidden/>
            <w:lang w:val="en-GB"/>
          </w:rPr>
        </w:r>
        <w:r w:rsidRPr="00BD51BF">
          <w:rPr>
            <w:webHidden/>
            <w:lang w:val="en-GB"/>
          </w:rPr>
          <w:fldChar w:fldCharType="separate"/>
        </w:r>
        <w:r w:rsidRPr="00BD51BF">
          <w:rPr>
            <w:webHidden/>
            <w:lang w:val="en-GB"/>
          </w:rPr>
          <w:t>13</w:t>
        </w:r>
        <w:r w:rsidRPr="00BD51BF">
          <w:rPr>
            <w:webHidden/>
            <w:lang w:val="en-GB"/>
          </w:rPr>
          <w:fldChar w:fldCharType="end"/>
        </w:r>
      </w:hyperlink>
    </w:p>
    <w:p w14:paraId="4C27C08A" w14:textId="44781CAE" w:rsidR="00E73365" w:rsidRPr="00BD51BF" w:rsidRDefault="00E73365">
      <w:pPr>
        <w:pStyle w:val="TOC2"/>
        <w:rPr>
          <w:rFonts w:asciiTheme="minorHAnsi" w:eastAsiaTheme="minorEastAsia" w:hAnsiTheme="minorHAnsi" w:cstheme="minorBidi"/>
          <w:color w:val="auto"/>
          <w:kern w:val="2"/>
          <w:sz w:val="22"/>
          <w:szCs w:val="22"/>
          <w:lang w:val="en-GB"/>
          <w14:ligatures w14:val="standardContextual"/>
        </w:rPr>
      </w:pPr>
      <w:hyperlink w:anchor="_Toc154052385" w:history="1">
        <w:r w:rsidRPr="00BD51BF">
          <w:rPr>
            <w:rStyle w:val="Hyperlink"/>
            <w:lang w:val="en-GB"/>
          </w:rPr>
          <w:t>8.2.</w:t>
        </w:r>
        <w:r w:rsidRPr="00BD51BF">
          <w:rPr>
            <w:rFonts w:asciiTheme="minorHAnsi" w:eastAsiaTheme="minorEastAsia" w:hAnsiTheme="minorHAnsi" w:cstheme="minorBidi"/>
            <w:color w:val="auto"/>
            <w:kern w:val="2"/>
            <w:sz w:val="22"/>
            <w:szCs w:val="22"/>
            <w:lang w:val="en-GB"/>
            <w14:ligatures w14:val="standardContextual"/>
          </w:rPr>
          <w:tab/>
        </w:r>
        <w:r w:rsidRPr="00BD51BF">
          <w:rPr>
            <w:rStyle w:val="Hyperlink"/>
            <w:lang w:val="en-GB"/>
          </w:rPr>
          <w:t>Subgroup [Analysis/Analyses]</w:t>
        </w:r>
        <w:r w:rsidRPr="00BD51BF">
          <w:rPr>
            <w:webHidden/>
            <w:lang w:val="en-GB"/>
          </w:rPr>
          <w:tab/>
        </w:r>
        <w:r w:rsidRPr="00BD51BF">
          <w:rPr>
            <w:webHidden/>
            <w:lang w:val="en-GB"/>
          </w:rPr>
          <w:fldChar w:fldCharType="begin"/>
        </w:r>
        <w:r w:rsidRPr="00BD51BF">
          <w:rPr>
            <w:webHidden/>
            <w:lang w:val="en-GB"/>
          </w:rPr>
          <w:instrText xml:space="preserve"> PAGEREF _Toc154052385 \h </w:instrText>
        </w:r>
        <w:r w:rsidRPr="00BD51BF">
          <w:rPr>
            <w:webHidden/>
            <w:lang w:val="en-GB"/>
          </w:rPr>
        </w:r>
        <w:r w:rsidRPr="00BD51BF">
          <w:rPr>
            <w:webHidden/>
            <w:lang w:val="en-GB"/>
          </w:rPr>
          <w:fldChar w:fldCharType="separate"/>
        </w:r>
        <w:r w:rsidRPr="00BD51BF">
          <w:rPr>
            <w:webHidden/>
            <w:lang w:val="en-GB"/>
          </w:rPr>
          <w:t>13</w:t>
        </w:r>
        <w:r w:rsidRPr="00BD51BF">
          <w:rPr>
            <w:webHidden/>
            <w:lang w:val="en-GB"/>
          </w:rPr>
          <w:fldChar w:fldCharType="end"/>
        </w:r>
      </w:hyperlink>
    </w:p>
    <w:p w14:paraId="2C125BFB" w14:textId="1C7C4C60" w:rsidR="00E73365" w:rsidRPr="00BD51BF" w:rsidRDefault="00E73365">
      <w:pPr>
        <w:pStyle w:val="TOC1"/>
        <w:rPr>
          <w:rFonts w:asciiTheme="minorHAnsi" w:eastAsiaTheme="minorEastAsia" w:hAnsiTheme="minorHAnsi" w:cstheme="minorBidi"/>
          <w:b w:val="0"/>
          <w:color w:val="auto"/>
          <w:kern w:val="2"/>
          <w:sz w:val="22"/>
          <w:szCs w:val="22"/>
          <w:lang w:val="en-GB"/>
          <w14:ligatures w14:val="standardContextual"/>
        </w:rPr>
      </w:pPr>
      <w:hyperlink w:anchor="_Toc154052386" w:history="1">
        <w:r w:rsidRPr="00BD51BF">
          <w:rPr>
            <w:rStyle w:val="Hyperlink"/>
            <w:lang w:val="en-GB"/>
          </w:rPr>
          <w:t>9.</w:t>
        </w:r>
        <w:r w:rsidRPr="00BD51BF">
          <w:rPr>
            <w:rFonts w:asciiTheme="minorHAnsi" w:eastAsiaTheme="minorEastAsia" w:hAnsiTheme="minorHAnsi" w:cstheme="minorBidi"/>
            <w:b w:val="0"/>
            <w:color w:val="auto"/>
            <w:kern w:val="2"/>
            <w:sz w:val="22"/>
            <w:szCs w:val="22"/>
            <w:lang w:val="en-GB"/>
            <w14:ligatures w14:val="standardContextual"/>
          </w:rPr>
          <w:tab/>
        </w:r>
        <w:r w:rsidRPr="00BD51BF">
          <w:rPr>
            <w:rStyle w:val="Hyperlink"/>
            <w:lang w:val="en-GB"/>
          </w:rPr>
          <w:t>Interim [Analysis/Analyses]</w:t>
        </w:r>
        <w:r w:rsidRPr="00BD51BF">
          <w:rPr>
            <w:webHidden/>
            <w:lang w:val="en-GB"/>
          </w:rPr>
          <w:tab/>
        </w:r>
        <w:r w:rsidRPr="00BD51BF">
          <w:rPr>
            <w:webHidden/>
            <w:lang w:val="en-GB"/>
          </w:rPr>
          <w:fldChar w:fldCharType="begin"/>
        </w:r>
        <w:r w:rsidRPr="00BD51BF">
          <w:rPr>
            <w:webHidden/>
            <w:lang w:val="en-GB"/>
          </w:rPr>
          <w:instrText xml:space="preserve"> PAGEREF _Toc154052386 \h </w:instrText>
        </w:r>
        <w:r w:rsidRPr="00BD51BF">
          <w:rPr>
            <w:webHidden/>
            <w:lang w:val="en-GB"/>
          </w:rPr>
        </w:r>
        <w:r w:rsidRPr="00BD51BF">
          <w:rPr>
            <w:webHidden/>
            <w:lang w:val="en-GB"/>
          </w:rPr>
          <w:fldChar w:fldCharType="separate"/>
        </w:r>
        <w:r w:rsidRPr="00BD51BF">
          <w:rPr>
            <w:webHidden/>
            <w:lang w:val="en-GB"/>
          </w:rPr>
          <w:t>14</w:t>
        </w:r>
        <w:r w:rsidRPr="00BD51BF">
          <w:rPr>
            <w:webHidden/>
            <w:lang w:val="en-GB"/>
          </w:rPr>
          <w:fldChar w:fldCharType="end"/>
        </w:r>
      </w:hyperlink>
    </w:p>
    <w:p w14:paraId="575F6A99" w14:textId="3F12C2E5" w:rsidR="00E73365" w:rsidRPr="00BD51BF" w:rsidRDefault="00E73365">
      <w:pPr>
        <w:pStyle w:val="TOC1"/>
        <w:rPr>
          <w:rFonts w:asciiTheme="minorHAnsi" w:eastAsiaTheme="minorEastAsia" w:hAnsiTheme="minorHAnsi" w:cstheme="minorBidi"/>
          <w:b w:val="0"/>
          <w:color w:val="auto"/>
          <w:kern w:val="2"/>
          <w:sz w:val="22"/>
          <w:szCs w:val="22"/>
          <w:lang w:val="en-GB"/>
          <w14:ligatures w14:val="standardContextual"/>
        </w:rPr>
      </w:pPr>
      <w:hyperlink w:anchor="_Toc154052387" w:history="1">
        <w:r w:rsidRPr="00BD51BF">
          <w:rPr>
            <w:rStyle w:val="Hyperlink"/>
            <w:lang w:val="en-GB"/>
          </w:rPr>
          <w:t>10.</w:t>
        </w:r>
        <w:r w:rsidRPr="00BD51BF">
          <w:rPr>
            <w:rFonts w:asciiTheme="minorHAnsi" w:eastAsiaTheme="minorEastAsia" w:hAnsiTheme="minorHAnsi" w:cstheme="minorBidi"/>
            <w:b w:val="0"/>
            <w:color w:val="auto"/>
            <w:kern w:val="2"/>
            <w:sz w:val="22"/>
            <w:szCs w:val="22"/>
            <w:lang w:val="en-GB"/>
            <w14:ligatures w14:val="standardContextual"/>
          </w:rPr>
          <w:tab/>
        </w:r>
        <w:r w:rsidRPr="00BD51BF">
          <w:rPr>
            <w:rStyle w:val="Hyperlink"/>
            <w:lang w:val="en-GB"/>
          </w:rPr>
          <w:t>Changes to Protocol-planned Analyses</w:t>
        </w:r>
        <w:r w:rsidRPr="00BD51BF">
          <w:rPr>
            <w:webHidden/>
            <w:lang w:val="en-GB"/>
          </w:rPr>
          <w:tab/>
        </w:r>
        <w:r w:rsidRPr="00BD51BF">
          <w:rPr>
            <w:webHidden/>
            <w:lang w:val="en-GB"/>
          </w:rPr>
          <w:fldChar w:fldCharType="begin"/>
        </w:r>
        <w:r w:rsidRPr="00BD51BF">
          <w:rPr>
            <w:webHidden/>
            <w:lang w:val="en-GB"/>
          </w:rPr>
          <w:instrText xml:space="preserve"> PAGEREF _Toc154052387 \h </w:instrText>
        </w:r>
        <w:r w:rsidRPr="00BD51BF">
          <w:rPr>
            <w:webHidden/>
            <w:lang w:val="en-GB"/>
          </w:rPr>
        </w:r>
        <w:r w:rsidRPr="00BD51BF">
          <w:rPr>
            <w:webHidden/>
            <w:lang w:val="en-GB"/>
          </w:rPr>
          <w:fldChar w:fldCharType="separate"/>
        </w:r>
        <w:r w:rsidRPr="00BD51BF">
          <w:rPr>
            <w:webHidden/>
            <w:lang w:val="en-GB"/>
          </w:rPr>
          <w:t>15</w:t>
        </w:r>
        <w:r w:rsidRPr="00BD51BF">
          <w:rPr>
            <w:webHidden/>
            <w:lang w:val="en-GB"/>
          </w:rPr>
          <w:fldChar w:fldCharType="end"/>
        </w:r>
      </w:hyperlink>
    </w:p>
    <w:p w14:paraId="02895530" w14:textId="4B565BE9" w:rsidR="00E73365" w:rsidRPr="00BD51BF" w:rsidRDefault="00E73365">
      <w:pPr>
        <w:pStyle w:val="TOC1"/>
        <w:rPr>
          <w:rFonts w:asciiTheme="minorHAnsi" w:eastAsiaTheme="minorEastAsia" w:hAnsiTheme="minorHAnsi" w:cstheme="minorBidi"/>
          <w:b w:val="0"/>
          <w:color w:val="auto"/>
          <w:kern w:val="2"/>
          <w:sz w:val="22"/>
          <w:szCs w:val="22"/>
          <w:lang w:val="en-GB"/>
          <w14:ligatures w14:val="standardContextual"/>
        </w:rPr>
      </w:pPr>
      <w:hyperlink w:anchor="_Toc154052388" w:history="1">
        <w:r w:rsidRPr="00BD51BF">
          <w:rPr>
            <w:rStyle w:val="Hyperlink"/>
            <w:lang w:val="en-GB"/>
          </w:rPr>
          <w:t>11.</w:t>
        </w:r>
        <w:r w:rsidRPr="00BD51BF">
          <w:rPr>
            <w:rFonts w:asciiTheme="minorHAnsi" w:eastAsiaTheme="minorEastAsia" w:hAnsiTheme="minorHAnsi" w:cstheme="minorBidi"/>
            <w:b w:val="0"/>
            <w:color w:val="auto"/>
            <w:kern w:val="2"/>
            <w:sz w:val="22"/>
            <w:szCs w:val="22"/>
            <w:lang w:val="en-GB"/>
            <w14:ligatures w14:val="standardContextual"/>
          </w:rPr>
          <w:tab/>
        </w:r>
        <w:r w:rsidRPr="00BD51BF">
          <w:rPr>
            <w:rStyle w:val="Hyperlink"/>
            <w:lang w:val="en-GB"/>
          </w:rPr>
          <w:t>Sample Size Determination</w:t>
        </w:r>
        <w:r w:rsidRPr="00BD51BF">
          <w:rPr>
            <w:webHidden/>
            <w:lang w:val="en-GB"/>
          </w:rPr>
          <w:tab/>
        </w:r>
        <w:r w:rsidRPr="00BD51BF">
          <w:rPr>
            <w:webHidden/>
            <w:lang w:val="en-GB"/>
          </w:rPr>
          <w:fldChar w:fldCharType="begin"/>
        </w:r>
        <w:r w:rsidRPr="00BD51BF">
          <w:rPr>
            <w:webHidden/>
            <w:lang w:val="en-GB"/>
          </w:rPr>
          <w:instrText xml:space="preserve"> PAGEREF _Toc154052388 \h </w:instrText>
        </w:r>
        <w:r w:rsidRPr="00BD51BF">
          <w:rPr>
            <w:webHidden/>
            <w:lang w:val="en-GB"/>
          </w:rPr>
        </w:r>
        <w:r w:rsidRPr="00BD51BF">
          <w:rPr>
            <w:webHidden/>
            <w:lang w:val="en-GB"/>
          </w:rPr>
          <w:fldChar w:fldCharType="separate"/>
        </w:r>
        <w:r w:rsidRPr="00BD51BF">
          <w:rPr>
            <w:webHidden/>
            <w:lang w:val="en-GB"/>
          </w:rPr>
          <w:t>16</w:t>
        </w:r>
        <w:r w:rsidRPr="00BD51BF">
          <w:rPr>
            <w:webHidden/>
            <w:lang w:val="en-GB"/>
          </w:rPr>
          <w:fldChar w:fldCharType="end"/>
        </w:r>
      </w:hyperlink>
    </w:p>
    <w:p w14:paraId="6995D19A" w14:textId="5042E2EE" w:rsidR="00E73365" w:rsidRPr="00BD51BF" w:rsidRDefault="00E73365">
      <w:pPr>
        <w:pStyle w:val="TOC1"/>
        <w:rPr>
          <w:rFonts w:asciiTheme="minorHAnsi" w:eastAsiaTheme="minorEastAsia" w:hAnsiTheme="minorHAnsi" w:cstheme="minorBidi"/>
          <w:b w:val="0"/>
          <w:color w:val="auto"/>
          <w:kern w:val="2"/>
          <w:sz w:val="22"/>
          <w:szCs w:val="22"/>
          <w:lang w:val="en-GB"/>
          <w14:ligatures w14:val="standardContextual"/>
        </w:rPr>
      </w:pPr>
      <w:hyperlink w:anchor="_Toc154052389" w:history="1">
        <w:r w:rsidRPr="00BD51BF">
          <w:rPr>
            <w:rStyle w:val="Hyperlink"/>
            <w:lang w:val="en-GB"/>
          </w:rPr>
          <w:t>12.</w:t>
        </w:r>
        <w:r w:rsidRPr="00BD51BF">
          <w:rPr>
            <w:rFonts w:asciiTheme="minorHAnsi" w:eastAsiaTheme="minorEastAsia" w:hAnsiTheme="minorHAnsi" w:cstheme="minorBidi"/>
            <w:b w:val="0"/>
            <w:color w:val="auto"/>
            <w:kern w:val="2"/>
            <w:sz w:val="22"/>
            <w:szCs w:val="22"/>
            <w:lang w:val="en-GB"/>
            <w14:ligatures w14:val="standardContextual"/>
          </w:rPr>
          <w:tab/>
        </w:r>
        <w:r w:rsidRPr="00BD51BF">
          <w:rPr>
            <w:rStyle w:val="Hyperlink"/>
            <w:lang w:val="en-GB"/>
          </w:rPr>
          <w:t>Supporting Documentation</w:t>
        </w:r>
        <w:r w:rsidRPr="00BD51BF">
          <w:rPr>
            <w:webHidden/>
            <w:lang w:val="en-GB"/>
          </w:rPr>
          <w:tab/>
        </w:r>
        <w:r w:rsidRPr="00BD51BF">
          <w:rPr>
            <w:webHidden/>
            <w:lang w:val="en-GB"/>
          </w:rPr>
          <w:fldChar w:fldCharType="begin"/>
        </w:r>
        <w:r w:rsidRPr="00BD51BF">
          <w:rPr>
            <w:webHidden/>
            <w:lang w:val="en-GB"/>
          </w:rPr>
          <w:instrText xml:space="preserve"> PAGEREF _Toc154052389 \h </w:instrText>
        </w:r>
        <w:r w:rsidRPr="00BD51BF">
          <w:rPr>
            <w:webHidden/>
            <w:lang w:val="en-GB"/>
          </w:rPr>
        </w:r>
        <w:r w:rsidRPr="00BD51BF">
          <w:rPr>
            <w:webHidden/>
            <w:lang w:val="en-GB"/>
          </w:rPr>
          <w:fldChar w:fldCharType="separate"/>
        </w:r>
        <w:r w:rsidRPr="00BD51BF">
          <w:rPr>
            <w:webHidden/>
            <w:lang w:val="en-GB"/>
          </w:rPr>
          <w:t>17</w:t>
        </w:r>
        <w:r w:rsidRPr="00BD51BF">
          <w:rPr>
            <w:webHidden/>
            <w:lang w:val="en-GB"/>
          </w:rPr>
          <w:fldChar w:fldCharType="end"/>
        </w:r>
      </w:hyperlink>
    </w:p>
    <w:p w14:paraId="3396DF82" w14:textId="2EC8D7D0" w:rsidR="00E73365" w:rsidRPr="00BD51BF" w:rsidRDefault="00E73365">
      <w:pPr>
        <w:pStyle w:val="TOC1"/>
        <w:rPr>
          <w:rFonts w:asciiTheme="minorHAnsi" w:eastAsiaTheme="minorEastAsia" w:hAnsiTheme="minorHAnsi" w:cstheme="minorBidi"/>
          <w:b w:val="0"/>
          <w:color w:val="auto"/>
          <w:kern w:val="2"/>
          <w:sz w:val="22"/>
          <w:szCs w:val="22"/>
          <w:lang w:val="en-GB"/>
          <w14:ligatures w14:val="standardContextual"/>
        </w:rPr>
      </w:pPr>
      <w:hyperlink w:anchor="_Toc154052390" w:history="1">
        <w:r w:rsidRPr="00BD51BF">
          <w:rPr>
            <w:rStyle w:val="Hyperlink"/>
            <w:lang w:val="en-GB"/>
          </w:rPr>
          <w:t>13.</w:t>
        </w:r>
        <w:r w:rsidRPr="00BD51BF">
          <w:rPr>
            <w:rFonts w:asciiTheme="minorHAnsi" w:eastAsiaTheme="minorEastAsia" w:hAnsiTheme="minorHAnsi" w:cstheme="minorBidi"/>
            <w:b w:val="0"/>
            <w:color w:val="auto"/>
            <w:kern w:val="2"/>
            <w:sz w:val="22"/>
            <w:szCs w:val="22"/>
            <w:lang w:val="en-GB"/>
            <w14:ligatures w14:val="standardContextual"/>
          </w:rPr>
          <w:tab/>
        </w:r>
        <w:r w:rsidRPr="00BD51BF">
          <w:rPr>
            <w:rStyle w:val="Hyperlink"/>
            <w:lang w:val="en-GB"/>
          </w:rPr>
          <w:t>References</w:t>
        </w:r>
        <w:r w:rsidRPr="00BD51BF">
          <w:rPr>
            <w:webHidden/>
            <w:lang w:val="en-GB"/>
          </w:rPr>
          <w:tab/>
        </w:r>
        <w:r w:rsidRPr="00BD51BF">
          <w:rPr>
            <w:webHidden/>
            <w:lang w:val="en-GB"/>
          </w:rPr>
          <w:fldChar w:fldCharType="begin"/>
        </w:r>
        <w:r w:rsidRPr="00BD51BF">
          <w:rPr>
            <w:webHidden/>
            <w:lang w:val="en-GB"/>
          </w:rPr>
          <w:instrText xml:space="preserve"> PAGEREF _Toc154052390 \h </w:instrText>
        </w:r>
        <w:r w:rsidRPr="00BD51BF">
          <w:rPr>
            <w:webHidden/>
            <w:lang w:val="en-GB"/>
          </w:rPr>
        </w:r>
        <w:r w:rsidRPr="00BD51BF">
          <w:rPr>
            <w:webHidden/>
            <w:lang w:val="en-GB"/>
          </w:rPr>
          <w:fldChar w:fldCharType="separate"/>
        </w:r>
        <w:r w:rsidRPr="00BD51BF">
          <w:rPr>
            <w:webHidden/>
            <w:lang w:val="en-GB"/>
          </w:rPr>
          <w:t>18</w:t>
        </w:r>
        <w:r w:rsidRPr="00BD51BF">
          <w:rPr>
            <w:webHidden/>
            <w:lang w:val="en-GB"/>
          </w:rPr>
          <w:fldChar w:fldCharType="end"/>
        </w:r>
      </w:hyperlink>
    </w:p>
    <w:p w14:paraId="530C3783" w14:textId="3E09518C" w:rsidR="00FF05B0" w:rsidRPr="00BD51BF" w:rsidRDefault="00BA285C" w:rsidP="00843D7E">
      <w:pPr>
        <w:rPr>
          <w:lang w:val="en-GB"/>
        </w:rPr>
      </w:pPr>
      <w:r w:rsidRPr="00BD51BF">
        <w:rPr>
          <w:rFonts w:eastAsia="MS Gothic"/>
          <w:b/>
          <w:noProof/>
          <w:color w:val="0000FF"/>
          <w:lang w:val="en-GB"/>
        </w:rPr>
        <w:fldChar w:fldCharType="end"/>
      </w:r>
    </w:p>
    <w:p w14:paraId="05E37D31" w14:textId="74FA2107" w:rsidR="00403D7B" w:rsidRPr="00BD51BF" w:rsidRDefault="7E2C4AF2" w:rsidP="00825345">
      <w:pPr>
        <w:pStyle w:val="Heading1NoNumbering"/>
        <w:rPr>
          <w:lang w:val="en-GB"/>
        </w:rPr>
      </w:pPr>
      <w:bookmarkStart w:id="12" w:name="_Toc154052358"/>
      <w:r w:rsidRPr="00BD51BF">
        <w:rPr>
          <w:lang w:val="en-GB"/>
        </w:rPr>
        <w:lastRenderedPageBreak/>
        <w:t xml:space="preserve">Version </w:t>
      </w:r>
      <w:r w:rsidR="006627E2" w:rsidRPr="00BD51BF">
        <w:rPr>
          <w:lang w:val="en-GB"/>
        </w:rPr>
        <w:t>H</w:t>
      </w:r>
      <w:r w:rsidRPr="00BD51BF">
        <w:rPr>
          <w:lang w:val="en-GB"/>
        </w:rPr>
        <w:t>istory</w:t>
      </w:r>
      <w:bookmarkEnd w:id="12"/>
    </w:p>
    <w:p w14:paraId="54D3F752" w14:textId="1C240D6B" w:rsidR="00C914B2" w:rsidRPr="00BD51BF" w:rsidRDefault="00C914B2" w:rsidP="00C914B2">
      <w:pPr>
        <w:pStyle w:val="CPTInstructional"/>
        <w:rPr>
          <w:lang w:val="en-GB"/>
        </w:rPr>
      </w:pPr>
      <w:r w:rsidRPr="00BD51BF">
        <w:rPr>
          <w:lang w:val="en-GB"/>
        </w:rPr>
        <w:t xml:space="preserve">This section should include high-level, concise documentation of any changes from previous versions of the SAP. Include a sentence at the beginning of this section that references the current version of the protocol with the version date. </w:t>
      </w:r>
    </w:p>
    <w:p w14:paraId="62C3ED2A" w14:textId="238D0FA8" w:rsidR="00C914B2" w:rsidRPr="00BD51BF" w:rsidRDefault="00C914B2" w:rsidP="00C914B2">
      <w:pPr>
        <w:pStyle w:val="CPTInstructional"/>
        <w:rPr>
          <w:lang w:val="en-GB"/>
        </w:rPr>
      </w:pPr>
      <w:r w:rsidRPr="00BD51BF">
        <w:rPr>
          <w:lang w:val="en-GB"/>
        </w:rPr>
        <w:t>If this is version 1</w:t>
      </w:r>
      <w:r w:rsidR="006E4767" w:rsidRPr="00BD51BF">
        <w:rPr>
          <w:lang w:val="en-GB"/>
        </w:rPr>
        <w:t>.0</w:t>
      </w:r>
      <w:r w:rsidRPr="00BD51BF">
        <w:rPr>
          <w:lang w:val="en-GB"/>
        </w:rPr>
        <w:t xml:space="preserve"> of the SAP, include the information provided in the example table with only the first row completed. </w:t>
      </w:r>
    </w:p>
    <w:p w14:paraId="116E3F13" w14:textId="77777777" w:rsidR="00C914B2" w:rsidRPr="00BD51BF" w:rsidRDefault="00C914B2" w:rsidP="00C914B2">
      <w:pPr>
        <w:pStyle w:val="CPTInstructional"/>
        <w:rPr>
          <w:lang w:val="en-GB"/>
        </w:rPr>
      </w:pPr>
      <w:r w:rsidRPr="00BD51BF">
        <w:rPr>
          <w:lang w:val="en-GB"/>
        </w:rPr>
        <w:t>For amendments to the SAP, describe the reason the SAP is amended such as: protocol amendment, changes following blinded data review, request from the data monitoring committee, etc. Details on the major changes and rationale for these changes for each SAP amendment are included in this section. A tabular format like the example table provided below may be used to present this information. Additional rows may be added to the table for the SAP amendment to describe the changes.</w:t>
      </w:r>
    </w:p>
    <w:p w14:paraId="6C0362AE" w14:textId="4D767512" w:rsidR="00A569DE" w:rsidRPr="00BD51BF" w:rsidRDefault="00BB71C0" w:rsidP="00C914B2">
      <w:pPr>
        <w:pStyle w:val="CPTExample"/>
        <w:rPr>
          <w:lang w:val="en-GB"/>
        </w:rPr>
      </w:pPr>
      <w:r w:rsidRPr="00BD51BF">
        <w:rPr>
          <w:lang w:val="en-GB"/>
        </w:rPr>
        <w:t>&lt;</w:t>
      </w:r>
      <w:r w:rsidR="00AD098F" w:rsidRPr="00BD51BF">
        <w:rPr>
          <w:lang w:val="en-GB"/>
        </w:rPr>
        <w:t>Start of e</w:t>
      </w:r>
      <w:r w:rsidR="00A569DE" w:rsidRPr="00BD51BF">
        <w:rPr>
          <w:lang w:val="en-GB"/>
        </w:rPr>
        <w:t>xample text</w:t>
      </w:r>
      <w:r w:rsidR="001D73DE" w:rsidRPr="00BD51BF">
        <w:rPr>
          <w:lang w:val="en-GB"/>
        </w:rPr>
        <w:t>&gt;</w:t>
      </w:r>
    </w:p>
    <w:p w14:paraId="7B3B2487" w14:textId="6354DE75" w:rsidR="00AF1AE1" w:rsidRPr="00BD51BF" w:rsidRDefault="00A569DE" w:rsidP="00EE1F99">
      <w:pPr>
        <w:pStyle w:val="CPTExample"/>
        <w:rPr>
          <w:lang w:val="en-GB"/>
        </w:rPr>
      </w:pPr>
      <w:r w:rsidRPr="00BD51BF">
        <w:rPr>
          <w:lang w:val="en-GB"/>
        </w:rPr>
        <w:t xml:space="preserve">This </w:t>
      </w:r>
      <w:r w:rsidR="00C914B2" w:rsidRPr="00BD51BF">
        <w:rPr>
          <w:lang w:val="en-GB"/>
        </w:rPr>
        <w:t>s</w:t>
      </w:r>
      <w:r w:rsidRPr="00BD51BF">
        <w:rPr>
          <w:lang w:val="en-GB"/>
        </w:rPr>
        <w:t xml:space="preserve">tatistical </w:t>
      </w:r>
      <w:r w:rsidR="00C914B2" w:rsidRPr="00BD51BF">
        <w:rPr>
          <w:lang w:val="en-GB"/>
        </w:rPr>
        <w:t>a</w:t>
      </w:r>
      <w:r w:rsidRPr="00BD51BF">
        <w:rPr>
          <w:lang w:val="en-GB"/>
        </w:rPr>
        <w:t xml:space="preserve">nalysis </w:t>
      </w:r>
      <w:r w:rsidR="00C914B2" w:rsidRPr="00BD51BF">
        <w:rPr>
          <w:lang w:val="en-GB"/>
        </w:rPr>
        <w:t>p</w:t>
      </w:r>
      <w:r w:rsidRPr="00BD51BF">
        <w:rPr>
          <w:lang w:val="en-GB"/>
        </w:rPr>
        <w:t xml:space="preserve">lan (SAP) for </w:t>
      </w:r>
      <w:r w:rsidR="00C914B2" w:rsidRPr="00BD51BF">
        <w:rPr>
          <w:lang w:val="en-GB"/>
        </w:rPr>
        <w:t>S</w:t>
      </w:r>
      <w:r w:rsidRPr="00BD51BF">
        <w:rPr>
          <w:lang w:val="en-GB"/>
        </w:rPr>
        <w:t xml:space="preserve">tudy XXXXXX is based on the protocol dated ddMMMyyyy.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677"/>
        <w:gridCol w:w="1829"/>
        <w:gridCol w:w="4415"/>
      </w:tblGrid>
      <w:tr w:rsidR="008023D6" w:rsidRPr="00BD51BF" w14:paraId="7ED9C82A" w14:textId="77777777" w:rsidTr="00AC4898">
        <w:tc>
          <w:tcPr>
            <w:tcW w:w="764" w:type="pct"/>
            <w:vAlign w:val="center"/>
          </w:tcPr>
          <w:p w14:paraId="6A1A6CC0" w14:textId="77777777" w:rsidR="008023D6" w:rsidRPr="00BD51BF" w:rsidRDefault="008023D6" w:rsidP="00A5660D">
            <w:pPr>
              <w:pStyle w:val="CPTExample"/>
              <w:jc w:val="center"/>
              <w:rPr>
                <w:b/>
                <w:lang w:val="en-GB"/>
              </w:rPr>
            </w:pPr>
            <w:r w:rsidRPr="00BD51BF">
              <w:rPr>
                <w:b/>
                <w:lang w:val="en-GB"/>
              </w:rPr>
              <w:t>SAP Version</w:t>
            </w:r>
          </w:p>
        </w:tc>
        <w:tc>
          <w:tcPr>
            <w:tcW w:w="897" w:type="pct"/>
            <w:vAlign w:val="center"/>
          </w:tcPr>
          <w:p w14:paraId="12CAF72A" w14:textId="221E9F2C" w:rsidR="008023D6" w:rsidRPr="00BD51BF" w:rsidRDefault="008023D6" w:rsidP="00A5660D">
            <w:pPr>
              <w:pStyle w:val="CPTExample"/>
              <w:jc w:val="center"/>
              <w:rPr>
                <w:b/>
                <w:lang w:val="en-GB"/>
              </w:rPr>
            </w:pPr>
            <w:r w:rsidRPr="00BD51BF">
              <w:rPr>
                <w:b/>
                <w:lang w:val="en-GB"/>
              </w:rPr>
              <w:t>Date</w:t>
            </w:r>
          </w:p>
        </w:tc>
        <w:tc>
          <w:tcPr>
            <w:tcW w:w="978" w:type="pct"/>
            <w:vAlign w:val="center"/>
          </w:tcPr>
          <w:p w14:paraId="0F78D1F0" w14:textId="77777777" w:rsidR="008023D6" w:rsidRPr="00BD51BF" w:rsidRDefault="008023D6" w:rsidP="00A5660D">
            <w:pPr>
              <w:pStyle w:val="CPTExample"/>
              <w:jc w:val="center"/>
              <w:rPr>
                <w:b/>
                <w:lang w:val="en-GB"/>
              </w:rPr>
            </w:pPr>
            <w:r w:rsidRPr="00BD51BF">
              <w:rPr>
                <w:b/>
                <w:lang w:val="en-GB"/>
              </w:rPr>
              <w:t>Change</w:t>
            </w:r>
          </w:p>
        </w:tc>
        <w:tc>
          <w:tcPr>
            <w:tcW w:w="2361" w:type="pct"/>
            <w:vAlign w:val="center"/>
          </w:tcPr>
          <w:p w14:paraId="291AA933" w14:textId="77777777" w:rsidR="008023D6" w:rsidRPr="00BD51BF" w:rsidRDefault="008023D6" w:rsidP="00A5660D">
            <w:pPr>
              <w:pStyle w:val="CPTExample"/>
              <w:jc w:val="center"/>
              <w:rPr>
                <w:b/>
                <w:lang w:val="en-GB"/>
              </w:rPr>
            </w:pPr>
            <w:r w:rsidRPr="00BD51BF">
              <w:rPr>
                <w:b/>
                <w:lang w:val="en-GB"/>
              </w:rPr>
              <w:t>Rationale</w:t>
            </w:r>
          </w:p>
        </w:tc>
      </w:tr>
      <w:tr w:rsidR="008023D6" w:rsidRPr="00BD51BF" w14:paraId="123BEC32" w14:textId="77777777" w:rsidTr="00AC4898">
        <w:tc>
          <w:tcPr>
            <w:tcW w:w="764" w:type="pct"/>
            <w:tcBorders>
              <w:top w:val="single" w:sz="4" w:space="0" w:color="auto"/>
              <w:left w:val="single" w:sz="4" w:space="0" w:color="auto"/>
              <w:bottom w:val="single" w:sz="4" w:space="0" w:color="auto"/>
              <w:right w:val="single" w:sz="4" w:space="0" w:color="auto"/>
            </w:tcBorders>
          </w:tcPr>
          <w:p w14:paraId="03E0EDC5" w14:textId="3860463F" w:rsidR="008023D6" w:rsidRPr="00BD51BF" w:rsidRDefault="008023D6" w:rsidP="00EB0EB8">
            <w:pPr>
              <w:pStyle w:val="CPTExample"/>
              <w:jc w:val="center"/>
              <w:rPr>
                <w:lang w:val="en-GB"/>
              </w:rPr>
            </w:pPr>
            <w:r w:rsidRPr="00BD51BF">
              <w:rPr>
                <w:lang w:val="en-GB"/>
              </w:rPr>
              <w:t>1</w:t>
            </w:r>
            <w:r w:rsidR="006E4767" w:rsidRPr="00BD51BF">
              <w:rPr>
                <w:lang w:val="en-GB"/>
              </w:rPr>
              <w:t>.0</w:t>
            </w:r>
          </w:p>
        </w:tc>
        <w:tc>
          <w:tcPr>
            <w:tcW w:w="897" w:type="pct"/>
            <w:tcBorders>
              <w:top w:val="single" w:sz="4" w:space="0" w:color="auto"/>
              <w:left w:val="single" w:sz="4" w:space="0" w:color="auto"/>
              <w:bottom w:val="single" w:sz="4" w:space="0" w:color="auto"/>
              <w:right w:val="single" w:sz="4" w:space="0" w:color="auto"/>
            </w:tcBorders>
          </w:tcPr>
          <w:p w14:paraId="670E5171" w14:textId="49734C3D" w:rsidR="008023D6" w:rsidRPr="00BD51BF" w:rsidRDefault="00633A1C" w:rsidP="00A9310F">
            <w:pPr>
              <w:pStyle w:val="CPTExample"/>
              <w:rPr>
                <w:lang w:val="en-GB"/>
              </w:rPr>
            </w:pPr>
            <w:r w:rsidRPr="00BD51BF">
              <w:rPr>
                <w:lang w:val="en-GB"/>
              </w:rPr>
              <w:t xml:space="preserve"> </w:t>
            </w:r>
          </w:p>
        </w:tc>
        <w:tc>
          <w:tcPr>
            <w:tcW w:w="978" w:type="pct"/>
            <w:tcBorders>
              <w:top w:val="single" w:sz="4" w:space="0" w:color="auto"/>
              <w:left w:val="single" w:sz="4" w:space="0" w:color="auto"/>
              <w:bottom w:val="single" w:sz="4" w:space="0" w:color="auto"/>
              <w:right w:val="single" w:sz="4" w:space="0" w:color="auto"/>
            </w:tcBorders>
          </w:tcPr>
          <w:p w14:paraId="2B5742B4" w14:textId="3C1A9272" w:rsidR="008023D6" w:rsidRPr="00BD51BF" w:rsidRDefault="008023D6" w:rsidP="00A9310F">
            <w:pPr>
              <w:pStyle w:val="CPTExample"/>
              <w:rPr>
                <w:lang w:val="en-GB"/>
              </w:rPr>
            </w:pPr>
            <w:r w:rsidRPr="00BD51BF">
              <w:rPr>
                <w:lang w:val="en-GB"/>
              </w:rPr>
              <w:t xml:space="preserve">Not </w:t>
            </w:r>
            <w:r w:rsidR="00C914B2" w:rsidRPr="00BD51BF">
              <w:rPr>
                <w:lang w:val="en-GB"/>
              </w:rPr>
              <w:t>a</w:t>
            </w:r>
            <w:r w:rsidRPr="00BD51BF">
              <w:rPr>
                <w:lang w:val="en-GB"/>
              </w:rPr>
              <w:t>pplicable</w:t>
            </w:r>
          </w:p>
        </w:tc>
        <w:tc>
          <w:tcPr>
            <w:tcW w:w="2361" w:type="pct"/>
            <w:tcBorders>
              <w:top w:val="single" w:sz="4" w:space="0" w:color="auto"/>
              <w:left w:val="single" w:sz="4" w:space="0" w:color="auto"/>
              <w:bottom w:val="single" w:sz="4" w:space="0" w:color="auto"/>
              <w:right w:val="single" w:sz="4" w:space="0" w:color="auto"/>
            </w:tcBorders>
          </w:tcPr>
          <w:p w14:paraId="4DA6C762" w14:textId="77777777" w:rsidR="008023D6" w:rsidRPr="00BD51BF" w:rsidRDefault="008023D6" w:rsidP="00A9310F">
            <w:pPr>
              <w:pStyle w:val="CPTExample"/>
              <w:rPr>
                <w:lang w:val="en-GB"/>
              </w:rPr>
            </w:pPr>
            <w:r w:rsidRPr="00BD51BF">
              <w:rPr>
                <w:lang w:val="en-GB"/>
              </w:rPr>
              <w:t>Original version</w:t>
            </w:r>
          </w:p>
        </w:tc>
      </w:tr>
      <w:tr w:rsidR="008023D6" w:rsidRPr="00BD51BF" w14:paraId="6B3176F5" w14:textId="77777777" w:rsidTr="00AC4898">
        <w:tc>
          <w:tcPr>
            <w:tcW w:w="764" w:type="pct"/>
            <w:tcBorders>
              <w:top w:val="single" w:sz="4" w:space="0" w:color="auto"/>
              <w:left w:val="single" w:sz="4" w:space="0" w:color="auto"/>
              <w:bottom w:val="single" w:sz="4" w:space="0" w:color="auto"/>
              <w:right w:val="single" w:sz="4" w:space="0" w:color="auto"/>
            </w:tcBorders>
          </w:tcPr>
          <w:p w14:paraId="1FE0FBBB" w14:textId="77777777" w:rsidR="008023D6" w:rsidRPr="00BD51BF" w:rsidRDefault="008023D6" w:rsidP="00EB0EB8">
            <w:pPr>
              <w:pStyle w:val="CPTExample"/>
              <w:rPr>
                <w:lang w:val="en-GB"/>
              </w:rPr>
            </w:pPr>
            <w:r w:rsidRPr="00BD51BF">
              <w:rPr>
                <w:lang w:val="en-GB"/>
              </w:rPr>
              <w:t>&lt;add rows as necessary&gt;</w:t>
            </w:r>
          </w:p>
        </w:tc>
        <w:tc>
          <w:tcPr>
            <w:tcW w:w="897" w:type="pct"/>
            <w:tcBorders>
              <w:top w:val="single" w:sz="4" w:space="0" w:color="auto"/>
              <w:left w:val="single" w:sz="4" w:space="0" w:color="auto"/>
              <w:bottom w:val="single" w:sz="4" w:space="0" w:color="auto"/>
              <w:right w:val="single" w:sz="4" w:space="0" w:color="auto"/>
            </w:tcBorders>
          </w:tcPr>
          <w:p w14:paraId="1525E5F1" w14:textId="6740AE01" w:rsidR="008023D6" w:rsidRPr="00BD51BF" w:rsidRDefault="00633A1C" w:rsidP="00A9310F">
            <w:pPr>
              <w:pStyle w:val="CPTExample"/>
              <w:rPr>
                <w:lang w:val="en-GB"/>
              </w:rPr>
            </w:pPr>
            <w:r w:rsidRPr="00BD51BF">
              <w:rPr>
                <w:lang w:val="en-GB"/>
              </w:rPr>
              <w:t xml:space="preserve"> </w:t>
            </w:r>
          </w:p>
        </w:tc>
        <w:tc>
          <w:tcPr>
            <w:tcW w:w="978" w:type="pct"/>
            <w:tcBorders>
              <w:top w:val="single" w:sz="4" w:space="0" w:color="auto"/>
              <w:left w:val="single" w:sz="4" w:space="0" w:color="auto"/>
              <w:bottom w:val="single" w:sz="4" w:space="0" w:color="auto"/>
              <w:right w:val="single" w:sz="4" w:space="0" w:color="auto"/>
            </w:tcBorders>
          </w:tcPr>
          <w:p w14:paraId="69F2FA15" w14:textId="37604125" w:rsidR="008023D6" w:rsidRPr="00BD51BF" w:rsidRDefault="00633A1C" w:rsidP="00A9310F">
            <w:pPr>
              <w:pStyle w:val="CPTExample"/>
              <w:rPr>
                <w:lang w:val="en-GB"/>
              </w:rPr>
            </w:pPr>
            <w:r w:rsidRPr="00BD51BF">
              <w:rPr>
                <w:lang w:val="en-GB"/>
              </w:rPr>
              <w:t xml:space="preserve"> </w:t>
            </w:r>
          </w:p>
        </w:tc>
        <w:tc>
          <w:tcPr>
            <w:tcW w:w="2361" w:type="pct"/>
            <w:tcBorders>
              <w:top w:val="single" w:sz="4" w:space="0" w:color="auto"/>
              <w:left w:val="single" w:sz="4" w:space="0" w:color="auto"/>
              <w:bottom w:val="single" w:sz="4" w:space="0" w:color="auto"/>
              <w:right w:val="single" w:sz="4" w:space="0" w:color="auto"/>
            </w:tcBorders>
          </w:tcPr>
          <w:p w14:paraId="2970E5ED" w14:textId="02AFE7AF" w:rsidR="008023D6" w:rsidRPr="00BD51BF" w:rsidRDefault="00633A1C" w:rsidP="00A9310F">
            <w:pPr>
              <w:pStyle w:val="CPTExample"/>
              <w:rPr>
                <w:lang w:val="en-GB"/>
              </w:rPr>
            </w:pPr>
            <w:r w:rsidRPr="00BD51BF">
              <w:rPr>
                <w:lang w:val="en-GB"/>
              </w:rPr>
              <w:t xml:space="preserve"> </w:t>
            </w:r>
          </w:p>
        </w:tc>
      </w:tr>
    </w:tbl>
    <w:p w14:paraId="3018AFDE" w14:textId="2EC851E2" w:rsidR="006D1684" w:rsidRPr="00BD51BF" w:rsidRDefault="00C346B4" w:rsidP="00C346B4">
      <w:pPr>
        <w:pStyle w:val="CPTExample"/>
        <w:rPr>
          <w:lang w:val="en-GB" w:eastAsia="ja-JP"/>
        </w:rPr>
      </w:pPr>
      <w:r w:rsidRPr="00BD51BF">
        <w:rPr>
          <w:lang w:val="en-GB"/>
        </w:rPr>
        <w:t>&lt;End of example text&gt;</w:t>
      </w:r>
    </w:p>
    <w:p w14:paraId="76291D16" w14:textId="0F2CCA3F" w:rsidR="006E4767" w:rsidRPr="00BD51BF" w:rsidRDefault="006E4767" w:rsidP="006E4767">
      <w:pPr>
        <w:pStyle w:val="Heading3NoTOC"/>
        <w:rPr>
          <w:lang w:val="en-GB"/>
        </w:rPr>
      </w:pPr>
      <w:r w:rsidRPr="00BD51BF">
        <w:rPr>
          <w:lang w:val="en-GB"/>
        </w:rPr>
        <w:t xml:space="preserve">List of Abbreviations </w:t>
      </w:r>
      <w:r w:rsidRPr="00BD51BF">
        <w:rPr>
          <w:rStyle w:val="CPTVariable"/>
          <w:lang w:val="en-GB"/>
        </w:rPr>
        <w:t>[and Definitions of Terms]</w:t>
      </w:r>
      <w:r w:rsidRPr="00BD51BF">
        <w:rPr>
          <w:lang w:val="en-GB"/>
        </w:rPr>
        <w:t xml:space="preserve"> </w:t>
      </w:r>
    </w:p>
    <w:p w14:paraId="224DC0F7" w14:textId="77777777" w:rsidR="006E4767" w:rsidRPr="00BD51BF" w:rsidRDefault="006E4767" w:rsidP="006E4767">
      <w:pPr>
        <w:pStyle w:val="CPTInstructional"/>
        <w:numPr>
          <w:ilvl w:val="0"/>
          <w:numId w:val="47"/>
        </w:numPr>
        <w:rPr>
          <w:lang w:val="en-GB"/>
        </w:rPr>
      </w:pPr>
      <w:r w:rsidRPr="00BD51BF">
        <w:rPr>
          <w:lang w:val="en-GB"/>
        </w:rPr>
        <w:t>A list of the abbreviations and, if applicable, the definitions of specialized or unusual terms should be provided.</w:t>
      </w:r>
    </w:p>
    <w:p w14:paraId="1BF093D5" w14:textId="77777777" w:rsidR="006E4767" w:rsidRPr="00BD51BF" w:rsidRDefault="006E4767" w:rsidP="006E4767">
      <w:pPr>
        <w:pStyle w:val="CPTInstructional"/>
        <w:numPr>
          <w:ilvl w:val="0"/>
          <w:numId w:val="47"/>
        </w:numPr>
        <w:rPr>
          <w:lang w:val="en-GB"/>
        </w:rPr>
      </w:pPr>
      <w:r w:rsidRPr="00BD51BF">
        <w:rPr>
          <w:lang w:val="en-GB"/>
        </w:rPr>
        <w:t>This list serves as the first appearance of all abbreviations therein. Thus, abbreviations do not need to be spelled out anywhere else in the document text.</w:t>
      </w:r>
    </w:p>
    <w:p w14:paraId="77640C85" w14:textId="77777777" w:rsidR="006E4767" w:rsidRPr="00BD51BF" w:rsidRDefault="006E4767" w:rsidP="006E4767">
      <w:pPr>
        <w:pStyle w:val="CPTInstructional"/>
        <w:numPr>
          <w:ilvl w:val="0"/>
          <w:numId w:val="47"/>
        </w:numPr>
        <w:rPr>
          <w:lang w:val="en-GB"/>
        </w:rPr>
      </w:pPr>
      <w:r w:rsidRPr="00BD51BF">
        <w:rPr>
          <w:lang w:val="en-GB"/>
        </w:rPr>
        <w:t>An abbreviation should only be introduced if needed more than once.</w:t>
      </w:r>
    </w:p>
    <w:p w14:paraId="544148B8" w14:textId="77777777" w:rsidR="006E4767" w:rsidRPr="00BD51BF" w:rsidRDefault="006E4767" w:rsidP="006E4767">
      <w:pPr>
        <w:pStyle w:val="CPTInstructional"/>
        <w:numPr>
          <w:ilvl w:val="0"/>
          <w:numId w:val="47"/>
        </w:numPr>
        <w:rPr>
          <w:lang w:val="en-GB"/>
        </w:rPr>
      </w:pPr>
      <w:r w:rsidRPr="00BD51BF">
        <w:rPr>
          <w:lang w:val="en-GB"/>
        </w:rPr>
        <w:t>Widely known abbreviations (for example USA, AIDS, common units of measurement) may be used without spelling them out and without adding them to the list.</w:t>
      </w:r>
    </w:p>
    <w:p w14:paraId="678FA52A" w14:textId="77777777" w:rsidR="006E4767" w:rsidRPr="00BD51BF" w:rsidRDefault="006E4767" w:rsidP="006E4767">
      <w:pPr>
        <w:pStyle w:val="CPTInstructional"/>
        <w:numPr>
          <w:ilvl w:val="0"/>
          <w:numId w:val="47"/>
        </w:numPr>
        <w:rPr>
          <w:lang w:val="en-GB"/>
        </w:rPr>
      </w:pPr>
      <w:r w:rsidRPr="00BD51BF">
        <w:rPr>
          <w:lang w:val="en-GB"/>
        </w:rPr>
        <w:t>Abbreviations used in tables or figures only do not need to be included in this list if already explained in the respective table or figure.</w:t>
      </w:r>
    </w:p>
    <w:p w14:paraId="0CC032CC" w14:textId="77777777" w:rsidR="006E4767" w:rsidRPr="00BD51BF" w:rsidRDefault="006E4767" w:rsidP="006E4767">
      <w:pPr>
        <w:pStyle w:val="CPTInstructional"/>
        <w:numPr>
          <w:ilvl w:val="0"/>
          <w:numId w:val="47"/>
        </w:numPr>
        <w:rPr>
          <w:lang w:val="en-GB"/>
        </w:rPr>
      </w:pPr>
      <w:r w:rsidRPr="00BD51BF">
        <w:rPr>
          <w:lang w:val="en-GB"/>
        </w:rPr>
        <w:t xml:space="preserve">Each abbreviation is to be used for one term only. Thus, if the same abbreviation is commonly known for more than one term (eg, SD = “standard deviation” or “stable disease”), only one of those terms may be abbreviated in that way; the other terms are either to be spelled out throughout, or are to be represented by alternative, unique abbreviations. </w:t>
      </w:r>
    </w:p>
    <w:p w14:paraId="44697D39" w14:textId="77777777" w:rsidR="006E4767" w:rsidRPr="00BD51BF" w:rsidRDefault="006E4767" w:rsidP="006E4767">
      <w:pPr>
        <w:pStyle w:val="CPTInstructional"/>
        <w:numPr>
          <w:ilvl w:val="0"/>
          <w:numId w:val="47"/>
        </w:numPr>
        <w:rPr>
          <w:lang w:val="en-GB"/>
        </w:rPr>
      </w:pPr>
      <w:r w:rsidRPr="00BD51BF">
        <w:rPr>
          <w:lang w:val="en-GB"/>
        </w:rPr>
        <w:t>If a term gets abbreviated, its abbreviation should be used throughout; ie, abbreviations may be used even at the beginning of a sentence.</w:t>
      </w:r>
    </w:p>
    <w:p w14:paraId="1DF5C7A1" w14:textId="77777777" w:rsidR="006E4767" w:rsidRPr="00BD51BF" w:rsidRDefault="006E4767" w:rsidP="006E4767">
      <w:pPr>
        <w:pStyle w:val="CPTInstructional"/>
        <w:numPr>
          <w:ilvl w:val="0"/>
          <w:numId w:val="47"/>
        </w:numPr>
        <w:rPr>
          <w:lang w:val="en-GB"/>
        </w:rPr>
      </w:pPr>
      <w:r w:rsidRPr="00BD51BF">
        <w:rPr>
          <w:lang w:val="en-GB"/>
        </w:rPr>
        <w:t>The list may be formatted in a space-conscious manner (eg, smaller font size; double-column format)</w:t>
      </w:r>
    </w:p>
    <w:p w14:paraId="72F8019E" w14:textId="48C1F23B" w:rsidR="004C7458" w:rsidRPr="00BD51BF" w:rsidRDefault="004C7458" w:rsidP="004C7458">
      <w:pPr>
        <w:pStyle w:val="CPTExample"/>
        <w:rPr>
          <w:lang w:val="en-GB"/>
        </w:rPr>
      </w:pPr>
      <w:r w:rsidRPr="00BD51BF">
        <w:rPr>
          <w:lang w:val="en-GB"/>
        </w:rPr>
        <w:t xml:space="preserve">&lt;Start of </w:t>
      </w:r>
      <w:r w:rsidR="006D4E72" w:rsidRPr="00BD51BF">
        <w:rPr>
          <w:lang w:val="en-GB"/>
        </w:rPr>
        <w:t>example</w:t>
      </w:r>
      <w:r w:rsidRPr="00BD51BF">
        <w:rPr>
          <w:lang w:val="en-GB"/>
        </w:rPr>
        <w:t xml:space="preserve"> text&gt;</w:t>
      </w:r>
    </w:p>
    <w:tbl>
      <w:tblPr>
        <w:tblStyle w:val="TableGrid"/>
        <w:tblW w:w="264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28" w:type="dxa"/>
        </w:tblCellMar>
        <w:tblLook w:val="04A0" w:firstRow="1" w:lastRow="0" w:firstColumn="1" w:lastColumn="0" w:noHBand="0" w:noVBand="1"/>
      </w:tblPr>
      <w:tblGrid>
        <w:gridCol w:w="1260"/>
        <w:gridCol w:w="3690"/>
      </w:tblGrid>
      <w:tr w:rsidR="004C7458" w:rsidRPr="00BD51BF" w14:paraId="5BD93B80" w14:textId="77777777" w:rsidTr="00BE54EE">
        <w:tc>
          <w:tcPr>
            <w:tcW w:w="1273" w:type="pct"/>
          </w:tcPr>
          <w:p w14:paraId="2F62F1F3" w14:textId="77777777" w:rsidR="004C7458" w:rsidRPr="00BD51BF" w:rsidRDefault="004C7458" w:rsidP="00BE54EE">
            <w:pPr>
              <w:spacing w:before="60" w:after="60" w:line="200" w:lineRule="atLeast"/>
              <w:rPr>
                <w:sz w:val="20"/>
                <w:szCs w:val="20"/>
                <w:lang w:val="en-GB"/>
              </w:rPr>
            </w:pPr>
            <w:r w:rsidRPr="00BD51BF">
              <w:rPr>
                <w:rStyle w:val="CPTVariable"/>
                <w:i/>
                <w:iCs/>
                <w:sz w:val="20"/>
                <w:szCs w:val="20"/>
                <w:lang w:val="en-GB"/>
              </w:rPr>
              <w:t>[abbreviation or term]</w:t>
            </w:r>
          </w:p>
        </w:tc>
        <w:tc>
          <w:tcPr>
            <w:tcW w:w="3727" w:type="pct"/>
          </w:tcPr>
          <w:p w14:paraId="01E8D252" w14:textId="77777777" w:rsidR="004C7458" w:rsidRPr="00BD51BF" w:rsidRDefault="004C7458" w:rsidP="00BE54EE">
            <w:pPr>
              <w:spacing w:before="60" w:after="60" w:line="200" w:lineRule="atLeast"/>
              <w:rPr>
                <w:sz w:val="20"/>
                <w:szCs w:val="20"/>
                <w:lang w:val="en-GB"/>
              </w:rPr>
            </w:pPr>
            <w:r w:rsidRPr="00BD51BF">
              <w:rPr>
                <w:rStyle w:val="CPTVariable"/>
                <w:i/>
                <w:iCs/>
                <w:sz w:val="20"/>
                <w:szCs w:val="20"/>
                <w:lang w:val="en-GB"/>
              </w:rPr>
              <w:t>[definition/explanation]</w:t>
            </w:r>
          </w:p>
        </w:tc>
      </w:tr>
      <w:tr w:rsidR="004C7458" w:rsidRPr="00BD51BF" w14:paraId="4BCA0864" w14:textId="77777777" w:rsidTr="00BE54EE">
        <w:tc>
          <w:tcPr>
            <w:tcW w:w="1273" w:type="pct"/>
          </w:tcPr>
          <w:p w14:paraId="37CC81AF" w14:textId="77777777" w:rsidR="004C7458" w:rsidRPr="00BD51BF" w:rsidRDefault="004C7458" w:rsidP="00BE54EE">
            <w:pPr>
              <w:spacing w:before="60" w:after="60" w:line="200" w:lineRule="atLeast"/>
              <w:rPr>
                <w:sz w:val="20"/>
                <w:szCs w:val="20"/>
                <w:lang w:val="en-GB"/>
              </w:rPr>
            </w:pPr>
            <w:r w:rsidRPr="00BD51BF">
              <w:rPr>
                <w:rStyle w:val="CPTVariable"/>
                <w:i/>
                <w:iCs/>
                <w:sz w:val="20"/>
                <w:szCs w:val="20"/>
                <w:lang w:val="en-GB"/>
              </w:rPr>
              <w:t>[abbreviation or term]</w:t>
            </w:r>
          </w:p>
        </w:tc>
        <w:tc>
          <w:tcPr>
            <w:tcW w:w="3727" w:type="pct"/>
          </w:tcPr>
          <w:p w14:paraId="3B97DB6F" w14:textId="77777777" w:rsidR="004C7458" w:rsidRPr="00BD51BF" w:rsidRDefault="004C7458" w:rsidP="00BE54EE">
            <w:pPr>
              <w:spacing w:before="60" w:after="60" w:line="200" w:lineRule="atLeast"/>
              <w:rPr>
                <w:sz w:val="20"/>
                <w:szCs w:val="20"/>
                <w:lang w:val="en-GB"/>
              </w:rPr>
            </w:pPr>
            <w:r w:rsidRPr="00BD51BF">
              <w:rPr>
                <w:rStyle w:val="CPTVariable"/>
                <w:i/>
                <w:iCs/>
                <w:sz w:val="20"/>
                <w:szCs w:val="20"/>
                <w:lang w:val="en-GB"/>
              </w:rPr>
              <w:t>[definition/explanation]</w:t>
            </w:r>
          </w:p>
        </w:tc>
      </w:tr>
      <w:tr w:rsidR="004C7458" w:rsidRPr="00BD51BF" w14:paraId="5B6EABEB" w14:textId="77777777" w:rsidTr="00BE54EE">
        <w:tc>
          <w:tcPr>
            <w:tcW w:w="1273" w:type="pct"/>
          </w:tcPr>
          <w:p w14:paraId="20B0C0B8" w14:textId="77777777" w:rsidR="004C7458" w:rsidRPr="00BD51BF" w:rsidRDefault="004C7458" w:rsidP="00BE54EE">
            <w:pPr>
              <w:spacing w:before="60" w:after="60" w:line="200" w:lineRule="atLeast"/>
              <w:rPr>
                <w:sz w:val="20"/>
                <w:szCs w:val="20"/>
                <w:lang w:val="en-GB"/>
              </w:rPr>
            </w:pPr>
            <w:r w:rsidRPr="00BD51BF">
              <w:rPr>
                <w:rStyle w:val="CPTVariable"/>
                <w:i/>
                <w:iCs/>
                <w:sz w:val="20"/>
                <w:szCs w:val="20"/>
                <w:lang w:val="en-GB"/>
              </w:rPr>
              <w:t>[abbreviation or term]</w:t>
            </w:r>
          </w:p>
        </w:tc>
        <w:tc>
          <w:tcPr>
            <w:tcW w:w="3727" w:type="pct"/>
          </w:tcPr>
          <w:p w14:paraId="37DE04E6" w14:textId="77777777" w:rsidR="004C7458" w:rsidRPr="00BD51BF" w:rsidRDefault="004C7458" w:rsidP="00BE54EE">
            <w:pPr>
              <w:spacing w:before="60" w:after="60" w:line="200" w:lineRule="atLeast"/>
              <w:rPr>
                <w:sz w:val="20"/>
                <w:szCs w:val="20"/>
                <w:lang w:val="en-GB"/>
              </w:rPr>
            </w:pPr>
            <w:r w:rsidRPr="00BD51BF">
              <w:rPr>
                <w:rStyle w:val="CPTVariable"/>
                <w:i/>
                <w:iCs/>
                <w:sz w:val="20"/>
                <w:szCs w:val="20"/>
                <w:lang w:val="en-GB"/>
              </w:rPr>
              <w:t>[definition/explanation]</w:t>
            </w:r>
          </w:p>
        </w:tc>
      </w:tr>
    </w:tbl>
    <w:p w14:paraId="2DFD609F" w14:textId="3F45684F" w:rsidR="004C7458" w:rsidRPr="00BD51BF" w:rsidRDefault="004C7458" w:rsidP="004C7458">
      <w:pPr>
        <w:pStyle w:val="CPTExample"/>
        <w:rPr>
          <w:lang w:val="en-GB"/>
        </w:rPr>
      </w:pPr>
      <w:r w:rsidRPr="00BD51BF">
        <w:rPr>
          <w:lang w:val="en-GB"/>
        </w:rPr>
        <w:t xml:space="preserve">&lt;End of </w:t>
      </w:r>
      <w:r w:rsidR="006D4E72" w:rsidRPr="00BD51BF">
        <w:rPr>
          <w:lang w:val="en-GB"/>
        </w:rPr>
        <w:t xml:space="preserve">example </w:t>
      </w:r>
      <w:r w:rsidRPr="00BD51BF">
        <w:rPr>
          <w:lang w:val="en-GB"/>
        </w:rPr>
        <w:t>text&gt;</w:t>
      </w:r>
    </w:p>
    <w:p w14:paraId="3FC2A367" w14:textId="021C032C" w:rsidR="00AA3BCB" w:rsidRPr="00BD51BF" w:rsidRDefault="7E2C4AF2" w:rsidP="711DA045">
      <w:pPr>
        <w:pStyle w:val="Heading1"/>
        <w:rPr>
          <w:lang w:val="en-GB"/>
        </w:rPr>
      </w:pPr>
      <w:bookmarkStart w:id="13" w:name="_Toc518466155"/>
      <w:bookmarkStart w:id="14" w:name="_Toc518655969"/>
      <w:bookmarkStart w:id="15" w:name="_Toc154052359"/>
      <w:r w:rsidRPr="00BD51BF">
        <w:rPr>
          <w:lang w:val="en-GB"/>
        </w:rPr>
        <w:lastRenderedPageBreak/>
        <w:t>Introduction</w:t>
      </w:r>
      <w:bookmarkEnd w:id="13"/>
      <w:bookmarkEnd w:id="14"/>
      <w:bookmarkEnd w:id="15"/>
    </w:p>
    <w:p w14:paraId="48779531" w14:textId="0E013E63" w:rsidR="003E1C53" w:rsidRPr="00BD51BF" w:rsidRDefault="003E1C53" w:rsidP="003E1C53">
      <w:pPr>
        <w:rPr>
          <w:lang w:val="en-GB" w:eastAsia="ja-JP"/>
        </w:rPr>
      </w:pPr>
      <w:r w:rsidRPr="00BD51BF">
        <w:rPr>
          <w:lang w:val="en-GB" w:eastAsia="ja-JP"/>
        </w:rPr>
        <w:t>The purpose of this Statistical Analysis Plan is to detail the statistical principles, analyses methods, and data handling conventions for the ImPRESS trial. The ImPRESS trial is a phase 2 randomised, stepped-wedge, assessor-blinded dose-finding trial evaluating losartan as an adjunct to standard of care. It is based the structure and conventions of the TranCelerate SAP Template</w:t>
      </w:r>
      <w:r w:rsidR="008E5743" w:rsidRPr="00BD51BF">
        <w:rPr>
          <w:lang w:val="en-GB" w:eastAsia="ja-JP"/>
        </w:rPr>
        <w:t xml:space="preserve"> v5</w:t>
      </w:r>
      <w:r w:rsidRPr="00BD51BF">
        <w:rPr>
          <w:lang w:val="en-GB" w:eastAsia="ja-JP"/>
        </w:rPr>
        <w:t xml:space="preserve"> and corresponds to the </w:t>
      </w:r>
      <w:r w:rsidR="008E5743" w:rsidRPr="00BD51BF">
        <w:rPr>
          <w:lang w:val="en-GB" w:eastAsia="ja-JP"/>
        </w:rPr>
        <w:t>analysis</w:t>
      </w:r>
      <w:r w:rsidRPr="00BD51BF">
        <w:rPr>
          <w:lang w:val="en-GB" w:eastAsia="ja-JP"/>
        </w:rPr>
        <w:t xml:space="preserve"> framework </w:t>
      </w:r>
      <w:r w:rsidR="008E5743" w:rsidRPr="00BD51BF">
        <w:rPr>
          <w:lang w:val="en-GB" w:eastAsia="ja-JP"/>
        </w:rPr>
        <w:t xml:space="preserve">as </w:t>
      </w:r>
      <w:r w:rsidRPr="00BD51BF">
        <w:rPr>
          <w:lang w:val="en-GB" w:eastAsia="ja-JP"/>
        </w:rPr>
        <w:t xml:space="preserve">defined in the </w:t>
      </w:r>
      <w:r w:rsidR="008E5743" w:rsidRPr="00BD51BF">
        <w:rPr>
          <w:lang w:val="en-GB" w:eastAsia="ja-JP"/>
        </w:rPr>
        <w:t>ImPRESS protocol version 7.0 dated 08 December 2024.</w:t>
      </w:r>
    </w:p>
    <w:p w14:paraId="543EAA1F" w14:textId="75F80258" w:rsidR="008E5743" w:rsidRPr="00BD51BF" w:rsidRDefault="008E5743" w:rsidP="003E1C53">
      <w:pPr>
        <w:rPr>
          <w:lang w:val="en-GB" w:eastAsia="ja-JP"/>
        </w:rPr>
      </w:pPr>
      <w:r w:rsidRPr="00BD51BF">
        <w:rPr>
          <w:lang w:val="en-GB" w:eastAsia="ja-JP"/>
        </w:rPr>
        <w:t xml:space="preserve">The protocol is described for three different </w:t>
      </w:r>
      <w:r w:rsidR="00AF5264" w:rsidRPr="00BD51BF">
        <w:rPr>
          <w:lang w:val="en-GB" w:eastAsia="ja-JP"/>
        </w:rPr>
        <w:t xml:space="preserve">patient </w:t>
      </w:r>
      <w:r w:rsidRPr="00BD51BF">
        <w:rPr>
          <w:lang w:val="en-GB" w:eastAsia="ja-JP"/>
        </w:rPr>
        <w:t>populations</w:t>
      </w:r>
      <w:r w:rsidR="00AF5264" w:rsidRPr="00BD51BF">
        <w:rPr>
          <w:lang w:val="en-GB" w:eastAsia="ja-JP"/>
        </w:rPr>
        <w:t xml:space="preserve">: recurrent glioblastoma (AR), recurrent glioblastoma (AN) and brain metastases (BM). This SAP will only consider the newly diagnosed glioblastoma population; separate plans will cover the other populations.  </w:t>
      </w:r>
    </w:p>
    <w:p w14:paraId="69511D29" w14:textId="4B614008" w:rsidR="00C914B2" w:rsidRPr="00BD51BF" w:rsidRDefault="00C914B2" w:rsidP="00BA5823">
      <w:pPr>
        <w:pStyle w:val="CPTExample"/>
        <w:rPr>
          <w:rFonts w:ascii="Times New Roman" w:eastAsia="Calibri" w:hAnsi="Times New Roman" w:cs="Cordia New"/>
          <w:i w:val="0"/>
          <w:color w:val="auto"/>
          <w:sz w:val="24"/>
          <w:szCs w:val="22"/>
          <w:lang w:val="en-GB" w:eastAsia="ja-JP"/>
        </w:rPr>
      </w:pPr>
      <w:r w:rsidRPr="00BD51BF">
        <w:rPr>
          <w:rFonts w:ascii="Times New Roman" w:eastAsia="Calibri" w:hAnsi="Times New Roman" w:cs="Cordia New"/>
          <w:i w:val="0"/>
          <w:color w:val="auto"/>
          <w:sz w:val="24"/>
          <w:szCs w:val="22"/>
          <w:lang w:val="en-GB" w:eastAsia="ja-JP"/>
        </w:rPr>
        <w:t>Changes to the protocol-planned analyses are described in Section</w:t>
      </w:r>
      <w:r w:rsidR="002863E0" w:rsidRPr="00BD51BF">
        <w:rPr>
          <w:rFonts w:ascii="Times New Roman" w:eastAsia="Calibri" w:hAnsi="Times New Roman" w:cs="Cordia New"/>
          <w:i w:val="0"/>
          <w:color w:val="auto"/>
          <w:sz w:val="24"/>
          <w:szCs w:val="22"/>
          <w:lang w:val="en-GB" w:eastAsia="ja-JP"/>
        </w:rPr>
        <w:t xml:space="preserve"> </w:t>
      </w:r>
      <w:r w:rsidR="00D0597E" w:rsidRPr="00BD51BF">
        <w:rPr>
          <w:rFonts w:ascii="Times New Roman" w:eastAsia="Calibri" w:hAnsi="Times New Roman" w:cs="Cordia New"/>
          <w:i w:val="0"/>
          <w:color w:val="auto"/>
          <w:sz w:val="24"/>
          <w:szCs w:val="22"/>
          <w:lang w:val="en-GB" w:eastAsia="ja-JP"/>
        </w:rPr>
        <w:t>10</w:t>
      </w:r>
      <w:r w:rsidRPr="00BD51BF">
        <w:rPr>
          <w:rFonts w:ascii="Times New Roman" w:eastAsia="Calibri" w:hAnsi="Times New Roman" w:cs="Cordia New"/>
          <w:i w:val="0"/>
          <w:color w:val="auto"/>
          <w:sz w:val="24"/>
          <w:szCs w:val="22"/>
          <w:lang w:val="en-GB" w:eastAsia="ja-JP"/>
        </w:rPr>
        <w:t>.</w:t>
      </w:r>
    </w:p>
    <w:p w14:paraId="67B69AD1" w14:textId="7C89B2E9" w:rsidR="00750EA8" w:rsidRPr="00BD51BF" w:rsidRDefault="00101E04" w:rsidP="004037B2">
      <w:pPr>
        <w:pStyle w:val="Heading2"/>
        <w:rPr>
          <w:lang w:val="en-GB"/>
        </w:rPr>
      </w:pPr>
      <w:bookmarkStart w:id="16" w:name="_Ref518462088"/>
      <w:bookmarkStart w:id="17" w:name="_Ref518462118"/>
      <w:bookmarkStart w:id="18" w:name="_Ref518462744"/>
      <w:bookmarkStart w:id="19" w:name="_Toc518466156"/>
      <w:bookmarkStart w:id="20" w:name="_Toc518655970"/>
      <w:bookmarkStart w:id="21" w:name="_Ref528673306"/>
      <w:bookmarkStart w:id="22" w:name="_Toc14776515"/>
      <w:bookmarkStart w:id="23" w:name="_Toc14775837"/>
      <w:bookmarkStart w:id="24" w:name="_Ref45603942"/>
      <w:bookmarkStart w:id="25" w:name="_Ref45604080"/>
      <w:bookmarkStart w:id="26" w:name="_Ref45604138"/>
      <w:bookmarkStart w:id="27" w:name="_Ref45607291"/>
      <w:bookmarkStart w:id="28" w:name="_Ref45607310"/>
      <w:bookmarkStart w:id="29" w:name="_Ref45607384"/>
      <w:bookmarkStart w:id="30" w:name="_Toc154052360"/>
      <w:r w:rsidRPr="00BD51BF">
        <w:rPr>
          <w:lang w:val="en-GB"/>
        </w:rPr>
        <w:t xml:space="preserve">Trial </w:t>
      </w:r>
      <w:r w:rsidR="00C914B2" w:rsidRPr="00BD51BF">
        <w:rPr>
          <w:lang w:val="en-GB"/>
        </w:rPr>
        <w:t>Objectives</w:t>
      </w:r>
      <w:r w:rsidR="00AF5264" w:rsidRPr="00BD51BF">
        <w:rPr>
          <w:lang w:val="en-GB"/>
        </w:rPr>
        <w:t xml:space="preserve"> </w:t>
      </w:r>
      <w:r w:rsidR="00C914B2" w:rsidRPr="00BD51BF">
        <w:rPr>
          <w:lang w:val="en-GB"/>
        </w:rPr>
        <w:t xml:space="preserve">and </w:t>
      </w:r>
      <w:r w:rsidRPr="00BD51BF">
        <w:rPr>
          <w:lang w:val="en-GB"/>
        </w:rPr>
        <w:t xml:space="preserve">Associated </w:t>
      </w:r>
      <w:r w:rsidR="00C914B2" w:rsidRPr="00BD51BF">
        <w:rPr>
          <w:lang w:val="en-GB"/>
        </w:rPr>
        <w:t>Estimands</w:t>
      </w:r>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p>
    <w:p w14:paraId="21FEED14" w14:textId="1EB3E27C" w:rsidR="00101E04" w:rsidRPr="00BD51BF" w:rsidRDefault="00101E04" w:rsidP="00101E04">
      <w:pPr>
        <w:pStyle w:val="Heading2"/>
        <w:rPr>
          <w:lang w:val="en-GB"/>
        </w:rPr>
      </w:pPr>
      <w:r w:rsidRPr="00BD51BF">
        <w:rPr>
          <w:lang w:val="en-GB"/>
        </w:rPr>
        <w:t>Primary Objective and Associated Estimands</w:t>
      </w:r>
    </w:p>
    <w:p w14:paraId="23B72429" w14:textId="708DCA69" w:rsidR="00101E04" w:rsidRPr="00BD51BF" w:rsidRDefault="00101E04" w:rsidP="00101E04">
      <w:pPr>
        <w:pStyle w:val="Heading3"/>
        <w:rPr>
          <w:lang w:val="en-GB"/>
        </w:rPr>
      </w:pPr>
      <w:r w:rsidRPr="00BD51BF">
        <w:rPr>
          <w:lang w:val="en-GB"/>
        </w:rPr>
        <w:t>Primary Objective</w:t>
      </w:r>
    </w:p>
    <w:p w14:paraId="1F1E9A17" w14:textId="6380EE7A" w:rsidR="00AF5264" w:rsidRPr="00BD51BF" w:rsidRDefault="00AF5264" w:rsidP="00AF5264">
      <w:pPr>
        <w:rPr>
          <w:lang w:val="en-GB" w:eastAsia="ja-JP"/>
        </w:rPr>
      </w:pPr>
      <w:r w:rsidRPr="00BD51BF">
        <w:rPr>
          <w:lang w:val="en-GB" w:eastAsia="ja-JP"/>
        </w:rPr>
        <w:t xml:space="preserve">The primary objective is to assess the dose-response relationship </w:t>
      </w:r>
      <w:r w:rsidRPr="00BD51BF">
        <w:rPr>
          <w:lang w:val="en-GB" w:eastAsia="ja-JP"/>
        </w:rPr>
        <w:t>of the angiotensin II</w:t>
      </w:r>
      <w:r w:rsidRPr="00BD51BF">
        <w:rPr>
          <w:lang w:val="en-GB" w:eastAsia="ja-JP"/>
        </w:rPr>
        <w:t xml:space="preserve"> </w:t>
      </w:r>
      <w:r w:rsidRPr="00BD51BF">
        <w:rPr>
          <w:lang w:val="en-GB" w:eastAsia="ja-JP"/>
        </w:rPr>
        <w:t>receptor inhibitor losartan on</w:t>
      </w:r>
      <w:r w:rsidRPr="00BD51BF">
        <w:rPr>
          <w:lang w:val="en-GB" w:eastAsia="ja-JP"/>
        </w:rPr>
        <w:t xml:space="preserve"> </w:t>
      </w:r>
      <w:r w:rsidR="00AE45D5" w:rsidRPr="00BD51BF">
        <w:rPr>
          <w:lang w:val="en-GB" w:eastAsia="ja-JP"/>
        </w:rPr>
        <w:t xml:space="preserve">brain tumour </w:t>
      </w:r>
      <w:r w:rsidRPr="00BD51BF">
        <w:rPr>
          <w:lang w:val="en-GB" w:eastAsia="ja-JP"/>
        </w:rPr>
        <w:t>perfusion and mechanical solid</w:t>
      </w:r>
      <w:r w:rsidRPr="00BD51BF">
        <w:rPr>
          <w:lang w:val="en-GB" w:eastAsia="ja-JP"/>
        </w:rPr>
        <w:t xml:space="preserve"> </w:t>
      </w:r>
      <w:r w:rsidRPr="00BD51BF">
        <w:rPr>
          <w:lang w:val="en-GB" w:eastAsia="ja-JP"/>
        </w:rPr>
        <w:t>stress</w:t>
      </w:r>
      <w:r w:rsidR="00AE45D5" w:rsidRPr="00BD51BF">
        <w:rPr>
          <w:lang w:val="en-GB" w:eastAsia="ja-JP"/>
        </w:rPr>
        <w:t xml:space="preserve"> in</w:t>
      </w:r>
      <w:r w:rsidRPr="00BD51BF">
        <w:rPr>
          <w:lang w:val="en-GB" w:eastAsia="ja-JP"/>
        </w:rPr>
        <w:t xml:space="preserve"> </w:t>
      </w:r>
      <w:r w:rsidRPr="00BD51BF">
        <w:rPr>
          <w:lang w:val="en-GB" w:eastAsia="ja-JP"/>
        </w:rPr>
        <w:t xml:space="preserve">patients with newly diagnosed glioblastoma. </w:t>
      </w:r>
    </w:p>
    <w:p w14:paraId="78E89088" w14:textId="1A7A8240" w:rsidR="00101E04" w:rsidRPr="00BD51BF" w:rsidRDefault="00101E04" w:rsidP="00101E04">
      <w:pPr>
        <w:pStyle w:val="Heading3"/>
        <w:rPr>
          <w:lang w:val="en-GB"/>
        </w:rPr>
      </w:pPr>
      <w:r w:rsidRPr="00BD51BF">
        <w:rPr>
          <w:lang w:val="en-GB"/>
        </w:rPr>
        <w:t>Primary estimand</w:t>
      </w:r>
    </w:p>
    <w:p w14:paraId="411588CD" w14:textId="22312E4F" w:rsidR="00AF5264" w:rsidRPr="00BD51BF" w:rsidRDefault="00AE45D5" w:rsidP="00AF5264">
      <w:pPr>
        <w:rPr>
          <w:lang w:val="en-GB" w:eastAsia="ja-JP"/>
        </w:rPr>
      </w:pPr>
      <w:r w:rsidRPr="00BD51BF">
        <w:rPr>
          <w:lang w:val="en-GB" w:eastAsia="ja-JP"/>
        </w:rPr>
        <w:t>The primary estimand is described by the following attributes in the table below:</w:t>
      </w:r>
    </w:p>
    <w:tbl>
      <w:tblPr>
        <w:tblStyle w:val="TableGrid"/>
        <w:tblW w:w="0" w:type="auto"/>
        <w:tblLook w:val="04A0" w:firstRow="1" w:lastRow="0" w:firstColumn="1" w:lastColumn="0" w:noHBand="0" w:noVBand="1"/>
      </w:tblPr>
      <w:tblGrid>
        <w:gridCol w:w="4106"/>
        <w:gridCol w:w="5244"/>
      </w:tblGrid>
      <w:tr w:rsidR="00AE45D5" w:rsidRPr="00BD51BF" w14:paraId="4AEEC5E2" w14:textId="77777777" w:rsidTr="00825F72">
        <w:tc>
          <w:tcPr>
            <w:tcW w:w="4106" w:type="dxa"/>
          </w:tcPr>
          <w:p w14:paraId="65B476ED" w14:textId="77777777" w:rsidR="00AE45D5" w:rsidRPr="00BD51BF" w:rsidRDefault="00AE45D5" w:rsidP="00652A4E">
            <w:pPr>
              <w:pStyle w:val="CPTExample"/>
              <w:rPr>
                <w:rFonts w:ascii="Times New Roman" w:hAnsi="Times New Roman"/>
                <w:b/>
                <w:i w:val="0"/>
                <w:iCs/>
                <w:color w:val="auto"/>
                <w:sz w:val="24"/>
                <w:szCs w:val="24"/>
                <w:lang w:val="en-GB"/>
              </w:rPr>
            </w:pPr>
            <w:r w:rsidRPr="00BD51BF">
              <w:rPr>
                <w:rFonts w:ascii="Times New Roman" w:hAnsi="Times New Roman"/>
                <w:b/>
                <w:i w:val="0"/>
                <w:iCs/>
                <w:color w:val="auto"/>
                <w:sz w:val="24"/>
                <w:szCs w:val="24"/>
                <w:lang w:val="en-GB"/>
              </w:rPr>
              <w:t xml:space="preserve">Estimand </w:t>
            </w:r>
            <w:r w:rsidRPr="00BD51BF">
              <w:rPr>
                <w:rFonts w:ascii="Times New Roman" w:hAnsi="Times New Roman"/>
                <w:b/>
                <w:bCs/>
                <w:i w:val="0"/>
                <w:iCs/>
                <w:color w:val="auto"/>
                <w:sz w:val="24"/>
                <w:szCs w:val="24"/>
                <w:lang w:val="en-GB"/>
              </w:rPr>
              <w:t>Characteristic</w:t>
            </w:r>
          </w:p>
        </w:tc>
        <w:tc>
          <w:tcPr>
            <w:tcW w:w="5244" w:type="dxa"/>
          </w:tcPr>
          <w:p w14:paraId="5743465A" w14:textId="77777777" w:rsidR="00AE45D5" w:rsidRPr="00BD51BF" w:rsidRDefault="00AE45D5" w:rsidP="00652A4E">
            <w:pPr>
              <w:pStyle w:val="CPTExample"/>
              <w:rPr>
                <w:rFonts w:ascii="Times New Roman" w:hAnsi="Times New Roman"/>
                <w:b/>
                <w:i w:val="0"/>
                <w:iCs/>
                <w:color w:val="auto"/>
                <w:sz w:val="24"/>
                <w:szCs w:val="24"/>
                <w:lang w:val="en-GB"/>
              </w:rPr>
            </w:pPr>
            <w:r w:rsidRPr="00BD51BF">
              <w:rPr>
                <w:rFonts w:ascii="Times New Roman" w:hAnsi="Times New Roman"/>
                <w:b/>
                <w:i w:val="0"/>
                <w:iCs/>
                <w:color w:val="auto"/>
                <w:sz w:val="24"/>
                <w:szCs w:val="24"/>
                <w:lang w:val="en-GB"/>
              </w:rPr>
              <w:t>Description</w:t>
            </w:r>
          </w:p>
        </w:tc>
      </w:tr>
      <w:tr w:rsidR="00AE45D5" w:rsidRPr="00BD51BF" w14:paraId="7AAABDEC" w14:textId="77777777" w:rsidTr="00825F72">
        <w:tc>
          <w:tcPr>
            <w:tcW w:w="4106" w:type="dxa"/>
          </w:tcPr>
          <w:p w14:paraId="452A4B1D" w14:textId="77777777" w:rsidR="00AE45D5" w:rsidRPr="00BD51BF" w:rsidRDefault="00AE45D5"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Population</w:t>
            </w:r>
          </w:p>
        </w:tc>
        <w:tc>
          <w:tcPr>
            <w:tcW w:w="5244" w:type="dxa"/>
          </w:tcPr>
          <w:p w14:paraId="0290737A" w14:textId="0AE7E8C4" w:rsidR="00AE45D5" w:rsidRPr="00BD51BF" w:rsidRDefault="00AE45D5"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Patients newly diagnosed with glioblastoma</w:t>
            </w:r>
          </w:p>
        </w:tc>
      </w:tr>
      <w:tr w:rsidR="00AE45D5" w:rsidRPr="00BD51BF" w14:paraId="6EE884B4" w14:textId="77777777" w:rsidTr="00825F72">
        <w:tc>
          <w:tcPr>
            <w:tcW w:w="4106" w:type="dxa"/>
          </w:tcPr>
          <w:p w14:paraId="03450632" w14:textId="77777777" w:rsidR="00AE45D5" w:rsidRPr="00BD51BF" w:rsidRDefault="00AE45D5"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Treatment</w:t>
            </w:r>
          </w:p>
        </w:tc>
        <w:tc>
          <w:tcPr>
            <w:tcW w:w="5244" w:type="dxa"/>
          </w:tcPr>
          <w:p w14:paraId="0A0B4F29" w14:textId="4BA97490" w:rsidR="00AE45D5" w:rsidRPr="00BD51BF" w:rsidRDefault="00CD299B"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I</w:t>
            </w:r>
            <w:r w:rsidR="00AE45D5" w:rsidRPr="00BD51BF">
              <w:rPr>
                <w:rFonts w:ascii="Times New Roman" w:hAnsi="Times New Roman"/>
                <w:i w:val="0"/>
                <w:iCs/>
                <w:color w:val="auto"/>
                <w:sz w:val="24"/>
                <w:szCs w:val="24"/>
                <w:lang w:val="en-GB"/>
              </w:rPr>
              <w:t xml:space="preserve">ntervention </w:t>
            </w:r>
            <w:r w:rsidR="00665DD4" w:rsidRPr="00BD51BF">
              <w:rPr>
                <w:rFonts w:ascii="Times New Roman" w:hAnsi="Times New Roman"/>
                <w:i w:val="0"/>
                <w:iCs/>
                <w:color w:val="auto"/>
                <w:sz w:val="24"/>
                <w:szCs w:val="24"/>
                <w:lang w:val="en-GB"/>
              </w:rPr>
              <w:t xml:space="preserve">for 14 days </w:t>
            </w:r>
            <w:r w:rsidR="00AE45D5" w:rsidRPr="00BD51BF">
              <w:rPr>
                <w:rFonts w:ascii="Times New Roman" w:hAnsi="Times New Roman"/>
                <w:i w:val="0"/>
                <w:iCs/>
                <w:color w:val="auto"/>
                <w:sz w:val="24"/>
                <w:szCs w:val="24"/>
                <w:lang w:val="en-GB"/>
              </w:rPr>
              <w:t>with different doses of losartan: 0 mg, 25 mg, 50 mg, 100 mg</w:t>
            </w:r>
            <w:r w:rsidRPr="00BD51BF">
              <w:rPr>
                <w:rFonts w:ascii="Times New Roman" w:hAnsi="Times New Roman"/>
                <w:i w:val="0"/>
                <w:iCs/>
                <w:color w:val="auto"/>
                <w:sz w:val="24"/>
                <w:szCs w:val="24"/>
                <w:lang w:val="en-GB"/>
              </w:rPr>
              <w:t xml:space="preserve">, regardless of other treatment or if the treatment was given fully or partially according to protocol intention. </w:t>
            </w:r>
          </w:p>
        </w:tc>
      </w:tr>
      <w:tr w:rsidR="00AE45D5" w:rsidRPr="00BD51BF" w14:paraId="0C0665A9" w14:textId="77777777" w:rsidTr="00825F72">
        <w:tc>
          <w:tcPr>
            <w:tcW w:w="4106" w:type="dxa"/>
          </w:tcPr>
          <w:p w14:paraId="6937CFAF" w14:textId="5777A7D1" w:rsidR="00AE45D5" w:rsidRPr="00BD51BF" w:rsidRDefault="00662D03"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Variable of interest</w:t>
            </w:r>
          </w:p>
        </w:tc>
        <w:tc>
          <w:tcPr>
            <w:tcW w:w="5244" w:type="dxa"/>
          </w:tcPr>
          <w:p w14:paraId="3E1D0422" w14:textId="68365301" w:rsidR="00AE45D5" w:rsidRPr="00BD51BF" w:rsidRDefault="00CD299B" w:rsidP="004270E4">
            <w:pPr>
              <w:pStyle w:val="CPTExample"/>
              <w:numPr>
                <w:ilvl w:val="0"/>
                <w:numId w:val="52"/>
              </w:numPr>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Change from baseline to 14 days after treatment start in perfusion </w:t>
            </w:r>
            <w:r w:rsidR="004270E4" w:rsidRPr="00BD51BF">
              <w:rPr>
                <w:rFonts w:ascii="Times New Roman" w:hAnsi="Times New Roman"/>
                <w:i w:val="0"/>
                <w:iCs/>
                <w:color w:val="auto"/>
                <w:sz w:val="24"/>
                <w:szCs w:val="24"/>
                <w:lang w:val="en-GB"/>
              </w:rPr>
              <w:t xml:space="preserve">as measured by the radiographic biomarker relative cerebral blood flow in the primary tumour area </w:t>
            </w:r>
          </w:p>
          <w:p w14:paraId="6B59BBDB" w14:textId="77777777" w:rsidR="004270E4" w:rsidRPr="00BD51BF" w:rsidRDefault="004270E4" w:rsidP="004270E4">
            <w:pPr>
              <w:pStyle w:val="CPTExample"/>
              <w:numPr>
                <w:ilvl w:val="0"/>
                <w:numId w:val="52"/>
              </w:numPr>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Change from baseline to 14 days after treatment start in </w:t>
            </w:r>
            <w:r w:rsidRPr="00BD51BF">
              <w:rPr>
                <w:rFonts w:ascii="Times New Roman" w:hAnsi="Times New Roman"/>
                <w:i w:val="0"/>
                <w:iCs/>
                <w:color w:val="auto"/>
                <w:sz w:val="24"/>
                <w:szCs w:val="24"/>
                <w:lang w:val="en-GB"/>
              </w:rPr>
              <w:t>mechanical solid stress</w:t>
            </w:r>
            <w:r w:rsidRPr="00BD51BF">
              <w:rPr>
                <w:rFonts w:ascii="Times New Roman" w:hAnsi="Times New Roman"/>
                <w:i w:val="0"/>
                <w:iCs/>
                <w:color w:val="auto"/>
                <w:sz w:val="24"/>
                <w:szCs w:val="24"/>
                <w:lang w:val="en-GB"/>
              </w:rPr>
              <w:t xml:space="preserve"> as measured by the radiographic biomarker </w:t>
            </w:r>
            <w:r w:rsidRPr="00BD51BF">
              <w:rPr>
                <w:rFonts w:ascii="Times New Roman" w:hAnsi="Times New Roman"/>
                <w:i w:val="0"/>
                <w:iCs/>
                <w:color w:val="auto"/>
                <w:sz w:val="24"/>
                <w:szCs w:val="24"/>
                <w:lang w:val="en-GB"/>
              </w:rPr>
              <w:t xml:space="preserve">tissue stiffness as derived from the shear wave modulus G in the MR-elastography readout </w:t>
            </w:r>
            <w:r w:rsidRPr="00BD51BF">
              <w:rPr>
                <w:rFonts w:ascii="Times New Roman" w:hAnsi="Times New Roman"/>
                <w:i w:val="0"/>
                <w:iCs/>
                <w:color w:val="auto"/>
                <w:sz w:val="24"/>
                <w:szCs w:val="24"/>
                <w:lang w:val="en-GB"/>
              </w:rPr>
              <w:t xml:space="preserve">in the primary tumour area </w:t>
            </w:r>
          </w:p>
          <w:p w14:paraId="1D27697B" w14:textId="643E8FA8" w:rsidR="004270E4" w:rsidRPr="00BD51BF" w:rsidRDefault="004270E4" w:rsidP="004270E4">
            <w:pPr>
              <w:rPr>
                <w:lang w:val="en-GB"/>
              </w:rPr>
            </w:pPr>
            <w:r w:rsidRPr="00BD51BF">
              <w:rPr>
                <w:lang w:val="en-GB"/>
              </w:rPr>
              <w:t xml:space="preserve">Both endpoints are normalised to reference tissue. </w:t>
            </w:r>
          </w:p>
        </w:tc>
      </w:tr>
      <w:tr w:rsidR="00AE45D5" w:rsidRPr="00BD51BF" w14:paraId="4B0329ED" w14:textId="77777777" w:rsidTr="00825F72">
        <w:tc>
          <w:tcPr>
            <w:tcW w:w="4106" w:type="dxa"/>
          </w:tcPr>
          <w:p w14:paraId="6C76ACEE" w14:textId="77777777" w:rsidR="00AE45D5" w:rsidRPr="00BD51BF" w:rsidRDefault="00AE45D5"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Population-level summary</w:t>
            </w:r>
          </w:p>
        </w:tc>
        <w:tc>
          <w:tcPr>
            <w:tcW w:w="5244" w:type="dxa"/>
          </w:tcPr>
          <w:p w14:paraId="1FD50A91" w14:textId="06ABE885" w:rsidR="00AE45D5" w:rsidRPr="00BD51BF" w:rsidRDefault="00825F72"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Mean change from baseline for each dose </w:t>
            </w:r>
          </w:p>
        </w:tc>
      </w:tr>
      <w:tr w:rsidR="00AE45D5" w:rsidRPr="00BD51BF" w14:paraId="448BCA1D" w14:textId="77777777" w:rsidTr="00825F72">
        <w:tc>
          <w:tcPr>
            <w:tcW w:w="4106" w:type="dxa"/>
          </w:tcPr>
          <w:p w14:paraId="536C4D5A" w14:textId="2DDC01FF" w:rsidR="00AE45D5" w:rsidRPr="00BD51BF" w:rsidRDefault="00AE45D5" w:rsidP="00652A4E">
            <w:pPr>
              <w:pStyle w:val="CPTExample"/>
              <w:rPr>
                <w:rFonts w:ascii="Times New Roman" w:hAnsi="Times New Roman"/>
                <w:b/>
                <w:bCs/>
                <w:i w:val="0"/>
                <w:iCs/>
                <w:color w:val="auto"/>
                <w:sz w:val="24"/>
                <w:szCs w:val="24"/>
                <w:lang w:val="en-GB"/>
              </w:rPr>
            </w:pPr>
            <w:r w:rsidRPr="00BD51BF">
              <w:rPr>
                <w:rFonts w:ascii="Times New Roman" w:hAnsi="Times New Roman"/>
                <w:b/>
                <w:bCs/>
                <w:i w:val="0"/>
                <w:iCs/>
                <w:color w:val="auto"/>
                <w:sz w:val="24"/>
                <w:szCs w:val="24"/>
                <w:lang w:val="en-GB"/>
              </w:rPr>
              <w:lastRenderedPageBreak/>
              <w:t>Intercurrent Events</w:t>
            </w:r>
          </w:p>
        </w:tc>
        <w:tc>
          <w:tcPr>
            <w:tcW w:w="5244" w:type="dxa"/>
          </w:tcPr>
          <w:p w14:paraId="7CE050E1" w14:textId="77777777" w:rsidR="00AE45D5" w:rsidRPr="00BD51BF" w:rsidRDefault="00AE45D5" w:rsidP="00652A4E">
            <w:pPr>
              <w:pStyle w:val="CPTExample"/>
              <w:rPr>
                <w:rFonts w:ascii="Times New Roman" w:hAnsi="Times New Roman"/>
                <w:b/>
                <w:bCs/>
                <w:i w:val="0"/>
                <w:iCs/>
                <w:color w:val="auto"/>
                <w:sz w:val="24"/>
                <w:szCs w:val="24"/>
                <w:lang w:val="en-GB"/>
              </w:rPr>
            </w:pPr>
            <w:r w:rsidRPr="00BD51BF">
              <w:rPr>
                <w:rFonts w:ascii="Times New Roman" w:hAnsi="Times New Roman"/>
                <w:b/>
                <w:bCs/>
                <w:i w:val="0"/>
                <w:iCs/>
                <w:color w:val="auto"/>
                <w:sz w:val="24"/>
                <w:szCs w:val="24"/>
                <w:lang w:val="en-GB"/>
              </w:rPr>
              <w:t>Strategy</w:t>
            </w:r>
          </w:p>
        </w:tc>
      </w:tr>
      <w:tr w:rsidR="00AE45D5" w:rsidRPr="00BD51BF" w14:paraId="58648130" w14:textId="77777777" w:rsidTr="00825F72">
        <w:tc>
          <w:tcPr>
            <w:tcW w:w="4106" w:type="dxa"/>
          </w:tcPr>
          <w:p w14:paraId="41D59679" w14:textId="77777777" w:rsidR="00AE45D5" w:rsidRPr="00BD51BF" w:rsidRDefault="00AE45D5"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Discontinuation of investigational trial intervention for any reason</w:t>
            </w:r>
          </w:p>
        </w:tc>
        <w:tc>
          <w:tcPr>
            <w:tcW w:w="5244" w:type="dxa"/>
          </w:tcPr>
          <w:p w14:paraId="39FA74ED" w14:textId="3DB55C65" w:rsidR="00AE45D5" w:rsidRPr="00BD51BF" w:rsidRDefault="00AE45D5"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Treatment policy </w:t>
            </w:r>
            <w:r w:rsidR="0023558E" w:rsidRPr="00BD51BF">
              <w:rPr>
                <w:rFonts w:ascii="Times New Roman" w:hAnsi="Times New Roman"/>
                <w:i w:val="0"/>
                <w:iCs/>
                <w:color w:val="auto"/>
                <w:sz w:val="24"/>
                <w:szCs w:val="24"/>
                <w:lang w:val="en-GB"/>
              </w:rPr>
              <w:t xml:space="preserve">strategy </w:t>
            </w:r>
            <w:r w:rsidRPr="00BD51BF">
              <w:rPr>
                <w:rFonts w:ascii="Times New Roman" w:hAnsi="Times New Roman"/>
                <w:i w:val="0"/>
                <w:iCs/>
                <w:color w:val="auto"/>
                <w:sz w:val="24"/>
                <w:szCs w:val="24"/>
                <w:lang w:val="en-GB"/>
              </w:rPr>
              <w:t xml:space="preserve">(addressed in treatment conditions attribute) </w:t>
            </w:r>
          </w:p>
        </w:tc>
      </w:tr>
      <w:tr w:rsidR="00AE45D5" w:rsidRPr="00BD51BF" w14:paraId="4D7C2342" w14:textId="77777777" w:rsidTr="00825F72">
        <w:tc>
          <w:tcPr>
            <w:tcW w:w="4106" w:type="dxa"/>
          </w:tcPr>
          <w:p w14:paraId="22BCE728" w14:textId="77777777" w:rsidR="00AE45D5" w:rsidRPr="00BD51BF" w:rsidRDefault="00AE45D5"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Initiation of rescue medication or change in background medication (dose and product)</w:t>
            </w:r>
          </w:p>
        </w:tc>
        <w:tc>
          <w:tcPr>
            <w:tcW w:w="5244" w:type="dxa"/>
          </w:tcPr>
          <w:p w14:paraId="43FC9F68" w14:textId="69884DDD" w:rsidR="00AE45D5" w:rsidRPr="00BD51BF" w:rsidRDefault="00AE45D5"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Treatment policy</w:t>
            </w:r>
            <w:r w:rsidR="0023558E" w:rsidRPr="00BD51BF">
              <w:rPr>
                <w:rFonts w:ascii="Times New Roman" w:hAnsi="Times New Roman"/>
                <w:i w:val="0"/>
                <w:iCs/>
                <w:color w:val="auto"/>
                <w:sz w:val="24"/>
                <w:szCs w:val="24"/>
                <w:lang w:val="en-GB"/>
              </w:rPr>
              <w:t xml:space="preserve"> strategy</w:t>
            </w:r>
            <w:r w:rsidRPr="00BD51BF">
              <w:rPr>
                <w:rFonts w:ascii="Times New Roman" w:hAnsi="Times New Roman"/>
                <w:i w:val="0"/>
                <w:iCs/>
                <w:color w:val="auto"/>
                <w:sz w:val="24"/>
                <w:szCs w:val="24"/>
                <w:lang w:val="en-GB"/>
              </w:rPr>
              <w:t xml:space="preserve"> (addressed in treatment conditions attribute)</w:t>
            </w:r>
          </w:p>
        </w:tc>
      </w:tr>
      <w:tr w:rsidR="0023558E" w:rsidRPr="00BD51BF" w14:paraId="2889B916" w14:textId="77777777" w:rsidTr="00825F72">
        <w:tc>
          <w:tcPr>
            <w:tcW w:w="4106" w:type="dxa"/>
          </w:tcPr>
          <w:p w14:paraId="148A1852" w14:textId="036EAC15" w:rsidR="0023558E" w:rsidRPr="00BD51BF" w:rsidRDefault="0023558E"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Death</w:t>
            </w:r>
          </w:p>
        </w:tc>
        <w:tc>
          <w:tcPr>
            <w:tcW w:w="5244" w:type="dxa"/>
          </w:tcPr>
          <w:p w14:paraId="10D3CDC5" w14:textId="030226D2" w:rsidR="0023558E" w:rsidRPr="00BD51BF" w:rsidRDefault="0023558E"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Hypothetical strategy, i.e. what would the outcome have been if death had not occurred. Outcomes after this event is handled as missing data. </w:t>
            </w:r>
          </w:p>
        </w:tc>
      </w:tr>
    </w:tbl>
    <w:p w14:paraId="03294544" w14:textId="0B65BE66" w:rsidR="00101E04" w:rsidRPr="00BD51BF" w:rsidRDefault="00101E04" w:rsidP="00BA5823">
      <w:pPr>
        <w:pStyle w:val="CPTInstructional"/>
        <w:rPr>
          <w:lang w:val="en-GB" w:eastAsia="ja-JP"/>
        </w:rPr>
      </w:pPr>
    </w:p>
    <w:p w14:paraId="45E27F67" w14:textId="6CE37CDB" w:rsidR="00101E04" w:rsidRPr="00BD51BF" w:rsidRDefault="00101E04" w:rsidP="00101E04">
      <w:pPr>
        <w:pStyle w:val="Heading3"/>
        <w:rPr>
          <w:lang w:val="en-GB"/>
        </w:rPr>
      </w:pPr>
      <w:r w:rsidRPr="00BD51BF">
        <w:rPr>
          <w:lang w:val="en-GB"/>
        </w:rPr>
        <w:t>Sensitivity estimands</w:t>
      </w:r>
    </w:p>
    <w:p w14:paraId="39CAFB9B" w14:textId="6AB33B3C" w:rsidR="00101E04" w:rsidRPr="00BD51BF" w:rsidRDefault="00101E04" w:rsidP="00101E04">
      <w:pPr>
        <w:rPr>
          <w:lang w:val="en-GB" w:eastAsia="ja-JP"/>
        </w:rPr>
      </w:pPr>
      <w:r w:rsidRPr="00BD51BF">
        <w:rPr>
          <w:lang w:val="en-GB" w:eastAsia="ja-JP"/>
        </w:rPr>
        <w:t xml:space="preserve">A sensitivity estimand for the primary objective is defined </w:t>
      </w:r>
      <w:r w:rsidR="001F682C" w:rsidRPr="00BD51BF">
        <w:rPr>
          <w:lang w:val="en-GB" w:eastAsia="ja-JP"/>
        </w:rPr>
        <w:t xml:space="preserve">identical to the primary estimand but where the endpoint is measured in the oedema-targeted area. </w:t>
      </w:r>
    </w:p>
    <w:p w14:paraId="09602D6B" w14:textId="061068B1" w:rsidR="00B01418" w:rsidRPr="00BD51BF" w:rsidRDefault="00B01418" w:rsidP="00B01418">
      <w:pPr>
        <w:rPr>
          <w:lang w:val="en-GB"/>
        </w:rPr>
      </w:pPr>
    </w:p>
    <w:p w14:paraId="510829E0" w14:textId="065DE714" w:rsidR="00E17345" w:rsidRPr="00BD51BF" w:rsidRDefault="00E17345" w:rsidP="00152383">
      <w:pPr>
        <w:pStyle w:val="Heading2"/>
        <w:rPr>
          <w:lang w:val="en-GB"/>
        </w:rPr>
      </w:pPr>
      <w:bookmarkStart w:id="31" w:name="_Toc207809194"/>
      <w:r w:rsidRPr="00BD51BF">
        <w:rPr>
          <w:lang w:val="en-GB"/>
        </w:rPr>
        <w:t>Secondary Objective</w:t>
      </w:r>
      <w:r w:rsidR="00F30575" w:rsidRPr="00BD51BF">
        <w:rPr>
          <w:lang w:val="en-GB"/>
        </w:rPr>
        <w:t>s</w:t>
      </w:r>
      <w:r w:rsidRPr="00BD51BF">
        <w:rPr>
          <w:lang w:val="en-GB"/>
        </w:rPr>
        <w:t xml:space="preserve"> and Associated Estimand</w:t>
      </w:r>
      <w:bookmarkEnd w:id="31"/>
      <w:r w:rsidR="00F30575" w:rsidRPr="00BD51BF">
        <w:rPr>
          <w:lang w:val="en-GB"/>
        </w:rPr>
        <w:t>s</w:t>
      </w:r>
    </w:p>
    <w:p w14:paraId="7CC1CA9E" w14:textId="511BB7FD" w:rsidR="00E17345" w:rsidRPr="00BD51BF" w:rsidRDefault="00E17345" w:rsidP="00152383">
      <w:pPr>
        <w:pStyle w:val="Heading3"/>
        <w:rPr>
          <w:lang w:val="en-GB"/>
        </w:rPr>
      </w:pPr>
      <w:bookmarkStart w:id="32" w:name="_Toc207809195"/>
      <w:r w:rsidRPr="00BD51BF">
        <w:rPr>
          <w:lang w:val="en-GB"/>
        </w:rPr>
        <w:t>Secondary Objective</w:t>
      </w:r>
      <w:r w:rsidR="00152383" w:rsidRPr="00BD51BF">
        <w:rPr>
          <w:lang w:val="en-GB"/>
        </w:rPr>
        <w:t xml:space="preserve"> 1</w:t>
      </w:r>
      <w:r w:rsidRPr="00BD51BF">
        <w:rPr>
          <w:lang w:val="en-GB"/>
        </w:rPr>
        <w:t xml:space="preserve"> </w:t>
      </w:r>
      <w:bookmarkEnd w:id="32"/>
    </w:p>
    <w:p w14:paraId="759F2E37" w14:textId="74225061" w:rsidR="00152383" w:rsidRPr="00BD51BF" w:rsidRDefault="00152383" w:rsidP="00152383">
      <w:pPr>
        <w:rPr>
          <w:lang w:val="en-GB" w:eastAsia="ja-JP"/>
        </w:rPr>
      </w:pPr>
      <w:r w:rsidRPr="00BD51BF">
        <w:rPr>
          <w:lang w:val="en-GB" w:eastAsia="ja-JP"/>
        </w:rPr>
        <w:t xml:space="preserve">The first secondary objective is to </w:t>
      </w:r>
      <w:r w:rsidRPr="00BD51BF">
        <w:rPr>
          <w:lang w:val="en-GB" w:eastAsia="ja-JP"/>
        </w:rPr>
        <w:t>assess the dose-response relationship of the angiotensin II receptor inhibitor losartan on conventional and</w:t>
      </w:r>
      <w:r w:rsidRPr="00BD51BF">
        <w:rPr>
          <w:lang w:val="en-GB" w:eastAsia="ja-JP"/>
        </w:rPr>
        <w:t xml:space="preserve"> </w:t>
      </w:r>
      <w:r w:rsidRPr="00BD51BF">
        <w:rPr>
          <w:lang w:val="en-GB" w:eastAsia="ja-JP"/>
        </w:rPr>
        <w:t>experimental radiographic characteristics in patients with newly diagnosed glioblastoma.</w:t>
      </w:r>
    </w:p>
    <w:p w14:paraId="6AA5596D" w14:textId="491DCC94" w:rsidR="00665DD4" w:rsidRPr="00BD51BF" w:rsidRDefault="00665DD4" w:rsidP="00152383">
      <w:pPr>
        <w:rPr>
          <w:lang w:val="en-GB" w:eastAsia="ja-JP"/>
        </w:rPr>
      </w:pPr>
      <w:r w:rsidRPr="00BD51BF">
        <w:rPr>
          <w:lang w:val="en-GB" w:eastAsia="ja-JP"/>
        </w:rPr>
        <w:t>We divide this objective into a short</w:t>
      </w:r>
      <w:r w:rsidR="00EB5ED8" w:rsidRPr="00BD51BF">
        <w:rPr>
          <w:lang w:val="en-GB" w:eastAsia="ja-JP"/>
        </w:rPr>
        <w:t>-</w:t>
      </w:r>
      <w:r w:rsidRPr="00BD51BF">
        <w:rPr>
          <w:lang w:val="en-GB" w:eastAsia="ja-JP"/>
        </w:rPr>
        <w:t xml:space="preserve"> and long</w:t>
      </w:r>
      <w:r w:rsidR="00EB5ED8" w:rsidRPr="00BD51BF">
        <w:rPr>
          <w:lang w:val="en-GB" w:eastAsia="ja-JP"/>
        </w:rPr>
        <w:t>-term</w:t>
      </w:r>
      <w:r w:rsidRPr="00BD51BF">
        <w:rPr>
          <w:lang w:val="en-GB" w:eastAsia="ja-JP"/>
        </w:rPr>
        <w:t xml:space="preserve"> treatment length assessment of the dose-response relationship. The short</w:t>
      </w:r>
      <w:r w:rsidR="00EB5ED8" w:rsidRPr="00BD51BF">
        <w:rPr>
          <w:lang w:val="en-GB" w:eastAsia="ja-JP"/>
        </w:rPr>
        <w:t>-term</w:t>
      </w:r>
      <w:r w:rsidRPr="00BD51BF">
        <w:rPr>
          <w:lang w:val="en-GB" w:eastAsia="ja-JP"/>
        </w:rPr>
        <w:t xml:space="preserve"> treatment effect is the causal effect of 14 days treatment with the different doses on the outcome. The long</w:t>
      </w:r>
      <w:r w:rsidR="00EB5ED8" w:rsidRPr="00BD51BF">
        <w:rPr>
          <w:lang w:val="en-GB" w:eastAsia="ja-JP"/>
        </w:rPr>
        <w:t>-term</w:t>
      </w:r>
      <w:r w:rsidRPr="00BD51BF">
        <w:rPr>
          <w:lang w:val="en-GB" w:eastAsia="ja-JP"/>
        </w:rPr>
        <w:t xml:space="preserve"> treatment effect is the causal effect of more than 42 days of treatment with the different doses on the outcome.</w:t>
      </w:r>
    </w:p>
    <w:p w14:paraId="3A4AE5B4" w14:textId="3D6C00D9" w:rsidR="00152383" w:rsidRPr="00BD51BF" w:rsidRDefault="00152383" w:rsidP="002574AD">
      <w:pPr>
        <w:pStyle w:val="Heading4"/>
        <w:rPr>
          <w:lang w:val="en-GB"/>
        </w:rPr>
      </w:pPr>
      <w:r w:rsidRPr="00BD51BF">
        <w:rPr>
          <w:lang w:val="en-GB"/>
        </w:rPr>
        <w:t xml:space="preserve">Secondary Objective 1 </w:t>
      </w:r>
      <w:r w:rsidR="009B4C86" w:rsidRPr="00BD51BF">
        <w:rPr>
          <w:lang w:val="en-GB"/>
        </w:rPr>
        <w:t>short</w:t>
      </w:r>
      <w:r w:rsidR="00EB5ED8" w:rsidRPr="00BD51BF">
        <w:rPr>
          <w:lang w:val="en-GB"/>
        </w:rPr>
        <w:t>-term</w:t>
      </w:r>
      <w:r w:rsidR="009B4C86" w:rsidRPr="00BD51BF">
        <w:rPr>
          <w:lang w:val="en-GB"/>
        </w:rPr>
        <w:t xml:space="preserve"> treatment </w:t>
      </w:r>
      <w:r w:rsidRPr="00BD51BF">
        <w:rPr>
          <w:lang w:val="en-GB"/>
        </w:rPr>
        <w:t>estimands</w:t>
      </w:r>
    </w:p>
    <w:p w14:paraId="2D06A749" w14:textId="63F67473" w:rsidR="00152383" w:rsidRPr="00BD51BF" w:rsidRDefault="00152383" w:rsidP="00152383">
      <w:pPr>
        <w:rPr>
          <w:lang w:val="en-GB" w:eastAsia="ja-JP"/>
        </w:rPr>
      </w:pPr>
      <w:r w:rsidRPr="00BD51BF">
        <w:rPr>
          <w:lang w:val="en-GB" w:eastAsia="ja-JP"/>
        </w:rPr>
        <w:t xml:space="preserve">The estimands are identical to the primary estimand, but with different </w:t>
      </w:r>
      <w:r w:rsidR="009B4C86" w:rsidRPr="00BD51BF">
        <w:rPr>
          <w:lang w:val="en-GB" w:eastAsia="ja-JP"/>
        </w:rPr>
        <w:t xml:space="preserve">endpoints. The endpoints for these estimands are change from baseline to 14 days after treatment initiation in </w:t>
      </w:r>
    </w:p>
    <w:p w14:paraId="6DCB2B8E" w14:textId="45A08591" w:rsidR="00142130" w:rsidRPr="00BD51BF" w:rsidRDefault="00142130" w:rsidP="009B4C86">
      <w:pPr>
        <w:pStyle w:val="ListParagraph"/>
        <w:numPr>
          <w:ilvl w:val="0"/>
          <w:numId w:val="55"/>
        </w:numPr>
        <w:rPr>
          <w:lang w:val="en-GB" w:eastAsia="ja-JP"/>
        </w:rPr>
      </w:pPr>
      <w:r w:rsidRPr="00BD51BF">
        <w:rPr>
          <w:lang w:val="en-GB" w:eastAsia="ja-JP"/>
        </w:rPr>
        <w:t xml:space="preserve"> DSC K2 leakage                                                      </w:t>
      </w:r>
    </w:p>
    <w:p w14:paraId="2652D4BB" w14:textId="3A30F2B4" w:rsidR="00142130" w:rsidRPr="00BD51BF" w:rsidRDefault="00142130" w:rsidP="009B4C86">
      <w:pPr>
        <w:pStyle w:val="ListParagraph"/>
        <w:numPr>
          <w:ilvl w:val="0"/>
          <w:numId w:val="55"/>
        </w:numPr>
        <w:rPr>
          <w:lang w:val="en-GB" w:eastAsia="ja-JP"/>
        </w:rPr>
      </w:pPr>
      <w:r w:rsidRPr="00BD51BF">
        <w:rPr>
          <w:lang w:val="en-GB" w:eastAsia="ja-JP"/>
        </w:rPr>
        <w:t xml:space="preserve"> relative DSC extravasation                                          </w:t>
      </w:r>
    </w:p>
    <w:p w14:paraId="52B7E439" w14:textId="02DBB3DE" w:rsidR="00142130" w:rsidRPr="00BD51BF" w:rsidRDefault="00142130" w:rsidP="009B4C86">
      <w:pPr>
        <w:pStyle w:val="ListParagraph"/>
        <w:numPr>
          <w:ilvl w:val="0"/>
          <w:numId w:val="55"/>
        </w:numPr>
        <w:rPr>
          <w:lang w:val="en-GB" w:eastAsia="ja-JP"/>
        </w:rPr>
      </w:pPr>
      <w:r w:rsidRPr="00BD51BF">
        <w:rPr>
          <w:lang w:val="en-GB" w:eastAsia="ja-JP"/>
        </w:rPr>
        <w:t xml:space="preserve"> relative apparent diffusion coefficient                             </w:t>
      </w:r>
    </w:p>
    <w:p w14:paraId="73BB33D3" w14:textId="41900245" w:rsidR="00142130" w:rsidRPr="00BD51BF" w:rsidRDefault="00142130" w:rsidP="009B4C86">
      <w:pPr>
        <w:pStyle w:val="ListParagraph"/>
        <w:numPr>
          <w:ilvl w:val="0"/>
          <w:numId w:val="55"/>
        </w:numPr>
        <w:rPr>
          <w:lang w:val="en-GB" w:eastAsia="ja-JP"/>
        </w:rPr>
      </w:pPr>
      <w:r w:rsidRPr="00BD51BF">
        <w:rPr>
          <w:lang w:val="en-GB" w:eastAsia="ja-JP"/>
        </w:rPr>
        <w:t xml:space="preserve"> relative cerebral blood                                             </w:t>
      </w:r>
    </w:p>
    <w:p w14:paraId="6FC00CAD" w14:textId="4CB3FADE" w:rsidR="00142130" w:rsidRPr="00BD51BF" w:rsidRDefault="00142130" w:rsidP="009B4C86">
      <w:pPr>
        <w:pStyle w:val="ListParagraph"/>
        <w:numPr>
          <w:ilvl w:val="0"/>
          <w:numId w:val="55"/>
        </w:numPr>
        <w:rPr>
          <w:lang w:val="en-GB" w:eastAsia="ja-JP"/>
        </w:rPr>
      </w:pPr>
      <w:r w:rsidRPr="00BD51BF">
        <w:rPr>
          <w:lang w:val="en-GB" w:eastAsia="ja-JP"/>
        </w:rPr>
        <w:t xml:space="preserve"> relative direction value                                            </w:t>
      </w:r>
    </w:p>
    <w:p w14:paraId="35B33FC3" w14:textId="2FABF369" w:rsidR="00142130" w:rsidRPr="00BD51BF" w:rsidRDefault="00142130" w:rsidP="009B4C86">
      <w:pPr>
        <w:pStyle w:val="ListParagraph"/>
        <w:numPr>
          <w:ilvl w:val="0"/>
          <w:numId w:val="55"/>
        </w:numPr>
        <w:rPr>
          <w:lang w:val="en-GB" w:eastAsia="ja-JP"/>
        </w:rPr>
      </w:pPr>
      <w:r w:rsidRPr="00BD51BF">
        <w:rPr>
          <w:lang w:val="en-GB" w:eastAsia="ja-JP"/>
        </w:rPr>
        <w:t xml:space="preserve"> relative fractional anisotropy                                      </w:t>
      </w:r>
    </w:p>
    <w:p w14:paraId="38A1D982" w14:textId="72A5D809" w:rsidR="00142130" w:rsidRPr="00BD51BF" w:rsidRDefault="00142130" w:rsidP="009B4C86">
      <w:pPr>
        <w:pStyle w:val="ListParagraph"/>
        <w:numPr>
          <w:ilvl w:val="0"/>
          <w:numId w:val="55"/>
        </w:numPr>
        <w:rPr>
          <w:lang w:val="en-GB" w:eastAsia="ja-JP"/>
        </w:rPr>
      </w:pPr>
      <w:r w:rsidRPr="00BD51BF">
        <w:rPr>
          <w:lang w:val="en-GB" w:eastAsia="ja-JP"/>
        </w:rPr>
        <w:t xml:space="preserve"> relative restricted spectrum imaging                                </w:t>
      </w:r>
    </w:p>
    <w:p w14:paraId="34221683" w14:textId="5F5DC9C1" w:rsidR="00142130" w:rsidRPr="00BD51BF" w:rsidRDefault="00142130" w:rsidP="009B4C86">
      <w:pPr>
        <w:pStyle w:val="ListParagraph"/>
        <w:numPr>
          <w:ilvl w:val="0"/>
          <w:numId w:val="55"/>
        </w:numPr>
        <w:rPr>
          <w:lang w:val="en-GB" w:eastAsia="ja-JP"/>
        </w:rPr>
      </w:pPr>
      <w:r w:rsidRPr="00BD51BF">
        <w:rPr>
          <w:lang w:val="en-GB" w:eastAsia="ja-JP"/>
        </w:rPr>
        <w:t xml:space="preserve"> relative transit time                                               </w:t>
      </w:r>
    </w:p>
    <w:p w14:paraId="1AC6619B" w14:textId="2C11CDF3" w:rsidR="00142130" w:rsidRPr="00BD51BF" w:rsidRDefault="00142130" w:rsidP="009B4C86">
      <w:pPr>
        <w:pStyle w:val="ListParagraph"/>
        <w:numPr>
          <w:ilvl w:val="0"/>
          <w:numId w:val="55"/>
        </w:numPr>
        <w:rPr>
          <w:lang w:val="en-GB" w:eastAsia="ja-JP"/>
        </w:rPr>
      </w:pPr>
      <w:r w:rsidRPr="00BD51BF">
        <w:rPr>
          <w:lang w:val="en-GB" w:eastAsia="ja-JP"/>
        </w:rPr>
        <w:t xml:space="preserve"> relative vessel caliber                                             </w:t>
      </w:r>
    </w:p>
    <w:p w14:paraId="3BE2C705" w14:textId="4216BF24" w:rsidR="00142130" w:rsidRPr="00BD51BF" w:rsidRDefault="00142130" w:rsidP="009B4C86">
      <w:pPr>
        <w:pStyle w:val="ListParagraph"/>
        <w:numPr>
          <w:ilvl w:val="0"/>
          <w:numId w:val="55"/>
        </w:numPr>
        <w:rPr>
          <w:lang w:val="en-GB" w:eastAsia="ja-JP"/>
        </w:rPr>
      </w:pPr>
      <w:r w:rsidRPr="00BD51BF">
        <w:rPr>
          <w:lang w:val="en-GB" w:eastAsia="ja-JP"/>
        </w:rPr>
        <w:t xml:space="preserve"> relative vessel size index                                          </w:t>
      </w:r>
    </w:p>
    <w:p w14:paraId="26EA9103" w14:textId="7DAF9613" w:rsidR="00142130" w:rsidRPr="00BD51BF" w:rsidRDefault="00142130" w:rsidP="009B4C86">
      <w:pPr>
        <w:pStyle w:val="ListParagraph"/>
        <w:numPr>
          <w:ilvl w:val="0"/>
          <w:numId w:val="55"/>
        </w:numPr>
        <w:rPr>
          <w:lang w:val="en-GB" w:eastAsia="ja-JP"/>
        </w:rPr>
      </w:pPr>
      <w:r w:rsidRPr="00BD51BF">
        <w:rPr>
          <w:lang w:val="en-GB" w:eastAsia="ja-JP"/>
        </w:rPr>
        <w:t xml:space="preserve"> relative vortex area                                                </w:t>
      </w:r>
    </w:p>
    <w:p w14:paraId="0FC9EA46" w14:textId="541D5A7A" w:rsidR="00142130" w:rsidRPr="00BD51BF" w:rsidRDefault="00142130" w:rsidP="009B4C86">
      <w:pPr>
        <w:pStyle w:val="ListParagraph"/>
        <w:numPr>
          <w:ilvl w:val="0"/>
          <w:numId w:val="55"/>
        </w:numPr>
        <w:rPr>
          <w:lang w:val="en-GB" w:eastAsia="ja-JP"/>
        </w:rPr>
      </w:pPr>
      <w:r w:rsidRPr="00BD51BF">
        <w:rPr>
          <w:lang w:val="en-GB" w:eastAsia="ja-JP"/>
        </w:rPr>
        <w:t xml:space="preserve"> tissue elasticity                                                   </w:t>
      </w:r>
    </w:p>
    <w:p w14:paraId="502D2C29" w14:textId="0524D2AA" w:rsidR="00142130" w:rsidRPr="00BD51BF" w:rsidRDefault="00142130" w:rsidP="009B4C86">
      <w:pPr>
        <w:pStyle w:val="ListParagraph"/>
        <w:numPr>
          <w:ilvl w:val="0"/>
          <w:numId w:val="55"/>
        </w:numPr>
        <w:rPr>
          <w:lang w:val="en-GB" w:eastAsia="ja-JP"/>
        </w:rPr>
      </w:pPr>
      <w:r w:rsidRPr="00BD51BF">
        <w:rPr>
          <w:lang w:val="en-GB" w:eastAsia="ja-JP"/>
        </w:rPr>
        <w:lastRenderedPageBreak/>
        <w:t xml:space="preserve"> tissue relative viscosity                                           </w:t>
      </w:r>
    </w:p>
    <w:p w14:paraId="70040B97" w14:textId="70B27D26" w:rsidR="00142130" w:rsidRPr="00BD51BF" w:rsidRDefault="00142130" w:rsidP="009B4C86">
      <w:pPr>
        <w:pStyle w:val="ListParagraph"/>
        <w:numPr>
          <w:ilvl w:val="0"/>
          <w:numId w:val="55"/>
        </w:numPr>
        <w:rPr>
          <w:lang w:val="en-GB" w:eastAsia="ja-JP"/>
        </w:rPr>
      </w:pPr>
      <w:r w:rsidRPr="00BD51BF">
        <w:rPr>
          <w:lang w:val="en-GB" w:eastAsia="ja-JP"/>
        </w:rPr>
        <w:t xml:space="preserve"> tissue stiffness                                                    </w:t>
      </w:r>
    </w:p>
    <w:p w14:paraId="663D92DE" w14:textId="0A782041" w:rsidR="00142130" w:rsidRPr="00BD51BF" w:rsidRDefault="00142130" w:rsidP="009B4C86">
      <w:pPr>
        <w:pStyle w:val="ListParagraph"/>
        <w:numPr>
          <w:ilvl w:val="0"/>
          <w:numId w:val="55"/>
        </w:numPr>
        <w:rPr>
          <w:lang w:val="en-GB" w:eastAsia="ja-JP"/>
        </w:rPr>
      </w:pPr>
      <w:r w:rsidRPr="00BD51BF">
        <w:rPr>
          <w:lang w:val="en-GB" w:eastAsia="ja-JP"/>
        </w:rPr>
        <w:t xml:space="preserve"> tissue viscosity                                                    </w:t>
      </w:r>
    </w:p>
    <w:p w14:paraId="633847F5" w14:textId="54A8910B" w:rsidR="00142130" w:rsidRPr="00BD51BF" w:rsidRDefault="009B4C86" w:rsidP="009B4C86">
      <w:pPr>
        <w:pStyle w:val="ListParagraph"/>
        <w:numPr>
          <w:ilvl w:val="0"/>
          <w:numId w:val="55"/>
        </w:numPr>
        <w:rPr>
          <w:lang w:val="en-GB" w:eastAsia="ja-JP"/>
        </w:rPr>
      </w:pPr>
      <w:r w:rsidRPr="00BD51BF">
        <w:rPr>
          <w:lang w:val="en-GB" w:eastAsia="ja-JP"/>
        </w:rPr>
        <w:t>t</w:t>
      </w:r>
      <w:r w:rsidR="00142130" w:rsidRPr="00BD51BF">
        <w:rPr>
          <w:lang w:val="en-GB" w:eastAsia="ja-JP"/>
        </w:rPr>
        <w:t>otal volume of contrast agent enhancing lesion on T1-weighted MRI in cm3</w:t>
      </w:r>
    </w:p>
    <w:p w14:paraId="200C05CF" w14:textId="3497528A" w:rsidR="00152383" w:rsidRPr="00BD51BF" w:rsidRDefault="009B4C86" w:rsidP="009B4C86">
      <w:pPr>
        <w:pStyle w:val="ListParagraph"/>
        <w:numPr>
          <w:ilvl w:val="0"/>
          <w:numId w:val="55"/>
        </w:numPr>
        <w:rPr>
          <w:lang w:val="en-GB" w:eastAsia="ja-JP"/>
        </w:rPr>
      </w:pPr>
      <w:r w:rsidRPr="00BD51BF">
        <w:rPr>
          <w:lang w:val="en-GB" w:eastAsia="ja-JP"/>
        </w:rPr>
        <w:t>t</w:t>
      </w:r>
      <w:r w:rsidR="00142130" w:rsidRPr="00BD51BF">
        <w:rPr>
          <w:lang w:val="en-GB" w:eastAsia="ja-JP"/>
        </w:rPr>
        <w:t xml:space="preserve">otal volume of pathologic signal on T2/FLAIR-weighted MRI in cm3   </w:t>
      </w:r>
    </w:p>
    <w:p w14:paraId="4BA03BDF" w14:textId="77777777" w:rsidR="009B4C86" w:rsidRPr="00BD51BF" w:rsidRDefault="009B4C86" w:rsidP="009B4C86">
      <w:pPr>
        <w:rPr>
          <w:lang w:val="en-GB" w:eastAsia="ja-JP"/>
        </w:rPr>
      </w:pPr>
    </w:p>
    <w:p w14:paraId="5AF0B42C" w14:textId="0560F9BE" w:rsidR="009B4C86" w:rsidRPr="00BD51BF" w:rsidRDefault="009B4C86" w:rsidP="002574AD">
      <w:pPr>
        <w:pStyle w:val="Heading4"/>
        <w:rPr>
          <w:lang w:val="en-GB"/>
        </w:rPr>
      </w:pPr>
      <w:r w:rsidRPr="00BD51BF">
        <w:rPr>
          <w:lang w:val="en-GB"/>
        </w:rPr>
        <w:t>Secondary Objective 1 long</w:t>
      </w:r>
      <w:r w:rsidR="00EB5ED8" w:rsidRPr="00BD51BF">
        <w:rPr>
          <w:lang w:val="en-GB"/>
        </w:rPr>
        <w:t>-term</w:t>
      </w:r>
      <w:r w:rsidRPr="00BD51BF">
        <w:rPr>
          <w:lang w:val="en-GB"/>
        </w:rPr>
        <w:t xml:space="preserve"> treatment estimands</w:t>
      </w:r>
    </w:p>
    <w:p w14:paraId="192C91CD" w14:textId="3688AAEA" w:rsidR="00665DD4" w:rsidRPr="00BD51BF" w:rsidRDefault="00665DD4" w:rsidP="00665DD4">
      <w:pPr>
        <w:rPr>
          <w:lang w:val="en-GB" w:eastAsia="ja-JP"/>
        </w:rPr>
      </w:pPr>
      <w:r w:rsidRPr="00BD51BF">
        <w:rPr>
          <w:lang w:val="en-GB" w:eastAsia="ja-JP"/>
        </w:rPr>
        <w:t>The estimands are identical to the primary and secondary estimands with the following specific</w:t>
      </w:r>
      <w:r w:rsidR="00AC3831" w:rsidRPr="00BD51BF">
        <w:rPr>
          <w:lang w:val="en-GB" w:eastAsia="ja-JP"/>
        </w:rPr>
        <w:t xml:space="preserve"> alterations and additions</w:t>
      </w:r>
      <w:r w:rsidRPr="00BD51BF">
        <w:rPr>
          <w:lang w:val="en-GB" w:eastAsia="ja-JP"/>
        </w:rPr>
        <w:t>:</w:t>
      </w:r>
    </w:p>
    <w:tbl>
      <w:tblPr>
        <w:tblStyle w:val="TableGrid"/>
        <w:tblW w:w="0" w:type="auto"/>
        <w:tblLook w:val="04A0" w:firstRow="1" w:lastRow="0" w:firstColumn="1" w:lastColumn="0" w:noHBand="0" w:noVBand="1"/>
      </w:tblPr>
      <w:tblGrid>
        <w:gridCol w:w="4106"/>
        <w:gridCol w:w="5244"/>
      </w:tblGrid>
      <w:tr w:rsidR="00665DD4" w:rsidRPr="00BD51BF" w14:paraId="323270C6" w14:textId="77777777" w:rsidTr="00652A4E">
        <w:tc>
          <w:tcPr>
            <w:tcW w:w="4106" w:type="dxa"/>
          </w:tcPr>
          <w:p w14:paraId="180E3B57" w14:textId="77777777" w:rsidR="00665DD4" w:rsidRPr="00BD51BF" w:rsidRDefault="00665DD4"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Treatment</w:t>
            </w:r>
          </w:p>
        </w:tc>
        <w:tc>
          <w:tcPr>
            <w:tcW w:w="5244" w:type="dxa"/>
          </w:tcPr>
          <w:p w14:paraId="75074016" w14:textId="25B7E73D" w:rsidR="00665DD4" w:rsidRPr="00BD51BF" w:rsidRDefault="00665DD4"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Intervention for </w:t>
            </w:r>
            <w:r w:rsidRPr="00BD51BF">
              <w:rPr>
                <w:rFonts w:ascii="Times New Roman" w:hAnsi="Times New Roman"/>
                <w:i w:val="0"/>
                <w:iCs/>
                <w:color w:val="auto"/>
                <w:sz w:val="24"/>
                <w:szCs w:val="24"/>
                <w:lang w:val="en-GB"/>
              </w:rPr>
              <w:t>more than 42</w:t>
            </w:r>
            <w:r w:rsidRPr="00BD51BF">
              <w:rPr>
                <w:rFonts w:ascii="Times New Roman" w:hAnsi="Times New Roman"/>
                <w:i w:val="0"/>
                <w:iCs/>
                <w:color w:val="auto"/>
                <w:sz w:val="24"/>
                <w:szCs w:val="24"/>
                <w:lang w:val="en-GB"/>
              </w:rPr>
              <w:t xml:space="preserve"> days with different doses of losartan: 0 mg, 25 mg, 50 mg, 100 mg, regardless of other treatment or if the treatment was given fully or partially according to protocol intention. </w:t>
            </w:r>
          </w:p>
        </w:tc>
      </w:tr>
      <w:tr w:rsidR="00665DD4" w:rsidRPr="00BD51BF" w14:paraId="758886D9" w14:textId="77777777" w:rsidTr="00652A4E">
        <w:tc>
          <w:tcPr>
            <w:tcW w:w="4106" w:type="dxa"/>
          </w:tcPr>
          <w:p w14:paraId="541D1B3E" w14:textId="63A53B60" w:rsidR="00665DD4" w:rsidRPr="00BD51BF" w:rsidRDefault="00662D03"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Variable of interest</w:t>
            </w:r>
          </w:p>
        </w:tc>
        <w:tc>
          <w:tcPr>
            <w:tcW w:w="5244" w:type="dxa"/>
          </w:tcPr>
          <w:p w14:paraId="7BAB0604" w14:textId="61197933" w:rsidR="00AC3831" w:rsidRPr="00BD51BF" w:rsidRDefault="00665DD4" w:rsidP="00AC3831">
            <w:pPr>
              <w:pStyle w:val="CPTExample"/>
              <w:rPr>
                <w:lang w:val="en-GB"/>
              </w:rPr>
            </w:pPr>
            <w:r w:rsidRPr="00BD51BF">
              <w:rPr>
                <w:rFonts w:ascii="Times New Roman" w:hAnsi="Times New Roman"/>
                <w:i w:val="0"/>
                <w:iCs/>
                <w:color w:val="auto"/>
                <w:sz w:val="24"/>
                <w:szCs w:val="24"/>
                <w:lang w:val="en-GB"/>
              </w:rPr>
              <w:t>Change from baseline to 14</w:t>
            </w:r>
            <w:r w:rsidR="00AC3831" w:rsidRPr="00BD51BF">
              <w:rPr>
                <w:rFonts w:ascii="Times New Roman" w:hAnsi="Times New Roman"/>
                <w:i w:val="0"/>
                <w:iCs/>
                <w:color w:val="auto"/>
                <w:sz w:val="24"/>
                <w:szCs w:val="24"/>
                <w:lang w:val="en-GB"/>
              </w:rPr>
              <w:t>0</w:t>
            </w:r>
            <w:r w:rsidRPr="00BD51BF">
              <w:rPr>
                <w:rFonts w:ascii="Times New Roman" w:hAnsi="Times New Roman"/>
                <w:i w:val="0"/>
                <w:iCs/>
                <w:color w:val="auto"/>
                <w:sz w:val="24"/>
                <w:szCs w:val="24"/>
                <w:lang w:val="en-GB"/>
              </w:rPr>
              <w:t xml:space="preserve"> days after treatment start </w:t>
            </w:r>
            <w:r w:rsidR="00AC3831" w:rsidRPr="00BD51BF">
              <w:rPr>
                <w:rFonts w:ascii="Times New Roman" w:hAnsi="Times New Roman"/>
                <w:i w:val="0"/>
                <w:iCs/>
                <w:color w:val="auto"/>
                <w:sz w:val="24"/>
                <w:szCs w:val="24"/>
                <w:lang w:val="en-GB"/>
              </w:rPr>
              <w:t>in all radiographic endpoints as defined for the primary and secondary short treatment estimands</w:t>
            </w:r>
          </w:p>
          <w:p w14:paraId="4A9948BE" w14:textId="63FD76BE" w:rsidR="00665DD4" w:rsidRPr="00BD51BF" w:rsidRDefault="00665DD4" w:rsidP="00652A4E">
            <w:pPr>
              <w:rPr>
                <w:lang w:val="en-GB"/>
              </w:rPr>
            </w:pPr>
          </w:p>
        </w:tc>
      </w:tr>
      <w:tr w:rsidR="00665DD4" w:rsidRPr="00BD51BF" w14:paraId="07E46618" w14:textId="77777777" w:rsidTr="00652A4E">
        <w:tc>
          <w:tcPr>
            <w:tcW w:w="4106" w:type="dxa"/>
          </w:tcPr>
          <w:p w14:paraId="52B62334" w14:textId="74B8542E" w:rsidR="00665DD4" w:rsidRPr="00BD51BF" w:rsidRDefault="00665DD4" w:rsidP="00652A4E">
            <w:pPr>
              <w:pStyle w:val="CPTExample"/>
              <w:rPr>
                <w:rFonts w:ascii="Times New Roman" w:hAnsi="Times New Roman"/>
                <w:b/>
                <w:bCs/>
                <w:i w:val="0"/>
                <w:iCs/>
                <w:color w:val="auto"/>
                <w:sz w:val="24"/>
                <w:szCs w:val="24"/>
                <w:lang w:val="en-GB"/>
              </w:rPr>
            </w:pPr>
            <w:r w:rsidRPr="00BD51BF">
              <w:rPr>
                <w:rFonts w:ascii="Times New Roman" w:hAnsi="Times New Roman"/>
                <w:b/>
                <w:bCs/>
                <w:i w:val="0"/>
                <w:iCs/>
                <w:color w:val="auto"/>
                <w:sz w:val="24"/>
                <w:szCs w:val="24"/>
                <w:lang w:val="en-GB"/>
              </w:rPr>
              <w:t>Additional intercurrent event</w:t>
            </w:r>
          </w:p>
        </w:tc>
        <w:tc>
          <w:tcPr>
            <w:tcW w:w="5244" w:type="dxa"/>
          </w:tcPr>
          <w:p w14:paraId="30715C08" w14:textId="269E5538" w:rsidR="00665DD4" w:rsidRPr="00BD51BF" w:rsidRDefault="00AC3831" w:rsidP="00665DD4">
            <w:pPr>
              <w:pStyle w:val="CPTExample"/>
              <w:rPr>
                <w:rFonts w:ascii="Times New Roman" w:hAnsi="Times New Roman"/>
                <w:b/>
                <w:bCs/>
                <w:i w:val="0"/>
                <w:iCs/>
                <w:color w:val="auto"/>
                <w:sz w:val="24"/>
                <w:szCs w:val="24"/>
                <w:lang w:val="en-GB"/>
              </w:rPr>
            </w:pPr>
            <w:r w:rsidRPr="00BD51BF">
              <w:rPr>
                <w:rFonts w:ascii="Times New Roman" w:hAnsi="Times New Roman"/>
                <w:b/>
                <w:bCs/>
                <w:i w:val="0"/>
                <w:iCs/>
                <w:color w:val="auto"/>
                <w:sz w:val="24"/>
                <w:szCs w:val="24"/>
                <w:lang w:val="en-GB"/>
              </w:rPr>
              <w:t>Strategy</w:t>
            </w:r>
          </w:p>
        </w:tc>
      </w:tr>
      <w:tr w:rsidR="00AC3831" w:rsidRPr="00BD51BF" w14:paraId="0D176DD0" w14:textId="77777777" w:rsidTr="00652A4E">
        <w:tc>
          <w:tcPr>
            <w:tcW w:w="4106" w:type="dxa"/>
          </w:tcPr>
          <w:p w14:paraId="426968B9" w14:textId="56DD4C87" w:rsidR="00AC3831" w:rsidRPr="00BD51BF" w:rsidRDefault="00AC3831"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Short-term (42 days or less) treatment </w:t>
            </w:r>
            <w:r w:rsidRPr="00BD51BF">
              <w:rPr>
                <w:rFonts w:ascii="Times New Roman" w:hAnsi="Times New Roman"/>
                <w:i w:val="0"/>
                <w:iCs/>
                <w:color w:val="auto"/>
                <w:sz w:val="24"/>
                <w:szCs w:val="24"/>
                <w:lang w:val="en-GB"/>
              </w:rPr>
              <w:t>with</w:t>
            </w:r>
            <w:r w:rsidRPr="00BD51BF">
              <w:rPr>
                <w:rFonts w:ascii="Times New Roman" w:hAnsi="Times New Roman"/>
                <w:i w:val="0"/>
                <w:iCs/>
                <w:color w:val="auto"/>
                <w:sz w:val="24"/>
                <w:szCs w:val="24"/>
                <w:lang w:val="en-GB"/>
              </w:rPr>
              <w:t xml:space="preserve"> losartan of any dose </w:t>
            </w:r>
          </w:p>
        </w:tc>
        <w:tc>
          <w:tcPr>
            <w:tcW w:w="5244" w:type="dxa"/>
          </w:tcPr>
          <w:p w14:paraId="60E35A98" w14:textId="4CECA4E7" w:rsidR="00AC3831" w:rsidRPr="00BD51BF" w:rsidRDefault="00AC3831" w:rsidP="00665DD4">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Treatment policy strategy</w:t>
            </w:r>
          </w:p>
        </w:tc>
      </w:tr>
    </w:tbl>
    <w:p w14:paraId="1C98EF8E" w14:textId="77777777" w:rsidR="00665DD4" w:rsidRPr="00BD51BF" w:rsidRDefault="00665DD4" w:rsidP="00665DD4">
      <w:pPr>
        <w:rPr>
          <w:lang w:val="en-GB" w:eastAsia="ja-JP"/>
        </w:rPr>
      </w:pPr>
    </w:p>
    <w:p w14:paraId="0832757B" w14:textId="795968F6" w:rsidR="00C7251B" w:rsidRPr="00BD51BF" w:rsidRDefault="00C7251B" w:rsidP="00C7251B">
      <w:pPr>
        <w:pStyle w:val="Heading3"/>
        <w:rPr>
          <w:lang w:val="en-GB"/>
        </w:rPr>
      </w:pPr>
      <w:commentRangeStart w:id="33"/>
      <w:r w:rsidRPr="00BD51BF">
        <w:rPr>
          <w:lang w:val="en-GB"/>
        </w:rPr>
        <w:t xml:space="preserve">Secondary Objective </w:t>
      </w:r>
      <w:r w:rsidRPr="00BD51BF">
        <w:rPr>
          <w:lang w:val="en-GB"/>
        </w:rPr>
        <w:t>2</w:t>
      </w:r>
      <w:r w:rsidRPr="00BD51BF">
        <w:rPr>
          <w:lang w:val="en-GB"/>
        </w:rPr>
        <w:t xml:space="preserve"> </w:t>
      </w:r>
      <w:commentRangeEnd w:id="33"/>
      <w:r w:rsidR="00EB5ED8" w:rsidRPr="00BD51BF">
        <w:rPr>
          <w:rStyle w:val="CommentReference"/>
          <w:sz w:val="24"/>
          <w:szCs w:val="24"/>
          <w:lang w:val="en-GB"/>
        </w:rPr>
        <w:commentReference w:id="33"/>
      </w:r>
    </w:p>
    <w:p w14:paraId="4E6D70A1" w14:textId="095CD3B6" w:rsidR="00AC3831" w:rsidRPr="00BD51BF" w:rsidRDefault="00C7251B" w:rsidP="00C7251B">
      <w:pPr>
        <w:rPr>
          <w:lang w:val="en-GB" w:eastAsia="ja-JP"/>
        </w:rPr>
      </w:pPr>
      <w:r w:rsidRPr="00BD51BF">
        <w:rPr>
          <w:lang w:val="en-GB" w:eastAsia="ja-JP"/>
        </w:rPr>
        <w:t>The second secondary objective is to</w:t>
      </w:r>
      <w:r w:rsidRPr="00BD51BF">
        <w:rPr>
          <w:lang w:val="en-GB" w:eastAsia="ja-JP"/>
        </w:rPr>
        <w:t xml:space="preserve"> assess the dose-response relationship of losartan as add-on to standard</w:t>
      </w:r>
      <w:r w:rsidRPr="00BD51BF">
        <w:rPr>
          <w:lang w:val="en-GB" w:eastAsia="ja-JP"/>
        </w:rPr>
        <w:t xml:space="preserve"> </w:t>
      </w:r>
      <w:r w:rsidRPr="00BD51BF">
        <w:rPr>
          <w:lang w:val="en-GB" w:eastAsia="ja-JP"/>
        </w:rPr>
        <w:t>treatment on clinical or patient reported endpoints in patients with</w:t>
      </w:r>
      <w:r w:rsidRPr="00BD51BF">
        <w:rPr>
          <w:lang w:val="en-GB" w:eastAsia="ja-JP"/>
        </w:rPr>
        <w:t xml:space="preserve"> newly diagnosed </w:t>
      </w:r>
      <w:r w:rsidRPr="00BD51BF">
        <w:rPr>
          <w:lang w:val="en-GB" w:eastAsia="ja-JP"/>
        </w:rPr>
        <w:t>glioblastoma</w:t>
      </w:r>
      <w:r w:rsidRPr="00BD51BF">
        <w:rPr>
          <w:lang w:val="en-GB" w:eastAsia="ja-JP"/>
        </w:rPr>
        <w:t xml:space="preserve">. </w:t>
      </w:r>
    </w:p>
    <w:p w14:paraId="238AFFFC" w14:textId="7FDD6B29" w:rsidR="00891061" w:rsidRPr="00BD51BF" w:rsidRDefault="00891061" w:rsidP="00891061">
      <w:pPr>
        <w:rPr>
          <w:lang w:val="en-GB" w:eastAsia="ja-JP"/>
        </w:rPr>
      </w:pPr>
      <w:r w:rsidRPr="00BD51BF">
        <w:rPr>
          <w:lang w:val="en-GB" w:eastAsia="ja-JP"/>
        </w:rPr>
        <w:t xml:space="preserve">We divide </w:t>
      </w:r>
      <w:r w:rsidRPr="00BD51BF">
        <w:rPr>
          <w:lang w:val="en-GB" w:eastAsia="ja-JP"/>
        </w:rPr>
        <w:t>also this</w:t>
      </w:r>
      <w:r w:rsidRPr="00BD51BF">
        <w:rPr>
          <w:lang w:val="en-GB" w:eastAsia="ja-JP"/>
        </w:rPr>
        <w:t xml:space="preserve"> objective into a short</w:t>
      </w:r>
      <w:r w:rsidR="00EB5ED8" w:rsidRPr="00BD51BF">
        <w:rPr>
          <w:lang w:val="en-GB" w:eastAsia="ja-JP"/>
        </w:rPr>
        <w:t>-</w:t>
      </w:r>
      <w:r w:rsidRPr="00BD51BF">
        <w:rPr>
          <w:lang w:val="en-GB" w:eastAsia="ja-JP"/>
        </w:rPr>
        <w:t xml:space="preserve"> and long</w:t>
      </w:r>
      <w:r w:rsidR="00EB5ED8" w:rsidRPr="00BD51BF">
        <w:rPr>
          <w:lang w:val="en-GB" w:eastAsia="ja-JP"/>
        </w:rPr>
        <w:t>-term</w:t>
      </w:r>
      <w:r w:rsidRPr="00BD51BF">
        <w:rPr>
          <w:lang w:val="en-GB" w:eastAsia="ja-JP"/>
        </w:rPr>
        <w:t xml:space="preserve"> treatment length assessment of the dose-response relationship. The short</w:t>
      </w:r>
      <w:r w:rsidR="00EB5ED8" w:rsidRPr="00BD51BF">
        <w:rPr>
          <w:lang w:val="en-GB" w:eastAsia="ja-JP"/>
        </w:rPr>
        <w:t>-term</w:t>
      </w:r>
      <w:r w:rsidRPr="00BD51BF">
        <w:rPr>
          <w:lang w:val="en-GB" w:eastAsia="ja-JP"/>
        </w:rPr>
        <w:t xml:space="preserve"> treatment effect is the causal effect of 14 days treatment with the different doses on the outcome. The long</w:t>
      </w:r>
      <w:r w:rsidR="00EB5ED8" w:rsidRPr="00BD51BF">
        <w:rPr>
          <w:lang w:val="en-GB" w:eastAsia="ja-JP"/>
        </w:rPr>
        <w:t>-term</w:t>
      </w:r>
      <w:r w:rsidRPr="00BD51BF">
        <w:rPr>
          <w:lang w:val="en-GB" w:eastAsia="ja-JP"/>
        </w:rPr>
        <w:t xml:space="preserve"> treatment effect is the causal effect of more than 42 days of treatment with the different doses on the outcome.</w:t>
      </w:r>
    </w:p>
    <w:p w14:paraId="3C58ECD0" w14:textId="77777777" w:rsidR="00581B45" w:rsidRPr="00BD51BF" w:rsidRDefault="00581B45" w:rsidP="00C7251B">
      <w:pPr>
        <w:rPr>
          <w:lang w:val="en-GB" w:eastAsia="ja-JP"/>
        </w:rPr>
      </w:pPr>
    </w:p>
    <w:p w14:paraId="1E138788" w14:textId="48393094" w:rsidR="00581B45" w:rsidRPr="00BD51BF" w:rsidRDefault="00581B45" w:rsidP="002574AD">
      <w:pPr>
        <w:pStyle w:val="Heading4"/>
        <w:rPr>
          <w:lang w:val="en-GB"/>
        </w:rPr>
      </w:pPr>
      <w:r w:rsidRPr="00BD51BF">
        <w:rPr>
          <w:lang w:val="en-GB"/>
        </w:rPr>
        <w:t>Secondary Objective 2 short</w:t>
      </w:r>
      <w:r w:rsidR="00EB5ED8" w:rsidRPr="00BD51BF">
        <w:rPr>
          <w:lang w:val="en-GB"/>
        </w:rPr>
        <w:t>-term</w:t>
      </w:r>
      <w:r w:rsidRPr="00BD51BF">
        <w:rPr>
          <w:lang w:val="en-GB"/>
        </w:rPr>
        <w:t xml:space="preserve"> treatment estimands</w:t>
      </w:r>
    </w:p>
    <w:p w14:paraId="32E38BCB" w14:textId="7AE4FE9E" w:rsidR="00581B45" w:rsidRPr="00BD51BF" w:rsidRDefault="00581B45" w:rsidP="00C7251B">
      <w:pPr>
        <w:rPr>
          <w:lang w:val="en-GB" w:eastAsia="ja-JP"/>
        </w:rPr>
      </w:pPr>
      <w:r w:rsidRPr="00BD51BF">
        <w:rPr>
          <w:lang w:val="en-GB" w:eastAsia="ja-JP"/>
        </w:rPr>
        <w:t>The estimands are identical to the short</w:t>
      </w:r>
      <w:r w:rsidR="00EB5ED8" w:rsidRPr="00BD51BF">
        <w:rPr>
          <w:lang w:val="en-GB" w:eastAsia="ja-JP"/>
        </w:rPr>
        <w:t>-</w:t>
      </w:r>
      <w:r w:rsidRPr="00BD51BF">
        <w:rPr>
          <w:lang w:val="en-GB" w:eastAsia="ja-JP"/>
        </w:rPr>
        <w:t xml:space="preserve">term radiographic estimands but with different endpoints. The endpoints for these estimands are change from baseline to 14 days after treatment initiation in </w:t>
      </w:r>
    </w:p>
    <w:p w14:paraId="12B4EF07" w14:textId="6E1DADB3" w:rsidR="00581B45" w:rsidRPr="00BD51BF" w:rsidRDefault="00581B45" w:rsidP="00581B45">
      <w:pPr>
        <w:pStyle w:val="ListParagraph"/>
        <w:numPr>
          <w:ilvl w:val="0"/>
          <w:numId w:val="57"/>
        </w:numPr>
        <w:rPr>
          <w:lang w:val="en-GB" w:eastAsia="ja-JP"/>
        </w:rPr>
      </w:pPr>
      <w:r w:rsidRPr="00BD51BF">
        <w:rPr>
          <w:lang w:val="en-GB" w:eastAsia="ja-JP"/>
        </w:rPr>
        <w:t>Karnofsky Performance Scale</w:t>
      </w:r>
    </w:p>
    <w:p w14:paraId="539A53E3" w14:textId="6D05E00B" w:rsidR="00581B45" w:rsidRPr="00BD51BF" w:rsidRDefault="00581B45" w:rsidP="00581B45">
      <w:pPr>
        <w:pStyle w:val="ListParagraph"/>
        <w:numPr>
          <w:ilvl w:val="0"/>
          <w:numId w:val="57"/>
        </w:numPr>
        <w:rPr>
          <w:lang w:val="en-GB" w:eastAsia="ja-JP"/>
        </w:rPr>
      </w:pPr>
      <w:r w:rsidRPr="00BD51BF">
        <w:rPr>
          <w:lang w:val="en-GB" w:eastAsia="ja-JP"/>
        </w:rPr>
        <w:t>Eastern Cooperative Oncology Group (ECOG) score</w:t>
      </w:r>
    </w:p>
    <w:p w14:paraId="2C1BD1AF" w14:textId="192939E8" w:rsidR="00581B45" w:rsidRPr="00BD51BF" w:rsidRDefault="00581B45" w:rsidP="00581B45">
      <w:pPr>
        <w:pStyle w:val="ListParagraph"/>
        <w:numPr>
          <w:ilvl w:val="0"/>
          <w:numId w:val="57"/>
        </w:numPr>
        <w:rPr>
          <w:lang w:val="en-GB" w:eastAsia="ja-JP"/>
        </w:rPr>
      </w:pPr>
      <w:r w:rsidRPr="00BD51BF">
        <w:rPr>
          <w:lang w:val="en-GB" w:eastAsia="ja-JP"/>
        </w:rPr>
        <w:t>Neurologic Assessment in Neuro-Oncology (NANO) scores</w:t>
      </w:r>
    </w:p>
    <w:p w14:paraId="3AA871DB" w14:textId="26C88370" w:rsidR="00891061" w:rsidRPr="00BD51BF" w:rsidRDefault="00F30575" w:rsidP="00F30575">
      <w:pPr>
        <w:rPr>
          <w:lang w:val="en-GB" w:eastAsia="ja-JP"/>
        </w:rPr>
      </w:pPr>
      <w:r w:rsidRPr="00BD51BF">
        <w:rPr>
          <w:lang w:val="en-GB" w:eastAsia="ja-JP"/>
        </w:rPr>
        <w:lastRenderedPageBreak/>
        <w:t>In addition, there is an estimand on steroid use with a dichotomous endpoint defined as “</w:t>
      </w:r>
      <w:r w:rsidR="00891061" w:rsidRPr="00BD51BF">
        <w:rPr>
          <w:lang w:val="en-GB" w:eastAsia="ja-JP"/>
        </w:rPr>
        <w:t>Any use</w:t>
      </w:r>
      <w:r w:rsidR="00461DB1" w:rsidRPr="00BD51BF">
        <w:rPr>
          <w:lang w:val="en-GB" w:eastAsia="ja-JP"/>
        </w:rPr>
        <w:t xml:space="preserve"> of steroids</w:t>
      </w:r>
      <w:r w:rsidRPr="00BD51BF">
        <w:rPr>
          <w:lang w:val="en-GB" w:eastAsia="ja-JP"/>
        </w:rPr>
        <w:t xml:space="preserve">”. The population-level summary for this estimand is the proportion. </w:t>
      </w:r>
    </w:p>
    <w:p w14:paraId="1C5698C2" w14:textId="5F389658" w:rsidR="00581B45" w:rsidRPr="00BD51BF" w:rsidRDefault="00581B45" w:rsidP="00581B45">
      <w:pPr>
        <w:rPr>
          <w:lang w:val="en-GB" w:eastAsia="ja-JP"/>
        </w:rPr>
      </w:pPr>
    </w:p>
    <w:p w14:paraId="339BBBE5" w14:textId="757A0078" w:rsidR="00891061" w:rsidRPr="00BD51BF" w:rsidRDefault="00891061" w:rsidP="002574AD">
      <w:pPr>
        <w:pStyle w:val="Heading4"/>
        <w:rPr>
          <w:lang w:val="en-GB"/>
        </w:rPr>
      </w:pPr>
      <w:r w:rsidRPr="00BD51BF">
        <w:rPr>
          <w:lang w:val="en-GB"/>
        </w:rPr>
        <w:t xml:space="preserve">Secondary Objective 2 </w:t>
      </w:r>
      <w:r w:rsidRPr="00BD51BF">
        <w:rPr>
          <w:lang w:val="en-GB"/>
        </w:rPr>
        <w:t>long</w:t>
      </w:r>
      <w:r w:rsidR="00EB5ED8" w:rsidRPr="00BD51BF">
        <w:rPr>
          <w:lang w:val="en-GB"/>
        </w:rPr>
        <w:t>-term</w:t>
      </w:r>
      <w:r w:rsidRPr="00BD51BF">
        <w:rPr>
          <w:lang w:val="en-GB"/>
        </w:rPr>
        <w:t xml:space="preserve"> treatment estimands</w:t>
      </w:r>
    </w:p>
    <w:p w14:paraId="6CBABAB3" w14:textId="1B910037" w:rsidR="00891061" w:rsidRPr="00BD51BF" w:rsidRDefault="00891061" w:rsidP="00891061">
      <w:pPr>
        <w:rPr>
          <w:lang w:val="en-GB" w:eastAsia="ja-JP"/>
        </w:rPr>
      </w:pPr>
      <w:r w:rsidRPr="00BD51BF">
        <w:rPr>
          <w:lang w:val="en-GB" w:eastAsia="ja-JP"/>
        </w:rPr>
        <w:t>The estimands are identical to the long</w:t>
      </w:r>
      <w:r w:rsidR="00EB5ED8" w:rsidRPr="00BD51BF">
        <w:rPr>
          <w:lang w:val="en-GB" w:eastAsia="ja-JP"/>
        </w:rPr>
        <w:t>-term</w:t>
      </w:r>
      <w:r w:rsidRPr="00BD51BF">
        <w:rPr>
          <w:lang w:val="en-GB" w:eastAsia="ja-JP"/>
        </w:rPr>
        <w:t xml:space="preserve"> t</w:t>
      </w:r>
      <w:r w:rsidR="00EB5ED8" w:rsidRPr="00BD51BF">
        <w:rPr>
          <w:lang w:val="en-GB" w:eastAsia="ja-JP"/>
        </w:rPr>
        <w:t>reatment</w:t>
      </w:r>
      <w:r w:rsidRPr="00BD51BF">
        <w:rPr>
          <w:lang w:val="en-GB" w:eastAsia="ja-JP"/>
        </w:rPr>
        <w:t xml:space="preserve"> radiographic estimands but with different endpoints. </w:t>
      </w:r>
      <w:r w:rsidRPr="00BD51BF">
        <w:rPr>
          <w:lang w:val="en-GB" w:eastAsia="ja-JP"/>
        </w:rPr>
        <w:t xml:space="preserve">The endpoints for these estimands are change from baseline to </w:t>
      </w:r>
      <w:r w:rsidRPr="00BD51BF">
        <w:rPr>
          <w:lang w:val="en-GB" w:eastAsia="ja-JP"/>
        </w:rPr>
        <w:t xml:space="preserve">154 and 238 </w:t>
      </w:r>
      <w:r w:rsidRPr="00BD51BF">
        <w:rPr>
          <w:lang w:val="en-GB" w:eastAsia="ja-JP"/>
        </w:rPr>
        <w:t xml:space="preserve">days after treatment initiation in </w:t>
      </w:r>
    </w:p>
    <w:p w14:paraId="5299695A" w14:textId="77777777" w:rsidR="00891061" w:rsidRPr="00BD51BF" w:rsidRDefault="00891061" w:rsidP="00891061">
      <w:pPr>
        <w:pStyle w:val="ListParagraph"/>
        <w:numPr>
          <w:ilvl w:val="0"/>
          <w:numId w:val="57"/>
        </w:numPr>
        <w:rPr>
          <w:lang w:val="en-GB" w:eastAsia="ja-JP"/>
        </w:rPr>
      </w:pPr>
      <w:r w:rsidRPr="00BD51BF">
        <w:rPr>
          <w:lang w:val="en-GB" w:eastAsia="ja-JP"/>
        </w:rPr>
        <w:t>Karnofsky Performance Scale</w:t>
      </w:r>
    </w:p>
    <w:p w14:paraId="626B72FE" w14:textId="77777777" w:rsidR="00891061" w:rsidRPr="00BD51BF" w:rsidRDefault="00891061" w:rsidP="00891061">
      <w:pPr>
        <w:pStyle w:val="ListParagraph"/>
        <w:numPr>
          <w:ilvl w:val="0"/>
          <w:numId w:val="57"/>
        </w:numPr>
        <w:rPr>
          <w:lang w:val="en-GB" w:eastAsia="ja-JP"/>
        </w:rPr>
      </w:pPr>
      <w:r w:rsidRPr="00BD51BF">
        <w:rPr>
          <w:lang w:val="en-GB" w:eastAsia="ja-JP"/>
        </w:rPr>
        <w:t>Eastern Cooperative Oncology Group (ECOG) score</w:t>
      </w:r>
    </w:p>
    <w:p w14:paraId="4F27572F" w14:textId="77777777" w:rsidR="00891061" w:rsidRPr="00BD51BF" w:rsidRDefault="00891061" w:rsidP="00891061">
      <w:pPr>
        <w:pStyle w:val="ListParagraph"/>
        <w:numPr>
          <w:ilvl w:val="0"/>
          <w:numId w:val="57"/>
        </w:numPr>
        <w:rPr>
          <w:lang w:val="en-GB" w:eastAsia="ja-JP"/>
        </w:rPr>
      </w:pPr>
      <w:r w:rsidRPr="00BD51BF">
        <w:rPr>
          <w:lang w:val="en-GB" w:eastAsia="ja-JP"/>
        </w:rPr>
        <w:t>Neurologic Assessment in Neuro-Oncology (NANO) scores</w:t>
      </w:r>
    </w:p>
    <w:p w14:paraId="22A5E543" w14:textId="28BBECB7" w:rsidR="00891061" w:rsidRPr="00BD51BF" w:rsidRDefault="00891061" w:rsidP="00891061">
      <w:pPr>
        <w:pStyle w:val="ListParagraph"/>
        <w:numPr>
          <w:ilvl w:val="0"/>
          <w:numId w:val="57"/>
        </w:numPr>
        <w:rPr>
          <w:lang w:val="en-GB" w:eastAsia="ja-JP"/>
        </w:rPr>
      </w:pPr>
      <w:r w:rsidRPr="00BD51BF">
        <w:rPr>
          <w:lang w:val="en-GB" w:eastAsia="ja-JP"/>
        </w:rPr>
        <w:t>European Organisation for Research and Treatment of Cancer (EORTC) Quality of Life Questionnaire QLQ-C30</w:t>
      </w:r>
    </w:p>
    <w:p w14:paraId="028153E4" w14:textId="7290FA82" w:rsidR="00891061" w:rsidRPr="00BD51BF" w:rsidRDefault="00891061" w:rsidP="00891061">
      <w:pPr>
        <w:pStyle w:val="ListParagraph"/>
        <w:numPr>
          <w:ilvl w:val="0"/>
          <w:numId w:val="57"/>
        </w:numPr>
        <w:rPr>
          <w:lang w:val="en-GB" w:eastAsia="ja-JP"/>
        </w:rPr>
      </w:pPr>
      <w:r w:rsidRPr="00BD51BF">
        <w:rPr>
          <w:lang w:val="en-GB" w:eastAsia="ja-JP"/>
        </w:rPr>
        <w:t>EORTC QLQ-BN20</w:t>
      </w:r>
    </w:p>
    <w:p w14:paraId="0D4C6113" w14:textId="39042DED" w:rsidR="00581B45" w:rsidRPr="00BD51BF" w:rsidRDefault="00F30575" w:rsidP="00C7251B">
      <w:pPr>
        <w:rPr>
          <w:lang w:val="en-GB" w:eastAsia="ja-JP"/>
        </w:rPr>
      </w:pPr>
      <w:r w:rsidRPr="00BD51BF">
        <w:rPr>
          <w:lang w:val="en-GB" w:eastAsia="ja-JP"/>
        </w:rPr>
        <w:t xml:space="preserve">In addition, there is an ordinal endpoint according to the </w:t>
      </w:r>
      <w:r w:rsidRPr="00BD51BF">
        <w:rPr>
          <w:lang w:val="en-GB"/>
        </w:rPr>
        <w:t>Response Assessment in Neuro-Oncology</w:t>
      </w:r>
      <w:r w:rsidRPr="00BD51BF">
        <w:rPr>
          <w:lang w:val="en-GB"/>
        </w:rPr>
        <w:t xml:space="preserve"> (RANO) criteria 140 and 224 days after treatment initiation. </w:t>
      </w:r>
      <w:r w:rsidR="00FA4996" w:rsidRPr="00BD51BF">
        <w:rPr>
          <w:lang w:val="en-GB"/>
        </w:rPr>
        <w:t xml:space="preserve">The population-level summary is the proportional odds ratio for each dose level. </w:t>
      </w:r>
    </w:p>
    <w:p w14:paraId="2D3490EC" w14:textId="5F659D7B" w:rsidR="00461DB1" w:rsidRPr="00BD51BF" w:rsidRDefault="00662D03" w:rsidP="00C7251B">
      <w:pPr>
        <w:rPr>
          <w:lang w:val="en-GB" w:eastAsia="ja-JP"/>
        </w:rPr>
      </w:pPr>
      <w:r w:rsidRPr="00BD51BF">
        <w:rPr>
          <w:lang w:val="en-GB" w:eastAsia="ja-JP"/>
        </w:rPr>
        <w:t>Finally</w:t>
      </w:r>
      <w:r w:rsidR="00EB5ED8" w:rsidRPr="00BD51BF">
        <w:rPr>
          <w:lang w:val="en-GB" w:eastAsia="ja-JP"/>
        </w:rPr>
        <w:t>,</w:t>
      </w:r>
      <w:r w:rsidR="00461DB1" w:rsidRPr="00BD51BF">
        <w:rPr>
          <w:lang w:val="en-GB" w:eastAsia="ja-JP"/>
        </w:rPr>
        <w:t xml:space="preserve"> there are four estimands </w:t>
      </w:r>
      <w:r w:rsidR="00EB5ED8" w:rsidRPr="00BD51BF">
        <w:rPr>
          <w:lang w:val="en-GB" w:eastAsia="ja-JP"/>
        </w:rPr>
        <w:t>concerning progression-free and overall survival of long-term treatment. The estimands are identical to the long-term treatment radiographic estimands but with different endpoints and population-level summary. The endpoints are defined as</w:t>
      </w:r>
    </w:p>
    <w:p w14:paraId="2B3F9EDF" w14:textId="7E266199" w:rsidR="00EB5ED8" w:rsidRPr="00BD51BF" w:rsidRDefault="00EB5ED8" w:rsidP="00EB5ED8">
      <w:pPr>
        <w:pStyle w:val="ListParagraph"/>
        <w:numPr>
          <w:ilvl w:val="0"/>
          <w:numId w:val="57"/>
        </w:numPr>
        <w:rPr>
          <w:lang w:val="en-GB" w:eastAsia="ja-JP"/>
        </w:rPr>
      </w:pPr>
      <w:r w:rsidRPr="00BD51BF">
        <w:rPr>
          <w:lang w:val="en-GB" w:eastAsia="ja-JP"/>
        </w:rPr>
        <w:t>Time to progression in the period from treatment start until six months</w:t>
      </w:r>
    </w:p>
    <w:p w14:paraId="07FF93B8" w14:textId="3150A713" w:rsidR="00EB5ED8" w:rsidRPr="00BD51BF" w:rsidRDefault="00EB5ED8" w:rsidP="00EB5ED8">
      <w:pPr>
        <w:pStyle w:val="ListParagraph"/>
        <w:numPr>
          <w:ilvl w:val="0"/>
          <w:numId w:val="57"/>
        </w:numPr>
        <w:rPr>
          <w:lang w:val="en-GB" w:eastAsia="ja-JP"/>
        </w:rPr>
      </w:pPr>
      <w:r w:rsidRPr="00BD51BF">
        <w:rPr>
          <w:lang w:val="en-GB" w:eastAsia="ja-JP"/>
        </w:rPr>
        <w:t xml:space="preserve">Time to progression in the period from treatment start until </w:t>
      </w:r>
      <w:r w:rsidRPr="00BD51BF">
        <w:rPr>
          <w:lang w:val="en-GB" w:eastAsia="ja-JP"/>
        </w:rPr>
        <w:t>24</w:t>
      </w:r>
      <w:r w:rsidRPr="00BD51BF">
        <w:rPr>
          <w:lang w:val="en-GB" w:eastAsia="ja-JP"/>
        </w:rPr>
        <w:t xml:space="preserve"> months</w:t>
      </w:r>
    </w:p>
    <w:p w14:paraId="114FA873" w14:textId="6B04078D" w:rsidR="00EB5ED8" w:rsidRPr="00BD51BF" w:rsidRDefault="00EB5ED8" w:rsidP="00EB5ED8">
      <w:pPr>
        <w:pStyle w:val="ListParagraph"/>
        <w:numPr>
          <w:ilvl w:val="0"/>
          <w:numId w:val="57"/>
        </w:numPr>
        <w:rPr>
          <w:lang w:val="en-GB" w:eastAsia="ja-JP"/>
        </w:rPr>
      </w:pPr>
      <w:r w:rsidRPr="00BD51BF">
        <w:rPr>
          <w:lang w:val="en-GB" w:eastAsia="ja-JP"/>
        </w:rPr>
        <w:t>Time to death in the period from treatment start until 12 months</w:t>
      </w:r>
    </w:p>
    <w:p w14:paraId="3EAC8F8E" w14:textId="03159A9D" w:rsidR="00EB5ED8" w:rsidRPr="00BD51BF" w:rsidRDefault="00EB5ED8" w:rsidP="00EB5ED8">
      <w:pPr>
        <w:pStyle w:val="ListParagraph"/>
        <w:numPr>
          <w:ilvl w:val="0"/>
          <w:numId w:val="57"/>
        </w:numPr>
        <w:rPr>
          <w:lang w:val="en-GB" w:eastAsia="ja-JP"/>
        </w:rPr>
      </w:pPr>
      <w:r w:rsidRPr="00BD51BF">
        <w:rPr>
          <w:lang w:val="en-GB" w:eastAsia="ja-JP"/>
        </w:rPr>
        <w:t>Time to death in the period from treatment start until 24 months</w:t>
      </w:r>
    </w:p>
    <w:p w14:paraId="1A7F66EF" w14:textId="354D863C" w:rsidR="00EB5ED8" w:rsidRPr="00BD51BF" w:rsidRDefault="00EB5ED8" w:rsidP="00EB5ED8">
      <w:pPr>
        <w:rPr>
          <w:lang w:val="en-GB" w:eastAsia="ja-JP"/>
        </w:rPr>
      </w:pPr>
      <w:r w:rsidRPr="00BD51BF">
        <w:rPr>
          <w:lang w:val="en-GB" w:eastAsia="ja-JP"/>
        </w:rPr>
        <w:t xml:space="preserve">The population level summary for </w:t>
      </w:r>
      <w:r w:rsidR="002574AD" w:rsidRPr="00BD51BF">
        <w:rPr>
          <w:lang w:val="en-GB" w:eastAsia="ja-JP"/>
        </w:rPr>
        <w:t xml:space="preserve">all these endpoints is the hazard ratio of each dose against no treatment (0 mg). </w:t>
      </w:r>
    </w:p>
    <w:p w14:paraId="3EC21BC9" w14:textId="77777777" w:rsidR="002574AD" w:rsidRPr="00BD51BF" w:rsidRDefault="002574AD" w:rsidP="00EB5ED8">
      <w:pPr>
        <w:rPr>
          <w:lang w:val="en-GB" w:eastAsia="ja-JP"/>
        </w:rPr>
      </w:pPr>
    </w:p>
    <w:p w14:paraId="13325D22" w14:textId="6C0D9679" w:rsidR="002574AD" w:rsidRPr="00BD51BF" w:rsidRDefault="002574AD" w:rsidP="002574AD">
      <w:pPr>
        <w:pStyle w:val="Heading3"/>
        <w:rPr>
          <w:lang w:val="en-GB"/>
        </w:rPr>
      </w:pPr>
      <w:r w:rsidRPr="00BD51BF">
        <w:rPr>
          <w:lang w:val="en-GB"/>
        </w:rPr>
        <w:t>Secondary Safety Objective</w:t>
      </w:r>
    </w:p>
    <w:p w14:paraId="77709A4F" w14:textId="29E3F899" w:rsidR="002574AD" w:rsidRPr="00BD51BF" w:rsidRDefault="002574AD" w:rsidP="002574AD">
      <w:pPr>
        <w:rPr>
          <w:lang w:val="en-GB" w:eastAsia="ja-JP"/>
        </w:rPr>
      </w:pPr>
      <w:r w:rsidRPr="00BD51BF">
        <w:rPr>
          <w:lang w:val="en-GB" w:eastAsia="ja-JP"/>
        </w:rPr>
        <w:t xml:space="preserve">This objective is to assess the safety of losartan treatment in patients with newly diagnosed glioblastoma. </w:t>
      </w:r>
    </w:p>
    <w:p w14:paraId="7CC6A895" w14:textId="77777777" w:rsidR="002574AD" w:rsidRPr="00BD51BF" w:rsidRDefault="002574AD" w:rsidP="002574AD">
      <w:pPr>
        <w:rPr>
          <w:lang w:val="en-GB" w:eastAsia="ja-JP"/>
        </w:rPr>
      </w:pPr>
    </w:p>
    <w:p w14:paraId="2FA837C8" w14:textId="0787CCF7" w:rsidR="002574AD" w:rsidRPr="00BD51BF" w:rsidRDefault="002574AD" w:rsidP="002574AD">
      <w:pPr>
        <w:pStyle w:val="Heading4"/>
        <w:rPr>
          <w:lang w:val="en-GB"/>
        </w:rPr>
      </w:pPr>
      <w:r w:rsidRPr="00BD51BF">
        <w:rPr>
          <w:lang w:val="en-GB"/>
        </w:rPr>
        <w:t xml:space="preserve">Safety Objective Estimands </w:t>
      </w:r>
    </w:p>
    <w:p w14:paraId="5FF5168E" w14:textId="418EDA93" w:rsidR="002574AD" w:rsidRPr="00BD51BF" w:rsidRDefault="002574AD" w:rsidP="002574AD">
      <w:pPr>
        <w:rPr>
          <w:lang w:val="en-GB" w:eastAsia="ja-JP"/>
        </w:rPr>
      </w:pPr>
      <w:r w:rsidRPr="00BD51BF">
        <w:rPr>
          <w:lang w:val="en-GB" w:eastAsia="ja-JP"/>
        </w:rPr>
        <w:t>The safety objective estimands is described by the following attributes in the table below:</w:t>
      </w:r>
    </w:p>
    <w:tbl>
      <w:tblPr>
        <w:tblStyle w:val="TableGrid"/>
        <w:tblW w:w="0" w:type="auto"/>
        <w:tblLook w:val="04A0" w:firstRow="1" w:lastRow="0" w:firstColumn="1" w:lastColumn="0" w:noHBand="0" w:noVBand="1"/>
      </w:tblPr>
      <w:tblGrid>
        <w:gridCol w:w="4106"/>
        <w:gridCol w:w="5244"/>
      </w:tblGrid>
      <w:tr w:rsidR="00630578" w:rsidRPr="00BD51BF" w14:paraId="565A5B35" w14:textId="77777777" w:rsidTr="00652A4E">
        <w:tc>
          <w:tcPr>
            <w:tcW w:w="4106" w:type="dxa"/>
          </w:tcPr>
          <w:p w14:paraId="154F9E32" w14:textId="77777777" w:rsidR="00630578" w:rsidRPr="00BD51BF" w:rsidRDefault="00630578" w:rsidP="00652A4E">
            <w:pPr>
              <w:pStyle w:val="CPTExample"/>
              <w:rPr>
                <w:rFonts w:ascii="Times New Roman" w:hAnsi="Times New Roman"/>
                <w:b/>
                <w:i w:val="0"/>
                <w:iCs/>
                <w:color w:val="auto"/>
                <w:sz w:val="24"/>
                <w:szCs w:val="24"/>
                <w:lang w:val="en-GB"/>
              </w:rPr>
            </w:pPr>
            <w:r w:rsidRPr="00BD51BF">
              <w:rPr>
                <w:rFonts w:ascii="Times New Roman" w:hAnsi="Times New Roman"/>
                <w:b/>
                <w:i w:val="0"/>
                <w:iCs/>
                <w:color w:val="auto"/>
                <w:sz w:val="24"/>
                <w:szCs w:val="24"/>
                <w:lang w:val="en-GB"/>
              </w:rPr>
              <w:t xml:space="preserve">Estimand </w:t>
            </w:r>
            <w:r w:rsidRPr="00BD51BF">
              <w:rPr>
                <w:rFonts w:ascii="Times New Roman" w:hAnsi="Times New Roman"/>
                <w:b/>
                <w:bCs/>
                <w:i w:val="0"/>
                <w:iCs/>
                <w:color w:val="auto"/>
                <w:sz w:val="24"/>
                <w:szCs w:val="24"/>
                <w:lang w:val="en-GB"/>
              </w:rPr>
              <w:t>Characteristic</w:t>
            </w:r>
          </w:p>
        </w:tc>
        <w:tc>
          <w:tcPr>
            <w:tcW w:w="5244" w:type="dxa"/>
          </w:tcPr>
          <w:p w14:paraId="2A749A90" w14:textId="77777777" w:rsidR="00630578" w:rsidRPr="00BD51BF" w:rsidRDefault="00630578" w:rsidP="00652A4E">
            <w:pPr>
              <w:pStyle w:val="CPTExample"/>
              <w:rPr>
                <w:rFonts w:ascii="Times New Roman" w:hAnsi="Times New Roman"/>
                <w:b/>
                <w:i w:val="0"/>
                <w:iCs/>
                <w:color w:val="auto"/>
                <w:sz w:val="24"/>
                <w:szCs w:val="24"/>
                <w:lang w:val="en-GB"/>
              </w:rPr>
            </w:pPr>
            <w:r w:rsidRPr="00BD51BF">
              <w:rPr>
                <w:rFonts w:ascii="Times New Roman" w:hAnsi="Times New Roman"/>
                <w:b/>
                <w:i w:val="0"/>
                <w:iCs/>
                <w:color w:val="auto"/>
                <w:sz w:val="24"/>
                <w:szCs w:val="24"/>
                <w:lang w:val="en-GB"/>
              </w:rPr>
              <w:t>Description</w:t>
            </w:r>
          </w:p>
        </w:tc>
      </w:tr>
      <w:tr w:rsidR="00630578" w:rsidRPr="00BD51BF" w14:paraId="5B87E6FA" w14:textId="77777777" w:rsidTr="00652A4E">
        <w:tc>
          <w:tcPr>
            <w:tcW w:w="4106" w:type="dxa"/>
          </w:tcPr>
          <w:p w14:paraId="6369D260"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Population</w:t>
            </w:r>
          </w:p>
        </w:tc>
        <w:tc>
          <w:tcPr>
            <w:tcW w:w="5244" w:type="dxa"/>
          </w:tcPr>
          <w:p w14:paraId="6DB889B5"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Patients newly diagnosed with glioblastoma</w:t>
            </w:r>
          </w:p>
        </w:tc>
      </w:tr>
      <w:tr w:rsidR="00630578" w:rsidRPr="00BD51BF" w14:paraId="55AF91DC" w14:textId="77777777" w:rsidTr="00652A4E">
        <w:tc>
          <w:tcPr>
            <w:tcW w:w="4106" w:type="dxa"/>
          </w:tcPr>
          <w:p w14:paraId="07B4F930"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Treatment</w:t>
            </w:r>
          </w:p>
        </w:tc>
        <w:tc>
          <w:tcPr>
            <w:tcW w:w="5244" w:type="dxa"/>
          </w:tcPr>
          <w:p w14:paraId="44C85D49" w14:textId="5643F0FA"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Intervention with different doses of losartan: 0 mg, 25 mg, 50 mg, 100 mg, regardless of other treatment or if the treatment was given fully or partially according to protocol intention. </w:t>
            </w:r>
          </w:p>
        </w:tc>
      </w:tr>
      <w:tr w:rsidR="00630578" w:rsidRPr="00BD51BF" w14:paraId="7DA9B70B" w14:textId="77777777" w:rsidTr="00652A4E">
        <w:tc>
          <w:tcPr>
            <w:tcW w:w="4106" w:type="dxa"/>
          </w:tcPr>
          <w:p w14:paraId="4B7B84AE"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Endpoint</w:t>
            </w:r>
          </w:p>
        </w:tc>
        <w:tc>
          <w:tcPr>
            <w:tcW w:w="5244" w:type="dxa"/>
          </w:tcPr>
          <w:p w14:paraId="0989465C" w14:textId="77777777" w:rsidR="00630578" w:rsidRPr="00BD51BF" w:rsidRDefault="00630578" w:rsidP="00630578">
            <w:pPr>
              <w:pStyle w:val="CPTExample"/>
              <w:numPr>
                <w:ilvl w:val="0"/>
                <w:numId w:val="58"/>
              </w:numPr>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Occurrence of adverse events</w:t>
            </w:r>
          </w:p>
          <w:p w14:paraId="5C9DE64B" w14:textId="2E4EFB4F" w:rsidR="00630578" w:rsidRPr="00BD51BF" w:rsidRDefault="00630578" w:rsidP="00630578">
            <w:pPr>
              <w:pStyle w:val="CPTExample"/>
              <w:numPr>
                <w:ilvl w:val="0"/>
                <w:numId w:val="58"/>
              </w:numPr>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lastRenderedPageBreak/>
              <w:t xml:space="preserve"> </w:t>
            </w:r>
            <w:r w:rsidRPr="00BD51BF">
              <w:rPr>
                <w:rFonts w:ascii="Times New Roman" w:hAnsi="Times New Roman"/>
                <w:i w:val="0"/>
                <w:iCs/>
                <w:color w:val="auto"/>
                <w:sz w:val="24"/>
                <w:szCs w:val="24"/>
                <w:lang w:val="en-GB"/>
              </w:rPr>
              <w:t>Systolic and diastolic blood pressure</w:t>
            </w:r>
          </w:p>
          <w:p w14:paraId="098B69BB" w14:textId="3AD75F2E" w:rsidR="00630578" w:rsidRPr="00BD51BF" w:rsidRDefault="00630578" w:rsidP="00630578">
            <w:pPr>
              <w:pStyle w:val="ListParagraph"/>
              <w:numPr>
                <w:ilvl w:val="0"/>
                <w:numId w:val="58"/>
              </w:numPr>
              <w:rPr>
                <w:lang w:val="en-GB"/>
              </w:rPr>
            </w:pPr>
            <w:r w:rsidRPr="00BD51BF">
              <w:rPr>
                <w:lang w:val="en-GB"/>
              </w:rPr>
              <w:t>Pulse</w:t>
            </w:r>
          </w:p>
          <w:p w14:paraId="6DE4CD6D" w14:textId="2894CE3B" w:rsidR="00630578" w:rsidRPr="00BD51BF" w:rsidRDefault="00630578" w:rsidP="00652A4E">
            <w:pPr>
              <w:pStyle w:val="ListParagraph"/>
              <w:numPr>
                <w:ilvl w:val="0"/>
                <w:numId w:val="58"/>
              </w:numPr>
              <w:rPr>
                <w:lang w:val="en-GB"/>
              </w:rPr>
            </w:pPr>
            <w:commentRangeStart w:id="34"/>
            <w:r w:rsidRPr="00BD51BF">
              <w:rPr>
                <w:lang w:val="en-GB"/>
              </w:rPr>
              <w:t>Conventional laboratory blood parameters</w:t>
            </w:r>
            <w:commentRangeEnd w:id="34"/>
            <w:r w:rsidR="00472BD6" w:rsidRPr="00BD51BF">
              <w:rPr>
                <w:rStyle w:val="CommentReference"/>
                <w:sz w:val="24"/>
                <w:szCs w:val="24"/>
                <w:lang w:val="en-GB"/>
              </w:rPr>
              <w:commentReference w:id="34"/>
            </w:r>
            <w:r w:rsidRPr="00BD51BF">
              <w:rPr>
                <w:lang w:val="en-GB"/>
              </w:rPr>
              <w:t xml:space="preserve"> </w:t>
            </w:r>
          </w:p>
        </w:tc>
      </w:tr>
      <w:tr w:rsidR="00630578" w:rsidRPr="00BD51BF" w14:paraId="6D88FD45" w14:textId="77777777" w:rsidTr="00652A4E">
        <w:tc>
          <w:tcPr>
            <w:tcW w:w="4106" w:type="dxa"/>
          </w:tcPr>
          <w:p w14:paraId="72E02923"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lastRenderedPageBreak/>
              <w:t>Population-level summary</w:t>
            </w:r>
          </w:p>
        </w:tc>
        <w:tc>
          <w:tcPr>
            <w:tcW w:w="5244" w:type="dxa"/>
          </w:tcPr>
          <w:p w14:paraId="4A50BB25" w14:textId="05AA1A1B" w:rsidR="00472BD6" w:rsidRPr="00BD51BF" w:rsidRDefault="00041127" w:rsidP="00630578">
            <w:pPr>
              <w:pStyle w:val="CPTExample"/>
              <w:numPr>
                <w:ilvl w:val="0"/>
                <w:numId w:val="59"/>
              </w:numPr>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Descriptive: </w:t>
            </w:r>
            <w:r w:rsidR="00630578" w:rsidRPr="00BD51BF">
              <w:rPr>
                <w:rFonts w:ascii="Times New Roman" w:hAnsi="Times New Roman"/>
                <w:i w:val="0"/>
                <w:iCs/>
                <w:color w:val="auto"/>
                <w:sz w:val="24"/>
                <w:szCs w:val="24"/>
                <w:lang w:val="en-GB"/>
              </w:rPr>
              <w:t xml:space="preserve">Number and proportion of participants with adverse events by </w:t>
            </w:r>
            <w:r w:rsidR="00472BD6" w:rsidRPr="00BD51BF">
              <w:rPr>
                <w:rFonts w:ascii="Times New Roman" w:hAnsi="Times New Roman"/>
                <w:i w:val="0"/>
                <w:iCs/>
                <w:color w:val="auto"/>
                <w:sz w:val="24"/>
                <w:szCs w:val="24"/>
                <w:lang w:val="en-GB"/>
              </w:rPr>
              <w:t>MedDRA preferred term and system organ class</w:t>
            </w:r>
          </w:p>
          <w:p w14:paraId="1C972591" w14:textId="6BD599DD" w:rsidR="00630578" w:rsidRPr="00BD51BF" w:rsidRDefault="00472BD6" w:rsidP="00630578">
            <w:pPr>
              <w:pStyle w:val="CPTExample"/>
              <w:numPr>
                <w:ilvl w:val="0"/>
                <w:numId w:val="59"/>
              </w:numPr>
              <w:rPr>
                <w:rFonts w:ascii="Times New Roman" w:hAnsi="Times New Roman"/>
                <w:i w:val="0"/>
                <w:iCs/>
                <w:color w:val="auto"/>
                <w:sz w:val="24"/>
                <w:szCs w:val="24"/>
                <w:lang w:val="en-GB"/>
              </w:rPr>
            </w:pPr>
            <w:commentRangeStart w:id="35"/>
            <w:r w:rsidRPr="00BD51BF">
              <w:rPr>
                <w:rFonts w:ascii="Times New Roman" w:hAnsi="Times New Roman"/>
                <w:i w:val="0"/>
                <w:iCs/>
                <w:color w:val="auto"/>
                <w:sz w:val="24"/>
                <w:szCs w:val="24"/>
                <w:lang w:val="en-GB"/>
              </w:rPr>
              <w:t>Mean change from baseline for each dose</w:t>
            </w:r>
            <w:r w:rsidR="00630578" w:rsidRPr="00BD51BF">
              <w:rPr>
                <w:rFonts w:ascii="Times New Roman" w:hAnsi="Times New Roman"/>
                <w:i w:val="0"/>
                <w:iCs/>
                <w:color w:val="auto"/>
                <w:sz w:val="24"/>
                <w:szCs w:val="24"/>
                <w:lang w:val="en-GB"/>
              </w:rPr>
              <w:t xml:space="preserve"> </w:t>
            </w:r>
            <w:commentRangeEnd w:id="35"/>
            <w:r w:rsidRPr="00BD51BF">
              <w:rPr>
                <w:rStyle w:val="CommentReference"/>
                <w:rFonts w:ascii="Times New Roman" w:hAnsi="Times New Roman"/>
                <w:i w:val="0"/>
                <w:iCs/>
                <w:color w:val="auto"/>
                <w:sz w:val="24"/>
                <w:szCs w:val="24"/>
                <w:lang w:val="en-GB"/>
              </w:rPr>
              <w:commentReference w:id="35"/>
            </w:r>
          </w:p>
        </w:tc>
      </w:tr>
      <w:tr w:rsidR="00630578" w:rsidRPr="00BD51BF" w14:paraId="572B00DF" w14:textId="77777777" w:rsidTr="00652A4E">
        <w:tc>
          <w:tcPr>
            <w:tcW w:w="4106" w:type="dxa"/>
          </w:tcPr>
          <w:p w14:paraId="3B6938DA" w14:textId="77777777" w:rsidR="00630578" w:rsidRPr="00BD51BF" w:rsidRDefault="00630578" w:rsidP="00652A4E">
            <w:pPr>
              <w:pStyle w:val="CPTExample"/>
              <w:rPr>
                <w:rFonts w:ascii="Times New Roman" w:hAnsi="Times New Roman"/>
                <w:b/>
                <w:bCs/>
                <w:i w:val="0"/>
                <w:iCs/>
                <w:color w:val="auto"/>
                <w:sz w:val="24"/>
                <w:szCs w:val="24"/>
                <w:lang w:val="en-GB"/>
              </w:rPr>
            </w:pPr>
            <w:r w:rsidRPr="00BD51BF">
              <w:rPr>
                <w:rFonts w:ascii="Times New Roman" w:hAnsi="Times New Roman"/>
                <w:b/>
                <w:bCs/>
                <w:i w:val="0"/>
                <w:iCs/>
                <w:color w:val="auto"/>
                <w:sz w:val="24"/>
                <w:szCs w:val="24"/>
                <w:lang w:val="en-GB"/>
              </w:rPr>
              <w:t>Intercurrent Events</w:t>
            </w:r>
          </w:p>
        </w:tc>
        <w:tc>
          <w:tcPr>
            <w:tcW w:w="5244" w:type="dxa"/>
          </w:tcPr>
          <w:p w14:paraId="4EB6D58A" w14:textId="77777777" w:rsidR="00630578" w:rsidRPr="00BD51BF" w:rsidRDefault="00630578" w:rsidP="00652A4E">
            <w:pPr>
              <w:pStyle w:val="CPTExample"/>
              <w:rPr>
                <w:rFonts w:ascii="Times New Roman" w:hAnsi="Times New Roman"/>
                <w:b/>
                <w:bCs/>
                <w:i w:val="0"/>
                <w:iCs/>
                <w:color w:val="auto"/>
                <w:sz w:val="24"/>
                <w:szCs w:val="24"/>
                <w:lang w:val="en-GB"/>
              </w:rPr>
            </w:pPr>
            <w:r w:rsidRPr="00BD51BF">
              <w:rPr>
                <w:rFonts w:ascii="Times New Roman" w:hAnsi="Times New Roman"/>
                <w:b/>
                <w:bCs/>
                <w:i w:val="0"/>
                <w:iCs/>
                <w:color w:val="auto"/>
                <w:sz w:val="24"/>
                <w:szCs w:val="24"/>
                <w:lang w:val="en-GB"/>
              </w:rPr>
              <w:t>Strategy</w:t>
            </w:r>
          </w:p>
        </w:tc>
      </w:tr>
      <w:tr w:rsidR="00630578" w:rsidRPr="00BD51BF" w14:paraId="5D594125" w14:textId="77777777" w:rsidTr="00652A4E">
        <w:tc>
          <w:tcPr>
            <w:tcW w:w="4106" w:type="dxa"/>
          </w:tcPr>
          <w:p w14:paraId="27CD60E0"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Discontinuation of investigational trial intervention for any reason</w:t>
            </w:r>
          </w:p>
        </w:tc>
        <w:tc>
          <w:tcPr>
            <w:tcW w:w="5244" w:type="dxa"/>
          </w:tcPr>
          <w:p w14:paraId="0D0A4081"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 xml:space="preserve">Treatment policy strategy (addressed in treatment conditions attribute) </w:t>
            </w:r>
          </w:p>
        </w:tc>
      </w:tr>
      <w:tr w:rsidR="00630578" w:rsidRPr="00BD51BF" w14:paraId="608689D5" w14:textId="77777777" w:rsidTr="00652A4E">
        <w:tc>
          <w:tcPr>
            <w:tcW w:w="4106" w:type="dxa"/>
          </w:tcPr>
          <w:p w14:paraId="44250FB1"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Initiation of rescue medication or change in background medication (dose and product)</w:t>
            </w:r>
          </w:p>
        </w:tc>
        <w:tc>
          <w:tcPr>
            <w:tcW w:w="5244" w:type="dxa"/>
          </w:tcPr>
          <w:p w14:paraId="5CD7DEAD"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Treatment policy strategy (addressed in treatment conditions attribute)</w:t>
            </w:r>
          </w:p>
        </w:tc>
      </w:tr>
      <w:tr w:rsidR="00630578" w:rsidRPr="00BD51BF" w14:paraId="15BCB9EB" w14:textId="77777777" w:rsidTr="00652A4E">
        <w:tc>
          <w:tcPr>
            <w:tcW w:w="4106" w:type="dxa"/>
          </w:tcPr>
          <w:p w14:paraId="24629B4E" w14:textId="77777777" w:rsidR="00630578" w:rsidRPr="00BD51BF" w:rsidRDefault="00630578"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Death</w:t>
            </w:r>
          </w:p>
        </w:tc>
        <w:tc>
          <w:tcPr>
            <w:tcW w:w="5244" w:type="dxa"/>
          </w:tcPr>
          <w:p w14:paraId="75ECBA87" w14:textId="5349D92B" w:rsidR="00630578" w:rsidRPr="00BD51BF" w:rsidRDefault="00472BD6" w:rsidP="00652A4E">
            <w:pPr>
              <w:pStyle w:val="CPTExample"/>
              <w:rPr>
                <w:rFonts w:ascii="Times New Roman" w:hAnsi="Times New Roman"/>
                <w:i w:val="0"/>
                <w:iCs/>
                <w:color w:val="auto"/>
                <w:sz w:val="24"/>
                <w:szCs w:val="24"/>
                <w:lang w:val="en-GB"/>
              </w:rPr>
            </w:pPr>
            <w:r w:rsidRPr="00BD51BF">
              <w:rPr>
                <w:rFonts w:ascii="Times New Roman" w:hAnsi="Times New Roman"/>
                <w:i w:val="0"/>
                <w:iCs/>
                <w:color w:val="auto"/>
                <w:sz w:val="24"/>
                <w:szCs w:val="24"/>
                <w:lang w:val="en-GB"/>
              </w:rPr>
              <w:t>While-alive strategy</w:t>
            </w:r>
            <w:r w:rsidR="00630578" w:rsidRPr="00BD51BF">
              <w:rPr>
                <w:rFonts w:ascii="Times New Roman" w:hAnsi="Times New Roman"/>
                <w:i w:val="0"/>
                <w:iCs/>
                <w:color w:val="auto"/>
                <w:sz w:val="24"/>
                <w:szCs w:val="24"/>
                <w:lang w:val="en-GB"/>
              </w:rPr>
              <w:t xml:space="preserve"> </w:t>
            </w:r>
          </w:p>
        </w:tc>
      </w:tr>
    </w:tbl>
    <w:p w14:paraId="38269B82" w14:textId="77777777" w:rsidR="002574AD" w:rsidRPr="00BD51BF" w:rsidRDefault="002574AD" w:rsidP="002574AD">
      <w:pPr>
        <w:rPr>
          <w:lang w:val="en-GB" w:eastAsia="ja-JP"/>
        </w:rPr>
      </w:pPr>
    </w:p>
    <w:p w14:paraId="3B79DA3C" w14:textId="77777777" w:rsidR="002574AD" w:rsidRPr="00BD51BF" w:rsidRDefault="002574AD" w:rsidP="002574AD">
      <w:pPr>
        <w:rPr>
          <w:lang w:val="en-GB" w:eastAsia="ja-JP"/>
        </w:rPr>
      </w:pPr>
    </w:p>
    <w:p w14:paraId="58538330" w14:textId="77777777" w:rsidR="00C7251B" w:rsidRPr="00BD51BF" w:rsidRDefault="00C7251B" w:rsidP="00C7251B">
      <w:pPr>
        <w:rPr>
          <w:lang w:val="en-GB" w:eastAsia="ja-JP"/>
        </w:rPr>
      </w:pPr>
    </w:p>
    <w:p w14:paraId="23EA4A14" w14:textId="77777777" w:rsidR="00E17345" w:rsidRPr="00BD51BF" w:rsidRDefault="00E17345" w:rsidP="00041127">
      <w:pPr>
        <w:pStyle w:val="Heading2"/>
        <w:rPr>
          <w:lang w:val="en-GB"/>
        </w:rPr>
      </w:pPr>
      <w:bookmarkStart w:id="36" w:name="_Toc207809196"/>
      <w:r w:rsidRPr="00BD51BF">
        <w:rPr>
          <w:lang w:val="en-GB"/>
        </w:rPr>
        <w:t>Exploratory Objective(s)</w:t>
      </w:r>
      <w:bookmarkEnd w:id="36"/>
    </w:p>
    <w:p w14:paraId="776B306F" w14:textId="77777777" w:rsidR="00041127" w:rsidRPr="00BD51BF" w:rsidRDefault="00041127" w:rsidP="00041127">
      <w:pPr>
        <w:rPr>
          <w:lang w:val="en-GB"/>
        </w:rPr>
      </w:pPr>
      <w:r w:rsidRPr="00BD51BF">
        <w:rPr>
          <w:lang w:val="en-GB"/>
        </w:rPr>
        <w:t xml:space="preserve">An exploratory objective is </w:t>
      </w:r>
      <w:r w:rsidRPr="00BD51BF">
        <w:rPr>
          <w:lang w:val="en-GB"/>
        </w:rPr>
        <w:t>To further explore and developmagnetic resonance imaging</w:t>
      </w:r>
      <w:r w:rsidRPr="00BD51BF">
        <w:rPr>
          <w:lang w:val="en-GB"/>
        </w:rPr>
        <w:t xml:space="preserve"> </w:t>
      </w:r>
      <w:r w:rsidRPr="00BD51BF">
        <w:rPr>
          <w:lang w:val="en-GB"/>
        </w:rPr>
        <w:t>methods and their correlation to</w:t>
      </w:r>
      <w:r w:rsidRPr="00BD51BF">
        <w:rPr>
          <w:lang w:val="en-GB"/>
        </w:rPr>
        <w:t xml:space="preserve"> </w:t>
      </w:r>
      <w:r w:rsidRPr="00BD51BF">
        <w:rPr>
          <w:lang w:val="en-GB"/>
        </w:rPr>
        <w:t>clinical and blood/serum data with</w:t>
      </w:r>
      <w:r w:rsidRPr="00BD51BF">
        <w:rPr>
          <w:lang w:val="en-GB"/>
        </w:rPr>
        <w:t xml:space="preserve"> </w:t>
      </w:r>
      <w:r w:rsidRPr="00BD51BF">
        <w:rPr>
          <w:lang w:val="en-GB"/>
        </w:rPr>
        <w:t>the objective to identify</w:t>
      </w:r>
      <w:r w:rsidRPr="00BD51BF">
        <w:rPr>
          <w:lang w:val="en-GB"/>
        </w:rPr>
        <w:t xml:space="preserve"> </w:t>
      </w:r>
      <w:r w:rsidRPr="00BD51BF">
        <w:rPr>
          <w:lang w:val="en-GB"/>
        </w:rPr>
        <w:t>personalized treatment options in</w:t>
      </w:r>
      <w:r w:rsidRPr="00BD51BF">
        <w:rPr>
          <w:lang w:val="en-GB"/>
        </w:rPr>
        <w:t xml:space="preserve"> </w:t>
      </w:r>
      <w:r w:rsidRPr="00BD51BF">
        <w:rPr>
          <w:lang w:val="en-GB"/>
        </w:rPr>
        <w:t xml:space="preserve">patients with </w:t>
      </w:r>
      <w:r w:rsidRPr="00BD51BF">
        <w:rPr>
          <w:lang w:val="en-GB"/>
        </w:rPr>
        <w:t xml:space="preserve">newly diagnosed </w:t>
      </w:r>
      <w:r w:rsidRPr="00BD51BF">
        <w:rPr>
          <w:lang w:val="en-GB"/>
        </w:rPr>
        <w:t>glioblastoma</w:t>
      </w:r>
      <w:r w:rsidRPr="00BD51BF">
        <w:rPr>
          <w:lang w:val="en-GB"/>
        </w:rPr>
        <w:t>.</w:t>
      </w:r>
    </w:p>
    <w:p w14:paraId="7D7CE857" w14:textId="62F1DEE1" w:rsidR="0051236A" w:rsidRPr="00BD51BF" w:rsidRDefault="00041127" w:rsidP="00041127">
      <w:pPr>
        <w:rPr>
          <w:lang w:val="en-GB"/>
        </w:rPr>
      </w:pPr>
      <w:r w:rsidRPr="00BD51BF">
        <w:rPr>
          <w:lang w:val="en-GB"/>
        </w:rPr>
        <w:t xml:space="preserve">There will be no pre-specified </w:t>
      </w:r>
      <w:r w:rsidRPr="00BD51BF">
        <w:rPr>
          <w:lang w:val="en-GB"/>
        </w:rPr>
        <w:t>estimands</w:t>
      </w:r>
      <w:r w:rsidRPr="00BD51BF">
        <w:rPr>
          <w:lang w:val="en-GB"/>
        </w:rPr>
        <w:t xml:space="preserve"> for</w:t>
      </w:r>
      <w:r w:rsidRPr="00BD51BF">
        <w:rPr>
          <w:lang w:val="en-GB"/>
        </w:rPr>
        <w:t xml:space="preserve"> </w:t>
      </w:r>
      <w:r w:rsidRPr="00BD51BF">
        <w:rPr>
          <w:lang w:val="en-GB"/>
        </w:rPr>
        <w:t>this objective. The objective will be</w:t>
      </w:r>
      <w:r w:rsidRPr="00BD51BF">
        <w:rPr>
          <w:lang w:val="en-GB"/>
        </w:rPr>
        <w:t xml:space="preserve"> </w:t>
      </w:r>
      <w:r w:rsidRPr="00BD51BF">
        <w:rPr>
          <w:lang w:val="en-GB"/>
        </w:rPr>
        <w:t>explored using a wide variety of methods</w:t>
      </w:r>
      <w:r w:rsidRPr="00BD51BF">
        <w:rPr>
          <w:lang w:val="en-GB"/>
        </w:rPr>
        <w:t xml:space="preserve"> and approaches.</w:t>
      </w:r>
    </w:p>
    <w:p w14:paraId="64053971" w14:textId="77777777" w:rsidR="00041127" w:rsidRPr="00BD51BF" w:rsidRDefault="00041127" w:rsidP="00C02E5C">
      <w:pPr>
        <w:rPr>
          <w:lang w:val="en-GB"/>
        </w:rPr>
      </w:pPr>
    </w:p>
    <w:p w14:paraId="0376EE53" w14:textId="3FFAB958" w:rsidR="00EA3E2B" w:rsidRPr="00BD51BF" w:rsidRDefault="00EA3E2B" w:rsidP="00EA3E2B">
      <w:pPr>
        <w:pStyle w:val="Heading2"/>
        <w:rPr>
          <w:lang w:val="en-GB"/>
        </w:rPr>
      </w:pPr>
      <w:bookmarkStart w:id="37" w:name="_Toc521400464"/>
      <w:bookmarkStart w:id="38" w:name="_Toc518655971"/>
      <w:bookmarkStart w:id="39" w:name="_Toc518466157"/>
      <w:bookmarkStart w:id="40" w:name="_Toc497118780"/>
      <w:bookmarkStart w:id="41" w:name="_Toc477961594"/>
      <w:bookmarkStart w:id="42" w:name="_Toc421709234"/>
      <w:bookmarkStart w:id="43" w:name="_Toc395881609"/>
      <w:bookmarkStart w:id="44" w:name="_Toc267565136"/>
      <w:bookmarkStart w:id="45" w:name="_Ref45607259"/>
      <w:bookmarkStart w:id="46" w:name="_Toc154052361"/>
      <w:r w:rsidRPr="00BD51BF">
        <w:rPr>
          <w:lang w:val="en-GB"/>
        </w:rPr>
        <w:t>Study Design</w:t>
      </w:r>
      <w:bookmarkEnd w:id="37"/>
      <w:bookmarkEnd w:id="38"/>
      <w:bookmarkEnd w:id="39"/>
      <w:bookmarkEnd w:id="40"/>
      <w:bookmarkEnd w:id="41"/>
      <w:bookmarkEnd w:id="42"/>
      <w:bookmarkEnd w:id="43"/>
      <w:bookmarkEnd w:id="44"/>
      <w:bookmarkEnd w:id="45"/>
      <w:bookmarkEnd w:id="46"/>
    </w:p>
    <w:p w14:paraId="1B461D21" w14:textId="4B89C71B" w:rsidR="00BC750E" w:rsidRPr="00BD51BF" w:rsidRDefault="00BC750E" w:rsidP="00BC750E">
      <w:pPr>
        <w:rPr>
          <w:lang w:val="en-GB"/>
        </w:rPr>
      </w:pPr>
      <w:r w:rsidRPr="00BD51BF">
        <w:rPr>
          <w:lang w:val="en-GB"/>
        </w:rPr>
        <w:t>This part of t</w:t>
      </w:r>
      <w:r w:rsidRPr="00BD51BF">
        <w:rPr>
          <w:lang w:val="en-GB"/>
        </w:rPr>
        <w:t>he ImPRESS study is a</w:t>
      </w:r>
      <w:r w:rsidRPr="00BD51BF">
        <w:rPr>
          <w:lang w:val="en-GB"/>
        </w:rPr>
        <w:t xml:space="preserve"> phase 2 exploratory, </w:t>
      </w:r>
      <w:r w:rsidRPr="00BD51BF">
        <w:rPr>
          <w:lang w:val="en-GB"/>
        </w:rPr>
        <w:t xml:space="preserve">open-label, blinded assessor, single center, multi-dose individual-randomized stepped-wedge trial on </w:t>
      </w:r>
      <w:r w:rsidRPr="00BD51BF">
        <w:rPr>
          <w:lang w:val="en-GB"/>
        </w:rPr>
        <w:t xml:space="preserve">patients with newly diagnosed glioblastoma. </w:t>
      </w:r>
      <w:r w:rsidRPr="00BD51BF">
        <w:rPr>
          <w:lang w:val="en-GB"/>
        </w:rPr>
        <w:t xml:space="preserve"> </w:t>
      </w:r>
    </w:p>
    <w:p w14:paraId="12B2A759" w14:textId="285E26E1" w:rsidR="00BC750E" w:rsidRPr="00BD51BF" w:rsidRDefault="00BC750E" w:rsidP="00BC750E">
      <w:pPr>
        <w:rPr>
          <w:lang w:val="en-GB" w:eastAsia="ja-JP"/>
        </w:rPr>
      </w:pPr>
      <w:r w:rsidRPr="00BD51BF">
        <w:rPr>
          <w:lang w:val="en-GB" w:eastAsia="ja-JP"/>
        </w:rPr>
        <w:t xml:space="preserve">The randomised treatment allocation will follow a prespecified randomised scheme according to the stepped wedge design. </w:t>
      </w:r>
      <w:r w:rsidRPr="00BD51BF">
        <w:rPr>
          <w:lang w:val="en-GB" w:eastAsia="ja-JP"/>
        </w:rPr>
        <w:t>To assess any long-term beneficial effects of the IMP, some patients will receive the IMP for a longer period. P</w:t>
      </w:r>
      <w:r w:rsidRPr="00BD51BF">
        <w:rPr>
          <w:lang w:val="en-GB" w:eastAsia="ja-JP"/>
        </w:rPr>
        <w:t>articipants</w:t>
      </w:r>
      <w:r w:rsidRPr="00BD51BF">
        <w:rPr>
          <w:lang w:val="en-GB" w:eastAsia="ja-JP"/>
        </w:rPr>
        <w:t xml:space="preserve"> in groups AN3_1, AN3_2 and AN 3</w:t>
      </w:r>
      <w:r w:rsidRPr="00BD51BF">
        <w:rPr>
          <w:lang w:val="en-GB" w:eastAsia="ja-JP"/>
        </w:rPr>
        <w:t>_</w:t>
      </w:r>
      <w:r w:rsidRPr="00BD51BF">
        <w:rPr>
          <w:lang w:val="en-GB" w:eastAsia="ja-JP"/>
        </w:rPr>
        <w:t>3 will all receive extended IMP treatment, whereas patients in groups AN1_1, AN1_2, AN1_3, AN2_4, AN2_5 and AN2_6 will be randomized to short or extended treatment with the IMP. This leads to a distribution with 1/3 of patients with no extended IMP treatment, 1/3 extended lower doses of IMP (1/6 25 mg and 1/6 50 mg), and 1/3 extended high dose of IMP.</w:t>
      </w:r>
      <w:r w:rsidRPr="00BD51BF">
        <w:rPr>
          <w:lang w:val="en-GB" w:eastAsia="ja-JP"/>
        </w:rPr>
        <w:t xml:space="preserve"> The treatment scheme is presented in .</w:t>
      </w:r>
    </w:p>
    <w:p w14:paraId="671C18C6" w14:textId="77777777" w:rsidR="00BC750E" w:rsidRPr="00BD51BF" w:rsidRDefault="00BC750E" w:rsidP="00BC750E">
      <w:pPr>
        <w:rPr>
          <w:lang w:val="en-GB" w:eastAsia="ja-JP"/>
        </w:rPr>
      </w:pPr>
    </w:p>
    <w:tbl>
      <w:tblPr>
        <w:tblW w:w="9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8"/>
        <w:gridCol w:w="1140"/>
        <w:gridCol w:w="1140"/>
        <w:gridCol w:w="1254"/>
        <w:gridCol w:w="1254"/>
        <w:gridCol w:w="1254"/>
        <w:gridCol w:w="1254"/>
        <w:gridCol w:w="1254"/>
      </w:tblGrid>
      <w:tr w:rsidR="00BC750E" w:rsidRPr="00BD51BF" w14:paraId="3A52264A" w14:textId="77777777" w:rsidTr="00BC750E">
        <w:trPr>
          <w:trHeight w:val="285"/>
        </w:trPr>
        <w:tc>
          <w:tcPr>
            <w:tcW w:w="1198" w:type="dxa"/>
            <w:noWrap/>
            <w:vAlign w:val="bottom"/>
            <w:hideMark/>
          </w:tcPr>
          <w:p w14:paraId="543EC223"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lastRenderedPageBreak/>
              <w:t>Group</w:t>
            </w:r>
          </w:p>
        </w:tc>
        <w:tc>
          <w:tcPr>
            <w:tcW w:w="1140" w:type="dxa"/>
            <w:noWrap/>
            <w:vAlign w:val="bottom"/>
            <w:hideMark/>
          </w:tcPr>
          <w:p w14:paraId="06AA9EFF"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IMP dose</w:t>
            </w:r>
          </w:p>
        </w:tc>
        <w:tc>
          <w:tcPr>
            <w:tcW w:w="1140" w:type="dxa"/>
            <w:noWrap/>
            <w:vAlign w:val="bottom"/>
            <w:hideMark/>
          </w:tcPr>
          <w:p w14:paraId="5AA24DCA"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Baseline</w:t>
            </w:r>
          </w:p>
        </w:tc>
        <w:tc>
          <w:tcPr>
            <w:tcW w:w="1254" w:type="dxa"/>
            <w:noWrap/>
            <w:vAlign w:val="bottom"/>
            <w:hideMark/>
          </w:tcPr>
          <w:p w14:paraId="1F8F1E38"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Days 1 to 14</w:t>
            </w:r>
          </w:p>
        </w:tc>
        <w:tc>
          <w:tcPr>
            <w:tcW w:w="1254" w:type="dxa"/>
            <w:noWrap/>
            <w:vAlign w:val="bottom"/>
            <w:hideMark/>
          </w:tcPr>
          <w:p w14:paraId="50870A08"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 xml:space="preserve">Days 15 </w:t>
            </w:r>
            <w:r w:rsidRPr="00BD51BF">
              <w:rPr>
                <w:rFonts w:cs="Calibri"/>
                <w:b/>
                <w:bCs/>
                <w:color w:val="000000"/>
                <w:szCs w:val="22"/>
                <w:lang w:val="en-GB"/>
              </w:rPr>
              <w:br/>
              <w:t>to 28</w:t>
            </w:r>
          </w:p>
        </w:tc>
        <w:tc>
          <w:tcPr>
            <w:tcW w:w="1254" w:type="dxa"/>
            <w:noWrap/>
            <w:vAlign w:val="bottom"/>
            <w:hideMark/>
          </w:tcPr>
          <w:p w14:paraId="6798BDE1"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Days 29 to 44</w:t>
            </w:r>
          </w:p>
        </w:tc>
        <w:tc>
          <w:tcPr>
            <w:tcW w:w="1254" w:type="dxa"/>
            <w:noWrap/>
            <w:vAlign w:val="bottom"/>
            <w:hideMark/>
          </w:tcPr>
          <w:p w14:paraId="69B94CEF" w14:textId="6D07570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 xml:space="preserve">Days 45 </w:t>
            </w:r>
            <w:r w:rsidRPr="00BD51BF">
              <w:rPr>
                <w:rFonts w:cs="Calibri"/>
                <w:b/>
                <w:bCs/>
                <w:color w:val="000000"/>
                <w:szCs w:val="22"/>
                <w:lang w:val="en-GB"/>
              </w:rPr>
              <w:br/>
              <w:t>to 238</w:t>
            </w:r>
          </w:p>
        </w:tc>
        <w:tc>
          <w:tcPr>
            <w:tcW w:w="1254" w:type="dxa"/>
            <w:vAlign w:val="bottom"/>
          </w:tcPr>
          <w:p w14:paraId="04C951C2"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Days &gt; 238</w:t>
            </w:r>
          </w:p>
        </w:tc>
      </w:tr>
      <w:tr w:rsidR="00BC750E" w:rsidRPr="00BD51BF" w14:paraId="095691C6" w14:textId="77777777" w:rsidTr="00BC750E">
        <w:trPr>
          <w:trHeight w:val="285"/>
        </w:trPr>
        <w:tc>
          <w:tcPr>
            <w:tcW w:w="1198" w:type="dxa"/>
            <w:noWrap/>
            <w:vAlign w:val="bottom"/>
          </w:tcPr>
          <w:p w14:paraId="7C93C22A"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AN1_1</w:t>
            </w:r>
          </w:p>
        </w:tc>
        <w:tc>
          <w:tcPr>
            <w:tcW w:w="1140" w:type="dxa"/>
            <w:noWrap/>
            <w:vAlign w:val="bottom"/>
            <w:hideMark/>
          </w:tcPr>
          <w:p w14:paraId="4B8CCAEE"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25 mg</w:t>
            </w:r>
          </w:p>
        </w:tc>
        <w:tc>
          <w:tcPr>
            <w:tcW w:w="1140" w:type="dxa"/>
            <w:shd w:val="clear" w:color="000000" w:fill="DBDBDB"/>
            <w:noWrap/>
            <w:vAlign w:val="bottom"/>
            <w:hideMark/>
          </w:tcPr>
          <w:p w14:paraId="7351E818"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 </w:t>
            </w:r>
          </w:p>
        </w:tc>
        <w:tc>
          <w:tcPr>
            <w:tcW w:w="1254" w:type="dxa"/>
            <w:shd w:val="clear" w:color="000000" w:fill="92D050"/>
            <w:noWrap/>
            <w:vAlign w:val="bottom"/>
            <w:hideMark/>
          </w:tcPr>
          <w:p w14:paraId="2841E68B"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033625B6"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4F5167F8"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DBDBDB"/>
            <w:noWrap/>
            <w:vAlign w:val="bottom"/>
            <w:hideMark/>
          </w:tcPr>
          <w:p w14:paraId="010E7F6C" w14:textId="4DA2A7BF" w:rsidR="00BC750E" w:rsidRPr="00BD51BF" w:rsidRDefault="00BC750E" w:rsidP="00652A4E">
            <w:pPr>
              <w:rPr>
                <w:rFonts w:cs="Calibri"/>
                <w:szCs w:val="22"/>
                <w:lang w:val="en-GB"/>
              </w:rPr>
            </w:pPr>
            <w:r w:rsidRPr="00BD51BF">
              <w:rPr>
                <w:rFonts w:cs="Calibri"/>
                <w:noProof/>
                <w:szCs w:val="22"/>
                <w:lang w:val="en-GB" w:eastAsia="nb-NO"/>
              </w:rPr>
              <mc:AlternateContent>
                <mc:Choice Requires="wps">
                  <w:drawing>
                    <wp:anchor distT="0" distB="0" distL="114300" distR="114300" simplePos="0" relativeHeight="251659264" behindDoc="0" locked="0" layoutInCell="1" allowOverlap="1" wp14:anchorId="3F16D1F6" wp14:editId="6B929D59">
                      <wp:simplePos x="0" y="0"/>
                      <wp:positionH relativeFrom="column">
                        <wp:posOffset>-57785</wp:posOffset>
                      </wp:positionH>
                      <wp:positionV relativeFrom="paragraph">
                        <wp:posOffset>6350</wp:posOffset>
                      </wp:positionV>
                      <wp:extent cx="770890" cy="252730"/>
                      <wp:effectExtent l="0" t="0" r="3810" b="1270"/>
                      <wp:wrapNone/>
                      <wp:docPr id="23" name="Rettvinklet trekant 23"/>
                      <wp:cNvGraphicFramePr/>
                      <a:graphic xmlns:a="http://schemas.openxmlformats.org/drawingml/2006/main">
                        <a:graphicData uri="http://schemas.microsoft.com/office/word/2010/wordprocessingShape">
                          <wps:wsp>
                            <wps:cNvSpPr/>
                            <wps:spPr>
                              <a:xfrm>
                                <a:off x="0" y="0"/>
                                <a:ext cx="770890" cy="252730"/>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BB3CE1" id="_x0000_t6" coordsize="21600,21600" o:spt="6" path="m,l,21600r21600,xe">
                      <v:stroke joinstyle="miter"/>
                      <v:path gradientshapeok="t" o:connecttype="custom" o:connectlocs="0,0;0,10800;0,21600;10800,21600;21600,21600;10800,10800" textboxrect="1800,12600,12600,19800"/>
                    </v:shapetype>
                    <v:shape id="Rettvinklet trekant 23" o:spid="_x0000_s1026" type="#_x0000_t6" style="position:absolute;margin-left:-4.55pt;margin-top:.5pt;width:60.7pt;height:1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" fillcolor="#76923c [2406]" stroked="f" strokeweight="2pt"/>
                  </w:pict>
                </mc:Fallback>
              </mc:AlternateContent>
            </w:r>
            <w:r w:rsidRPr="00BD51BF">
              <w:rPr>
                <w:rFonts w:cs="Calibri"/>
                <w:szCs w:val="22"/>
                <w:lang w:val="en-GB"/>
              </w:rPr>
              <w:t> </w:t>
            </w:r>
          </w:p>
        </w:tc>
        <w:tc>
          <w:tcPr>
            <w:tcW w:w="1254" w:type="dxa"/>
            <w:shd w:val="clear" w:color="auto" w:fill="D9D9D9" w:themeFill="background1" w:themeFillShade="D9"/>
          </w:tcPr>
          <w:p w14:paraId="243B130D" w14:textId="77777777" w:rsidR="00BC750E" w:rsidRPr="00BD51BF" w:rsidRDefault="00BC750E" w:rsidP="00652A4E">
            <w:pPr>
              <w:rPr>
                <w:rFonts w:cs="Calibri"/>
                <w:szCs w:val="22"/>
                <w:lang w:val="en-GB"/>
              </w:rPr>
            </w:pPr>
          </w:p>
        </w:tc>
      </w:tr>
      <w:tr w:rsidR="00BC750E" w:rsidRPr="00BD51BF" w14:paraId="5846719F" w14:textId="77777777" w:rsidTr="00BC750E">
        <w:trPr>
          <w:trHeight w:val="285"/>
        </w:trPr>
        <w:tc>
          <w:tcPr>
            <w:tcW w:w="1198" w:type="dxa"/>
            <w:noWrap/>
            <w:vAlign w:val="bottom"/>
          </w:tcPr>
          <w:p w14:paraId="592312D0"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AN1_2</w:t>
            </w:r>
          </w:p>
        </w:tc>
        <w:tc>
          <w:tcPr>
            <w:tcW w:w="1140" w:type="dxa"/>
            <w:noWrap/>
            <w:vAlign w:val="bottom"/>
            <w:hideMark/>
          </w:tcPr>
          <w:p w14:paraId="31958866"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25 mg</w:t>
            </w:r>
          </w:p>
        </w:tc>
        <w:tc>
          <w:tcPr>
            <w:tcW w:w="1140" w:type="dxa"/>
            <w:shd w:val="clear" w:color="000000" w:fill="DBDBDB"/>
            <w:noWrap/>
            <w:vAlign w:val="bottom"/>
            <w:hideMark/>
          </w:tcPr>
          <w:p w14:paraId="509E7038"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 </w:t>
            </w:r>
          </w:p>
        </w:tc>
        <w:tc>
          <w:tcPr>
            <w:tcW w:w="1254" w:type="dxa"/>
            <w:shd w:val="clear" w:color="000000" w:fill="DBDBDB"/>
            <w:noWrap/>
            <w:vAlign w:val="bottom"/>
            <w:hideMark/>
          </w:tcPr>
          <w:p w14:paraId="6943F2E7"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6ECA6A99"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666851E3"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DBDBDB"/>
            <w:noWrap/>
            <w:vAlign w:val="bottom"/>
            <w:hideMark/>
          </w:tcPr>
          <w:p w14:paraId="4B1A574B" w14:textId="04CA8B93" w:rsidR="00BC750E" w:rsidRPr="00BD51BF" w:rsidRDefault="00BC750E" w:rsidP="00652A4E">
            <w:pPr>
              <w:rPr>
                <w:rFonts w:cs="Calibri"/>
                <w:szCs w:val="22"/>
                <w:lang w:val="en-GB"/>
              </w:rPr>
            </w:pPr>
            <w:r w:rsidRPr="00BD51BF">
              <w:rPr>
                <w:rFonts w:cs="Calibri"/>
                <w:noProof/>
                <w:szCs w:val="22"/>
                <w:lang w:val="en-GB" w:eastAsia="nb-NO"/>
              </w:rPr>
              <mc:AlternateContent>
                <mc:Choice Requires="wps">
                  <w:drawing>
                    <wp:anchor distT="0" distB="0" distL="114300" distR="114300" simplePos="0" relativeHeight="251660288" behindDoc="0" locked="0" layoutInCell="1" allowOverlap="1" wp14:anchorId="2A71BA5D" wp14:editId="5D80852F">
                      <wp:simplePos x="0" y="0"/>
                      <wp:positionH relativeFrom="column">
                        <wp:posOffset>-60325</wp:posOffset>
                      </wp:positionH>
                      <wp:positionV relativeFrom="paragraph">
                        <wp:posOffset>19050</wp:posOffset>
                      </wp:positionV>
                      <wp:extent cx="770890" cy="206375"/>
                      <wp:effectExtent l="0" t="0" r="0" b="3175"/>
                      <wp:wrapNone/>
                      <wp:docPr id="24" name="Rettvinklet trekant 24"/>
                      <wp:cNvGraphicFramePr/>
                      <a:graphic xmlns:a="http://schemas.openxmlformats.org/drawingml/2006/main">
                        <a:graphicData uri="http://schemas.microsoft.com/office/word/2010/wordprocessingShape">
                          <wps:wsp>
                            <wps:cNvSpPr/>
                            <wps:spPr>
                              <a:xfrm>
                                <a:off x="0" y="0"/>
                                <a:ext cx="770890" cy="206375"/>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3D2115" id="Rettvinklet trekant 24" o:spid="_x0000_s1026" type="#_x0000_t6" style="position:absolute;margin-left:-4.75pt;margin-top:1.5pt;width:60.7pt;height:1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" fillcolor="#76923c [2406]" stroked="f" strokeweight="2pt"/>
                  </w:pict>
                </mc:Fallback>
              </mc:AlternateContent>
            </w:r>
            <w:r w:rsidRPr="00BD51BF">
              <w:rPr>
                <w:rFonts w:cs="Calibri"/>
                <w:szCs w:val="22"/>
                <w:lang w:val="en-GB"/>
              </w:rPr>
              <w:t> </w:t>
            </w:r>
          </w:p>
        </w:tc>
        <w:tc>
          <w:tcPr>
            <w:tcW w:w="1254" w:type="dxa"/>
            <w:shd w:val="clear" w:color="auto" w:fill="D9D9D9" w:themeFill="background1" w:themeFillShade="D9"/>
          </w:tcPr>
          <w:p w14:paraId="4C93AC51" w14:textId="77777777" w:rsidR="00BC750E" w:rsidRPr="00BD51BF" w:rsidRDefault="00BC750E" w:rsidP="00652A4E">
            <w:pPr>
              <w:rPr>
                <w:rFonts w:cs="Calibri"/>
                <w:szCs w:val="22"/>
                <w:lang w:val="en-GB"/>
              </w:rPr>
            </w:pPr>
          </w:p>
        </w:tc>
      </w:tr>
      <w:tr w:rsidR="00BC750E" w:rsidRPr="00BD51BF" w14:paraId="2A8149C2" w14:textId="77777777" w:rsidTr="00BC750E">
        <w:trPr>
          <w:trHeight w:val="285"/>
        </w:trPr>
        <w:tc>
          <w:tcPr>
            <w:tcW w:w="1198" w:type="dxa"/>
            <w:noWrap/>
            <w:vAlign w:val="bottom"/>
          </w:tcPr>
          <w:p w14:paraId="2181C492"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AN1_3</w:t>
            </w:r>
          </w:p>
        </w:tc>
        <w:tc>
          <w:tcPr>
            <w:tcW w:w="1140" w:type="dxa"/>
            <w:noWrap/>
            <w:vAlign w:val="bottom"/>
            <w:hideMark/>
          </w:tcPr>
          <w:p w14:paraId="0A5EC66C"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25 mg</w:t>
            </w:r>
          </w:p>
        </w:tc>
        <w:tc>
          <w:tcPr>
            <w:tcW w:w="1140" w:type="dxa"/>
            <w:shd w:val="clear" w:color="000000" w:fill="DBDBDB"/>
            <w:noWrap/>
            <w:vAlign w:val="bottom"/>
            <w:hideMark/>
          </w:tcPr>
          <w:p w14:paraId="70EEC53E"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 </w:t>
            </w:r>
          </w:p>
        </w:tc>
        <w:tc>
          <w:tcPr>
            <w:tcW w:w="1254" w:type="dxa"/>
            <w:shd w:val="clear" w:color="000000" w:fill="DBDBDB"/>
            <w:noWrap/>
            <w:vAlign w:val="bottom"/>
            <w:hideMark/>
          </w:tcPr>
          <w:p w14:paraId="1311DB94"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DBDBDB"/>
            <w:noWrap/>
            <w:vAlign w:val="bottom"/>
            <w:hideMark/>
          </w:tcPr>
          <w:p w14:paraId="2F218094"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334E7001"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DBDBDB"/>
            <w:noWrap/>
            <w:vAlign w:val="bottom"/>
            <w:hideMark/>
          </w:tcPr>
          <w:p w14:paraId="632B9FB7" w14:textId="2E543B08" w:rsidR="00BC750E" w:rsidRPr="00BD51BF" w:rsidRDefault="00BC750E" w:rsidP="00652A4E">
            <w:pPr>
              <w:rPr>
                <w:rFonts w:cs="Calibri"/>
                <w:szCs w:val="22"/>
                <w:lang w:val="en-GB"/>
              </w:rPr>
            </w:pPr>
            <w:r w:rsidRPr="00BD51BF">
              <w:rPr>
                <w:rFonts w:cs="Calibri"/>
                <w:noProof/>
                <w:szCs w:val="22"/>
                <w:lang w:val="en-GB" w:eastAsia="nb-NO"/>
              </w:rPr>
              <mc:AlternateContent>
                <mc:Choice Requires="wps">
                  <w:drawing>
                    <wp:anchor distT="0" distB="0" distL="114300" distR="114300" simplePos="0" relativeHeight="251661312" behindDoc="0" locked="0" layoutInCell="1" allowOverlap="1" wp14:anchorId="528A49C8" wp14:editId="69662B5E">
                      <wp:simplePos x="0" y="0"/>
                      <wp:positionH relativeFrom="column">
                        <wp:posOffset>-52705</wp:posOffset>
                      </wp:positionH>
                      <wp:positionV relativeFrom="paragraph">
                        <wp:posOffset>2540</wp:posOffset>
                      </wp:positionV>
                      <wp:extent cx="770890" cy="236855"/>
                      <wp:effectExtent l="0" t="0" r="3810" b="4445"/>
                      <wp:wrapNone/>
                      <wp:docPr id="25" name="Rettvinklet trekant 25"/>
                      <wp:cNvGraphicFramePr/>
                      <a:graphic xmlns:a="http://schemas.openxmlformats.org/drawingml/2006/main">
                        <a:graphicData uri="http://schemas.microsoft.com/office/word/2010/wordprocessingShape">
                          <wps:wsp>
                            <wps:cNvSpPr/>
                            <wps:spPr>
                              <a:xfrm>
                                <a:off x="0" y="0"/>
                                <a:ext cx="770890" cy="236855"/>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E67BEF" id="Rettvinklet trekant 25" o:spid="_x0000_s1026" type="#_x0000_t6" style="position:absolute;margin-left:-4.15pt;margin-top:.2pt;width:60.7pt;height:18.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" fillcolor="#76923c [2406]" stroked="f" strokeweight="2pt"/>
                  </w:pict>
                </mc:Fallback>
              </mc:AlternateContent>
            </w:r>
            <w:r w:rsidRPr="00BD51BF">
              <w:rPr>
                <w:rFonts w:cs="Calibri"/>
                <w:szCs w:val="22"/>
                <w:lang w:val="en-GB"/>
              </w:rPr>
              <w:t> </w:t>
            </w:r>
          </w:p>
        </w:tc>
        <w:tc>
          <w:tcPr>
            <w:tcW w:w="1254" w:type="dxa"/>
            <w:shd w:val="clear" w:color="auto" w:fill="D9D9D9" w:themeFill="background1" w:themeFillShade="D9"/>
          </w:tcPr>
          <w:p w14:paraId="1B9B2904" w14:textId="77777777" w:rsidR="00BC750E" w:rsidRPr="00BD51BF" w:rsidRDefault="00BC750E" w:rsidP="00652A4E">
            <w:pPr>
              <w:rPr>
                <w:rFonts w:cs="Calibri"/>
                <w:szCs w:val="22"/>
                <w:lang w:val="en-GB"/>
              </w:rPr>
            </w:pPr>
          </w:p>
        </w:tc>
      </w:tr>
      <w:tr w:rsidR="00BC750E" w:rsidRPr="00BD51BF" w14:paraId="3A1F3351" w14:textId="77777777" w:rsidTr="00BC750E">
        <w:trPr>
          <w:trHeight w:val="285"/>
        </w:trPr>
        <w:tc>
          <w:tcPr>
            <w:tcW w:w="1198" w:type="dxa"/>
            <w:noWrap/>
            <w:vAlign w:val="bottom"/>
          </w:tcPr>
          <w:p w14:paraId="3CF76002"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AN2_4</w:t>
            </w:r>
          </w:p>
        </w:tc>
        <w:tc>
          <w:tcPr>
            <w:tcW w:w="1140" w:type="dxa"/>
            <w:noWrap/>
            <w:vAlign w:val="bottom"/>
            <w:hideMark/>
          </w:tcPr>
          <w:p w14:paraId="792AFFF8"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50 mg</w:t>
            </w:r>
          </w:p>
        </w:tc>
        <w:tc>
          <w:tcPr>
            <w:tcW w:w="1140" w:type="dxa"/>
            <w:shd w:val="clear" w:color="000000" w:fill="DBDBDB"/>
            <w:noWrap/>
            <w:vAlign w:val="bottom"/>
            <w:hideMark/>
          </w:tcPr>
          <w:p w14:paraId="01AAC5BC"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 </w:t>
            </w:r>
          </w:p>
        </w:tc>
        <w:tc>
          <w:tcPr>
            <w:tcW w:w="1254" w:type="dxa"/>
            <w:shd w:val="clear" w:color="000000" w:fill="92D050"/>
            <w:noWrap/>
            <w:vAlign w:val="bottom"/>
            <w:hideMark/>
          </w:tcPr>
          <w:p w14:paraId="0F705B59"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646D1297"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476F109C"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auto" w:fill="D9D9D9" w:themeFill="background1" w:themeFillShade="D9"/>
            <w:noWrap/>
            <w:vAlign w:val="bottom"/>
            <w:hideMark/>
          </w:tcPr>
          <w:p w14:paraId="0ADCFDC7" w14:textId="111A0591" w:rsidR="00BC750E" w:rsidRPr="00BD51BF" w:rsidRDefault="00BC750E" w:rsidP="00652A4E">
            <w:pPr>
              <w:rPr>
                <w:rFonts w:cs="Calibri"/>
                <w:szCs w:val="22"/>
                <w:lang w:val="en-GB"/>
              </w:rPr>
            </w:pPr>
            <w:r w:rsidRPr="00BD51BF">
              <w:rPr>
                <w:rFonts w:cs="Calibri"/>
                <w:noProof/>
                <w:szCs w:val="22"/>
                <w:lang w:val="en-GB" w:eastAsia="nb-NO"/>
              </w:rPr>
              <mc:AlternateContent>
                <mc:Choice Requires="wps">
                  <w:drawing>
                    <wp:anchor distT="0" distB="0" distL="114300" distR="114300" simplePos="0" relativeHeight="251662336" behindDoc="0" locked="0" layoutInCell="1" allowOverlap="1" wp14:anchorId="7A000113" wp14:editId="3576206F">
                      <wp:simplePos x="0" y="0"/>
                      <wp:positionH relativeFrom="column">
                        <wp:posOffset>-47625</wp:posOffset>
                      </wp:positionH>
                      <wp:positionV relativeFrom="paragraph">
                        <wp:posOffset>-31115</wp:posOffset>
                      </wp:positionV>
                      <wp:extent cx="770890" cy="295275"/>
                      <wp:effectExtent l="0" t="0" r="3810" b="0"/>
                      <wp:wrapNone/>
                      <wp:docPr id="26" name="Rettvinklet trekant 26"/>
                      <wp:cNvGraphicFramePr/>
                      <a:graphic xmlns:a="http://schemas.openxmlformats.org/drawingml/2006/main">
                        <a:graphicData uri="http://schemas.microsoft.com/office/word/2010/wordprocessingShape">
                          <wps:wsp>
                            <wps:cNvSpPr/>
                            <wps:spPr>
                              <a:xfrm>
                                <a:off x="0" y="0"/>
                                <a:ext cx="770890" cy="295275"/>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06DB61" id="Rettvinklet trekant 26" o:spid="_x0000_s1026" type="#_x0000_t6" style="position:absolute;margin-left:-3.75pt;margin-top:-2.45pt;width:60.7pt;height:2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" fillcolor="#76923c [2406]" stroked="f" strokeweight="2pt"/>
                  </w:pict>
                </mc:Fallback>
              </mc:AlternateContent>
            </w:r>
            <w:r w:rsidRPr="00BD51BF">
              <w:rPr>
                <w:rFonts w:cs="Calibri"/>
                <w:szCs w:val="22"/>
                <w:lang w:val="en-GB"/>
              </w:rPr>
              <w:t> </w:t>
            </w:r>
          </w:p>
        </w:tc>
        <w:tc>
          <w:tcPr>
            <w:tcW w:w="1254" w:type="dxa"/>
            <w:shd w:val="clear" w:color="auto" w:fill="D9D9D9" w:themeFill="background1" w:themeFillShade="D9"/>
          </w:tcPr>
          <w:p w14:paraId="5B006B3F" w14:textId="77777777" w:rsidR="00BC750E" w:rsidRPr="00BD51BF" w:rsidRDefault="00BC750E" w:rsidP="00652A4E">
            <w:pPr>
              <w:rPr>
                <w:rFonts w:cs="Calibri"/>
                <w:szCs w:val="22"/>
                <w:lang w:val="en-GB"/>
              </w:rPr>
            </w:pPr>
          </w:p>
        </w:tc>
      </w:tr>
      <w:tr w:rsidR="00BC750E" w:rsidRPr="00BD51BF" w14:paraId="7E80616C" w14:textId="77777777" w:rsidTr="00BC750E">
        <w:trPr>
          <w:trHeight w:val="285"/>
        </w:trPr>
        <w:tc>
          <w:tcPr>
            <w:tcW w:w="1198" w:type="dxa"/>
            <w:noWrap/>
            <w:vAlign w:val="bottom"/>
          </w:tcPr>
          <w:p w14:paraId="5A0085B0"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AN2_5</w:t>
            </w:r>
          </w:p>
        </w:tc>
        <w:tc>
          <w:tcPr>
            <w:tcW w:w="1140" w:type="dxa"/>
            <w:noWrap/>
            <w:vAlign w:val="bottom"/>
            <w:hideMark/>
          </w:tcPr>
          <w:p w14:paraId="611593EB"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50 mg</w:t>
            </w:r>
          </w:p>
        </w:tc>
        <w:tc>
          <w:tcPr>
            <w:tcW w:w="1140" w:type="dxa"/>
            <w:shd w:val="clear" w:color="000000" w:fill="DBDBDB"/>
            <w:noWrap/>
            <w:vAlign w:val="bottom"/>
            <w:hideMark/>
          </w:tcPr>
          <w:p w14:paraId="13D87631"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 </w:t>
            </w:r>
          </w:p>
        </w:tc>
        <w:tc>
          <w:tcPr>
            <w:tcW w:w="1254" w:type="dxa"/>
            <w:shd w:val="clear" w:color="000000" w:fill="DBDBDB"/>
            <w:noWrap/>
            <w:vAlign w:val="bottom"/>
            <w:hideMark/>
          </w:tcPr>
          <w:p w14:paraId="723AE4C7"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5867A239"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1AC74F2F"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auto" w:fill="D9D9D9" w:themeFill="background1" w:themeFillShade="D9"/>
            <w:noWrap/>
            <w:vAlign w:val="bottom"/>
            <w:hideMark/>
          </w:tcPr>
          <w:p w14:paraId="6B3575D2" w14:textId="6D901B7A" w:rsidR="00BC750E" w:rsidRPr="00BD51BF" w:rsidRDefault="00BC750E" w:rsidP="00652A4E">
            <w:pPr>
              <w:rPr>
                <w:rFonts w:cs="Calibri"/>
                <w:szCs w:val="22"/>
                <w:lang w:val="en-GB"/>
              </w:rPr>
            </w:pPr>
            <w:r w:rsidRPr="00BD51BF">
              <w:rPr>
                <w:rFonts w:cs="Calibri"/>
                <w:noProof/>
                <w:szCs w:val="22"/>
                <w:lang w:val="en-GB" w:eastAsia="nb-NO"/>
              </w:rPr>
              <mc:AlternateContent>
                <mc:Choice Requires="wps">
                  <w:drawing>
                    <wp:anchor distT="0" distB="0" distL="114300" distR="114300" simplePos="0" relativeHeight="251663360" behindDoc="0" locked="0" layoutInCell="1" allowOverlap="1" wp14:anchorId="32413596" wp14:editId="3350F801">
                      <wp:simplePos x="0" y="0"/>
                      <wp:positionH relativeFrom="column">
                        <wp:posOffset>-57785</wp:posOffset>
                      </wp:positionH>
                      <wp:positionV relativeFrom="paragraph">
                        <wp:posOffset>-26670</wp:posOffset>
                      </wp:positionV>
                      <wp:extent cx="770890" cy="267970"/>
                      <wp:effectExtent l="0" t="0" r="3810" b="0"/>
                      <wp:wrapNone/>
                      <wp:docPr id="27" name="Rettvinklet trekant 27"/>
                      <wp:cNvGraphicFramePr/>
                      <a:graphic xmlns:a="http://schemas.openxmlformats.org/drawingml/2006/main">
                        <a:graphicData uri="http://schemas.microsoft.com/office/word/2010/wordprocessingShape">
                          <wps:wsp>
                            <wps:cNvSpPr/>
                            <wps:spPr>
                              <a:xfrm>
                                <a:off x="0" y="0"/>
                                <a:ext cx="770890" cy="267970"/>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92896B" id="Rettvinklet trekant 27" o:spid="_x0000_s1026" type="#_x0000_t6" style="position:absolute;margin-left:-4.55pt;margin-top:-2.1pt;width:60.7pt;height:2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" fillcolor="#76923c [2406]" stroked="f" strokeweight="2pt"/>
                  </w:pict>
                </mc:Fallback>
              </mc:AlternateContent>
            </w:r>
            <w:r w:rsidRPr="00BD51BF">
              <w:rPr>
                <w:rFonts w:cs="Calibri"/>
                <w:szCs w:val="22"/>
                <w:lang w:val="en-GB"/>
              </w:rPr>
              <w:t> </w:t>
            </w:r>
          </w:p>
        </w:tc>
        <w:tc>
          <w:tcPr>
            <w:tcW w:w="1254" w:type="dxa"/>
            <w:shd w:val="clear" w:color="auto" w:fill="D9D9D9" w:themeFill="background1" w:themeFillShade="D9"/>
          </w:tcPr>
          <w:p w14:paraId="7CF5D885" w14:textId="77777777" w:rsidR="00BC750E" w:rsidRPr="00BD51BF" w:rsidRDefault="00BC750E" w:rsidP="00652A4E">
            <w:pPr>
              <w:rPr>
                <w:rFonts w:cs="Calibri"/>
                <w:szCs w:val="22"/>
                <w:lang w:val="en-GB"/>
              </w:rPr>
            </w:pPr>
          </w:p>
        </w:tc>
      </w:tr>
      <w:tr w:rsidR="00BC750E" w:rsidRPr="00BD51BF" w14:paraId="75309E02" w14:textId="77777777" w:rsidTr="00BC750E">
        <w:trPr>
          <w:trHeight w:val="285"/>
        </w:trPr>
        <w:tc>
          <w:tcPr>
            <w:tcW w:w="1198" w:type="dxa"/>
            <w:noWrap/>
            <w:vAlign w:val="bottom"/>
          </w:tcPr>
          <w:p w14:paraId="1E2656DC"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AN2_6</w:t>
            </w:r>
          </w:p>
        </w:tc>
        <w:tc>
          <w:tcPr>
            <w:tcW w:w="1140" w:type="dxa"/>
            <w:noWrap/>
            <w:vAlign w:val="bottom"/>
            <w:hideMark/>
          </w:tcPr>
          <w:p w14:paraId="3FDEFBAE"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50 mg</w:t>
            </w:r>
          </w:p>
        </w:tc>
        <w:tc>
          <w:tcPr>
            <w:tcW w:w="1140" w:type="dxa"/>
            <w:shd w:val="clear" w:color="000000" w:fill="DBDBDB"/>
            <w:noWrap/>
            <w:vAlign w:val="bottom"/>
            <w:hideMark/>
          </w:tcPr>
          <w:p w14:paraId="686A202B"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 </w:t>
            </w:r>
          </w:p>
        </w:tc>
        <w:tc>
          <w:tcPr>
            <w:tcW w:w="1254" w:type="dxa"/>
            <w:shd w:val="clear" w:color="000000" w:fill="DBDBDB"/>
            <w:noWrap/>
            <w:vAlign w:val="bottom"/>
            <w:hideMark/>
          </w:tcPr>
          <w:p w14:paraId="4A610948"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DBDBDB"/>
            <w:noWrap/>
            <w:vAlign w:val="bottom"/>
            <w:hideMark/>
          </w:tcPr>
          <w:p w14:paraId="07ADEC12"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36462B02"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auto" w:fill="D9D9D9" w:themeFill="background1" w:themeFillShade="D9"/>
            <w:noWrap/>
            <w:vAlign w:val="bottom"/>
            <w:hideMark/>
          </w:tcPr>
          <w:p w14:paraId="3CECB59B" w14:textId="77777777" w:rsidR="00BC750E" w:rsidRPr="00BD51BF" w:rsidRDefault="00BC750E" w:rsidP="00652A4E">
            <w:pPr>
              <w:rPr>
                <w:rFonts w:cs="Calibri"/>
                <w:szCs w:val="22"/>
                <w:lang w:val="en-GB"/>
              </w:rPr>
            </w:pPr>
            <w:r w:rsidRPr="00BD51BF">
              <w:rPr>
                <w:rFonts w:cs="Calibri"/>
                <w:noProof/>
                <w:szCs w:val="22"/>
                <w:lang w:val="en-GB" w:eastAsia="nb-NO"/>
              </w:rPr>
              <mc:AlternateContent>
                <mc:Choice Requires="wps">
                  <w:drawing>
                    <wp:anchor distT="0" distB="0" distL="114300" distR="114300" simplePos="0" relativeHeight="251664384" behindDoc="0" locked="0" layoutInCell="1" allowOverlap="1" wp14:anchorId="579E47DD" wp14:editId="21CCC46E">
                      <wp:simplePos x="0" y="0"/>
                      <wp:positionH relativeFrom="column">
                        <wp:posOffset>-56515</wp:posOffset>
                      </wp:positionH>
                      <wp:positionV relativeFrom="paragraph">
                        <wp:posOffset>-13970</wp:posOffset>
                      </wp:positionV>
                      <wp:extent cx="770890" cy="280035"/>
                      <wp:effectExtent l="0" t="0" r="3810" b="0"/>
                      <wp:wrapNone/>
                      <wp:docPr id="28" name="Rettvinklet trekant 28"/>
                      <wp:cNvGraphicFramePr/>
                      <a:graphic xmlns:a="http://schemas.openxmlformats.org/drawingml/2006/main">
                        <a:graphicData uri="http://schemas.microsoft.com/office/word/2010/wordprocessingShape">
                          <wps:wsp>
                            <wps:cNvSpPr/>
                            <wps:spPr>
                              <a:xfrm>
                                <a:off x="0" y="0"/>
                                <a:ext cx="770890" cy="280035"/>
                              </a:xfrm>
                              <a:prstGeom prst="rtTriangle">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2163A1" id="Rettvinklet trekant 28" o:spid="_x0000_s1026" type="#_x0000_t6" style="position:absolute;margin-left:-4.45pt;margin-top:-1.1pt;width:60.7pt;height:22.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" fillcolor="#76923c [2406]" stroked="f" strokeweight="2pt"/>
                  </w:pict>
                </mc:Fallback>
              </mc:AlternateContent>
            </w:r>
            <w:r w:rsidRPr="00BD51BF">
              <w:rPr>
                <w:rFonts w:cs="Calibri"/>
                <w:szCs w:val="22"/>
                <w:lang w:val="en-GB"/>
              </w:rPr>
              <w:t> </w:t>
            </w:r>
          </w:p>
        </w:tc>
        <w:tc>
          <w:tcPr>
            <w:tcW w:w="1254" w:type="dxa"/>
            <w:shd w:val="clear" w:color="auto" w:fill="D9D9D9" w:themeFill="background1" w:themeFillShade="D9"/>
          </w:tcPr>
          <w:p w14:paraId="5FFFD8E4" w14:textId="77777777" w:rsidR="00BC750E" w:rsidRPr="00BD51BF" w:rsidRDefault="00BC750E" w:rsidP="00652A4E">
            <w:pPr>
              <w:rPr>
                <w:rFonts w:cs="Calibri"/>
                <w:szCs w:val="22"/>
                <w:lang w:val="en-GB"/>
              </w:rPr>
            </w:pPr>
          </w:p>
        </w:tc>
      </w:tr>
      <w:tr w:rsidR="00BC750E" w:rsidRPr="00BD51BF" w14:paraId="341006E7" w14:textId="77777777" w:rsidTr="00BC750E">
        <w:trPr>
          <w:trHeight w:val="285"/>
        </w:trPr>
        <w:tc>
          <w:tcPr>
            <w:tcW w:w="1198" w:type="dxa"/>
            <w:noWrap/>
            <w:vAlign w:val="bottom"/>
          </w:tcPr>
          <w:p w14:paraId="652AA43E"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AN3_1</w:t>
            </w:r>
          </w:p>
        </w:tc>
        <w:tc>
          <w:tcPr>
            <w:tcW w:w="1140" w:type="dxa"/>
            <w:noWrap/>
            <w:vAlign w:val="bottom"/>
            <w:hideMark/>
          </w:tcPr>
          <w:p w14:paraId="2FEBBF8F"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100 mg</w:t>
            </w:r>
          </w:p>
        </w:tc>
        <w:tc>
          <w:tcPr>
            <w:tcW w:w="1140" w:type="dxa"/>
            <w:shd w:val="clear" w:color="000000" w:fill="DBDBDB"/>
            <w:noWrap/>
            <w:vAlign w:val="bottom"/>
            <w:hideMark/>
          </w:tcPr>
          <w:p w14:paraId="02208D0C"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 </w:t>
            </w:r>
          </w:p>
        </w:tc>
        <w:tc>
          <w:tcPr>
            <w:tcW w:w="1254" w:type="dxa"/>
            <w:shd w:val="clear" w:color="000000" w:fill="92D050"/>
            <w:noWrap/>
            <w:vAlign w:val="bottom"/>
            <w:hideMark/>
          </w:tcPr>
          <w:p w14:paraId="35CFAC66"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7B1590E2"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0564180E"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auto" w:fill="76923C" w:themeFill="accent3" w:themeFillShade="BF"/>
            <w:noWrap/>
            <w:vAlign w:val="bottom"/>
            <w:hideMark/>
          </w:tcPr>
          <w:p w14:paraId="6BFB7E6A"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auto" w:fill="D9D9D9" w:themeFill="background1" w:themeFillShade="D9"/>
          </w:tcPr>
          <w:p w14:paraId="2A2DA497" w14:textId="77777777" w:rsidR="00BC750E" w:rsidRPr="00BD51BF" w:rsidRDefault="00BC750E" w:rsidP="00652A4E">
            <w:pPr>
              <w:rPr>
                <w:rFonts w:cs="Calibri"/>
                <w:szCs w:val="22"/>
                <w:lang w:val="en-GB"/>
              </w:rPr>
            </w:pPr>
          </w:p>
        </w:tc>
      </w:tr>
      <w:tr w:rsidR="00BC750E" w:rsidRPr="00BD51BF" w14:paraId="5A8A2039" w14:textId="77777777" w:rsidTr="00BC750E">
        <w:trPr>
          <w:trHeight w:val="285"/>
        </w:trPr>
        <w:tc>
          <w:tcPr>
            <w:tcW w:w="1198" w:type="dxa"/>
            <w:noWrap/>
            <w:vAlign w:val="bottom"/>
          </w:tcPr>
          <w:p w14:paraId="65E5A1C9"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AN3_2</w:t>
            </w:r>
          </w:p>
        </w:tc>
        <w:tc>
          <w:tcPr>
            <w:tcW w:w="1140" w:type="dxa"/>
            <w:noWrap/>
            <w:vAlign w:val="bottom"/>
            <w:hideMark/>
          </w:tcPr>
          <w:p w14:paraId="357C7C01"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100 mg</w:t>
            </w:r>
          </w:p>
        </w:tc>
        <w:tc>
          <w:tcPr>
            <w:tcW w:w="1140" w:type="dxa"/>
            <w:shd w:val="clear" w:color="000000" w:fill="DBDBDB"/>
            <w:noWrap/>
            <w:vAlign w:val="bottom"/>
            <w:hideMark/>
          </w:tcPr>
          <w:p w14:paraId="03ADFFFE"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 </w:t>
            </w:r>
          </w:p>
        </w:tc>
        <w:tc>
          <w:tcPr>
            <w:tcW w:w="1254" w:type="dxa"/>
            <w:shd w:val="clear" w:color="000000" w:fill="DBDBDB"/>
            <w:noWrap/>
            <w:vAlign w:val="bottom"/>
            <w:hideMark/>
          </w:tcPr>
          <w:p w14:paraId="45426DA5"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20751987"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47610791"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auto" w:fill="76923C" w:themeFill="accent3" w:themeFillShade="BF"/>
            <w:noWrap/>
            <w:vAlign w:val="bottom"/>
            <w:hideMark/>
          </w:tcPr>
          <w:p w14:paraId="706C1001"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auto" w:fill="D9D9D9" w:themeFill="background1" w:themeFillShade="D9"/>
          </w:tcPr>
          <w:p w14:paraId="7CAED764" w14:textId="77777777" w:rsidR="00BC750E" w:rsidRPr="00BD51BF" w:rsidRDefault="00BC750E" w:rsidP="00652A4E">
            <w:pPr>
              <w:rPr>
                <w:rFonts w:cs="Calibri"/>
                <w:szCs w:val="22"/>
                <w:lang w:val="en-GB"/>
              </w:rPr>
            </w:pPr>
          </w:p>
        </w:tc>
      </w:tr>
      <w:tr w:rsidR="00BC750E" w:rsidRPr="00BD51BF" w14:paraId="6BC9FDB4" w14:textId="77777777" w:rsidTr="00BC750E">
        <w:trPr>
          <w:trHeight w:val="285"/>
        </w:trPr>
        <w:tc>
          <w:tcPr>
            <w:tcW w:w="1198" w:type="dxa"/>
            <w:noWrap/>
            <w:vAlign w:val="bottom"/>
          </w:tcPr>
          <w:p w14:paraId="0002FF28" w14:textId="77777777" w:rsidR="00BC750E" w:rsidRPr="00BD51BF" w:rsidRDefault="00BC750E" w:rsidP="00652A4E">
            <w:pPr>
              <w:jc w:val="center"/>
              <w:rPr>
                <w:rFonts w:cs="Calibri"/>
                <w:b/>
                <w:bCs/>
                <w:color w:val="000000"/>
                <w:szCs w:val="22"/>
                <w:lang w:val="en-GB"/>
              </w:rPr>
            </w:pPr>
            <w:r w:rsidRPr="00BD51BF">
              <w:rPr>
                <w:rFonts w:cs="Calibri"/>
                <w:b/>
                <w:bCs/>
                <w:color w:val="000000"/>
                <w:szCs w:val="22"/>
                <w:lang w:val="en-GB"/>
              </w:rPr>
              <w:t>AN3_3</w:t>
            </w:r>
          </w:p>
        </w:tc>
        <w:tc>
          <w:tcPr>
            <w:tcW w:w="1140" w:type="dxa"/>
            <w:noWrap/>
            <w:vAlign w:val="bottom"/>
            <w:hideMark/>
          </w:tcPr>
          <w:p w14:paraId="0E0349D9"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100 mg</w:t>
            </w:r>
          </w:p>
        </w:tc>
        <w:tc>
          <w:tcPr>
            <w:tcW w:w="1140" w:type="dxa"/>
            <w:shd w:val="clear" w:color="000000" w:fill="DBDBDB"/>
            <w:noWrap/>
            <w:vAlign w:val="bottom"/>
            <w:hideMark/>
          </w:tcPr>
          <w:p w14:paraId="2F34B2AC" w14:textId="77777777" w:rsidR="00BC750E" w:rsidRPr="00BD51BF" w:rsidRDefault="00BC750E" w:rsidP="00652A4E">
            <w:pPr>
              <w:jc w:val="center"/>
              <w:rPr>
                <w:rFonts w:cs="Calibri"/>
                <w:color w:val="000000"/>
                <w:szCs w:val="22"/>
                <w:lang w:val="en-GB"/>
              </w:rPr>
            </w:pPr>
            <w:r w:rsidRPr="00BD51BF">
              <w:rPr>
                <w:rFonts w:cs="Calibri"/>
                <w:color w:val="000000"/>
                <w:szCs w:val="22"/>
                <w:lang w:val="en-GB"/>
              </w:rPr>
              <w:t> </w:t>
            </w:r>
          </w:p>
        </w:tc>
        <w:tc>
          <w:tcPr>
            <w:tcW w:w="1254" w:type="dxa"/>
            <w:shd w:val="clear" w:color="000000" w:fill="DBDBDB"/>
            <w:noWrap/>
            <w:vAlign w:val="bottom"/>
            <w:hideMark/>
          </w:tcPr>
          <w:p w14:paraId="13B73195"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DBDBDB"/>
            <w:noWrap/>
            <w:vAlign w:val="bottom"/>
            <w:hideMark/>
          </w:tcPr>
          <w:p w14:paraId="75F5D68D"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000000" w:fill="92D050"/>
            <w:noWrap/>
            <w:vAlign w:val="bottom"/>
            <w:hideMark/>
          </w:tcPr>
          <w:p w14:paraId="7334CC9D"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auto" w:fill="76923C" w:themeFill="accent3" w:themeFillShade="BF"/>
            <w:noWrap/>
            <w:vAlign w:val="bottom"/>
            <w:hideMark/>
          </w:tcPr>
          <w:p w14:paraId="4B9AAABB" w14:textId="77777777" w:rsidR="00BC750E" w:rsidRPr="00BD51BF" w:rsidRDefault="00BC750E" w:rsidP="00652A4E">
            <w:pPr>
              <w:rPr>
                <w:rFonts w:cs="Calibri"/>
                <w:szCs w:val="22"/>
                <w:lang w:val="en-GB"/>
              </w:rPr>
            </w:pPr>
            <w:r w:rsidRPr="00BD51BF">
              <w:rPr>
                <w:rFonts w:cs="Calibri"/>
                <w:szCs w:val="22"/>
                <w:lang w:val="en-GB"/>
              </w:rPr>
              <w:t> </w:t>
            </w:r>
          </w:p>
        </w:tc>
        <w:tc>
          <w:tcPr>
            <w:tcW w:w="1254" w:type="dxa"/>
            <w:shd w:val="clear" w:color="auto" w:fill="D9D9D9" w:themeFill="background1" w:themeFillShade="D9"/>
          </w:tcPr>
          <w:p w14:paraId="07949FFA" w14:textId="77777777" w:rsidR="00BC750E" w:rsidRPr="00BD51BF" w:rsidRDefault="00BC750E" w:rsidP="00BC750E">
            <w:pPr>
              <w:keepNext/>
              <w:rPr>
                <w:rFonts w:cs="Calibri"/>
                <w:szCs w:val="22"/>
                <w:lang w:val="en-GB"/>
              </w:rPr>
            </w:pPr>
          </w:p>
        </w:tc>
      </w:tr>
    </w:tbl>
    <w:p w14:paraId="6726BD73" w14:textId="4CB0FF02" w:rsidR="00BC750E" w:rsidRPr="00BD51BF" w:rsidRDefault="00BC750E" w:rsidP="00BC750E">
      <w:pPr>
        <w:pStyle w:val="Caption"/>
        <w:rPr>
          <w:sz w:val="24"/>
          <w:szCs w:val="24"/>
          <w:lang w:val="en-GB" w:eastAsia="ja-JP"/>
        </w:rPr>
      </w:pPr>
      <w:bookmarkStart w:id="47" w:name="_Ref220052254"/>
      <w:r w:rsidRPr="00BD51BF">
        <w:rPr>
          <w:sz w:val="24"/>
          <w:szCs w:val="24"/>
          <w:lang w:val="en-GB"/>
        </w:rPr>
        <w:t xml:space="preserve">Figure </w:t>
      </w:r>
      <w:r w:rsidRPr="00BD51BF">
        <w:rPr>
          <w:sz w:val="24"/>
          <w:szCs w:val="24"/>
          <w:lang w:val="en-GB"/>
        </w:rPr>
        <w:fldChar w:fldCharType="begin"/>
      </w:r>
      <w:r w:rsidRPr="00BD51BF">
        <w:rPr>
          <w:sz w:val="24"/>
          <w:szCs w:val="24"/>
          <w:lang w:val="en-GB"/>
        </w:rPr>
        <w:instrText xml:space="preserve"> SEQ Figure \* ARABIC </w:instrText>
      </w:r>
      <w:r w:rsidRPr="00BD51BF">
        <w:rPr>
          <w:sz w:val="24"/>
          <w:szCs w:val="24"/>
          <w:lang w:val="en-GB"/>
        </w:rPr>
        <w:fldChar w:fldCharType="separate"/>
      </w:r>
      <w:r w:rsidRPr="00BD51BF">
        <w:rPr>
          <w:noProof/>
          <w:sz w:val="24"/>
          <w:szCs w:val="24"/>
          <w:lang w:val="en-GB"/>
        </w:rPr>
        <w:t>1</w:t>
      </w:r>
      <w:r w:rsidRPr="00BD51BF">
        <w:rPr>
          <w:sz w:val="24"/>
          <w:szCs w:val="24"/>
          <w:lang w:val="en-GB"/>
        </w:rPr>
        <w:fldChar w:fldCharType="end"/>
      </w:r>
      <w:bookmarkEnd w:id="47"/>
      <w:r w:rsidRPr="00BD51BF">
        <w:rPr>
          <w:sz w:val="24"/>
          <w:szCs w:val="24"/>
          <w:lang w:val="en-GB"/>
        </w:rPr>
        <w:t xml:space="preserve"> Randomisation scheme</w:t>
      </w:r>
    </w:p>
    <w:p w14:paraId="412E8E42" w14:textId="57452ED5" w:rsidR="00480C71" w:rsidRPr="00BD51BF" w:rsidRDefault="00480C71" w:rsidP="00A1749D">
      <w:pPr>
        <w:autoSpaceDE w:val="0"/>
        <w:autoSpaceDN w:val="0"/>
        <w:adjustRightInd w:val="0"/>
        <w:spacing w:line="276" w:lineRule="auto"/>
        <w:rPr>
          <w:lang w:val="en-GB"/>
        </w:rPr>
      </w:pPr>
    </w:p>
    <w:p w14:paraId="344B661E" w14:textId="7C45D173" w:rsidR="00EA3E2B" w:rsidRPr="00BD51BF" w:rsidRDefault="00572A2E" w:rsidP="00A13D0A">
      <w:pPr>
        <w:pStyle w:val="Heading1"/>
        <w:rPr>
          <w:lang w:val="en-GB"/>
        </w:rPr>
      </w:pPr>
      <w:bookmarkStart w:id="48" w:name="_Ref436919059"/>
      <w:bookmarkStart w:id="49" w:name="_Toc421709257"/>
      <w:bookmarkStart w:id="50" w:name="_Toc395881629"/>
      <w:bookmarkStart w:id="51" w:name="_Toc521400465"/>
      <w:bookmarkStart w:id="52" w:name="_Toc518655972"/>
      <w:bookmarkStart w:id="53" w:name="_Toc518466158"/>
      <w:bookmarkStart w:id="54" w:name="_Ref518462712"/>
      <w:bookmarkStart w:id="55" w:name="_Ref45603776"/>
      <w:bookmarkStart w:id="56" w:name="_Ref45607330"/>
      <w:bookmarkStart w:id="57" w:name="_Toc154052362"/>
      <w:bookmarkEnd w:id="48"/>
      <w:bookmarkEnd w:id="49"/>
      <w:bookmarkEnd w:id="50"/>
      <w:bookmarkEnd w:id="51"/>
      <w:bookmarkEnd w:id="52"/>
      <w:bookmarkEnd w:id="53"/>
      <w:bookmarkEnd w:id="54"/>
      <w:r w:rsidRPr="00BD51BF">
        <w:rPr>
          <w:lang w:val="en-GB"/>
        </w:rPr>
        <w:lastRenderedPageBreak/>
        <w:t>General Considerations</w:t>
      </w:r>
      <w:bookmarkEnd w:id="55"/>
      <w:bookmarkEnd w:id="56"/>
      <w:bookmarkEnd w:id="57"/>
    </w:p>
    <w:p w14:paraId="76689692" w14:textId="3CEBEC2E" w:rsidR="00EB2329" w:rsidRPr="00BD51BF" w:rsidRDefault="00461AA9" w:rsidP="001D3A0A">
      <w:pPr>
        <w:pStyle w:val="Heading2"/>
        <w:rPr>
          <w:rStyle w:val="CPTVariable"/>
          <w:color w:val="auto"/>
          <w:lang w:val="en-GB"/>
        </w:rPr>
      </w:pPr>
      <w:r w:rsidRPr="00BD51BF">
        <w:rPr>
          <w:rStyle w:val="CPTVariable"/>
          <w:color w:val="auto"/>
          <w:lang w:val="en-GB"/>
        </w:rPr>
        <w:t>Statistical Hypotheses</w:t>
      </w:r>
    </w:p>
    <w:p w14:paraId="1FBA64DE" w14:textId="199B5E7C" w:rsidR="00461AA9" w:rsidRPr="00BD51BF" w:rsidRDefault="00461AA9" w:rsidP="00461AA9">
      <w:pPr>
        <w:rPr>
          <w:lang w:val="en-GB" w:eastAsia="ja-JP"/>
        </w:rPr>
      </w:pPr>
      <w:r w:rsidRPr="00BD51BF">
        <w:rPr>
          <w:lang w:val="en-GB" w:eastAsia="ja-JP"/>
        </w:rPr>
        <w:t xml:space="preserve">The ImPRESS study is a phase 2 trial designed to explore the dose-response relationship of losartan on primarily imaging-based biomarkers in patients with brain </w:t>
      </w:r>
      <w:r w:rsidRPr="00BD51BF">
        <w:rPr>
          <w:lang w:val="en-GB" w:eastAsia="ja-JP"/>
        </w:rPr>
        <w:t>tumours</w:t>
      </w:r>
      <w:r w:rsidRPr="00BD51BF">
        <w:rPr>
          <w:lang w:val="en-GB" w:eastAsia="ja-JP"/>
        </w:rPr>
        <w:t xml:space="preserve">. Thus, it is not a confirmatory study, and all hypothesis testing should be considered supportive and not confirmatory.  </w:t>
      </w:r>
    </w:p>
    <w:p w14:paraId="7147FC32" w14:textId="14F00515" w:rsidR="00461AA9" w:rsidRPr="00BD51BF" w:rsidRDefault="00461AA9" w:rsidP="00461AA9">
      <w:pPr>
        <w:rPr>
          <w:lang w:val="en-GB" w:eastAsia="ja-JP"/>
        </w:rPr>
      </w:pPr>
      <w:r w:rsidRPr="00BD51BF">
        <w:rPr>
          <w:lang w:val="en-GB" w:eastAsia="ja-JP"/>
        </w:rPr>
        <w:t xml:space="preserve">The null hypothesis for each of the two primary endpoints is that there is no dose-response relationship across the planned dose levels (0, 25, 50, 100 mg). </w:t>
      </w:r>
    </w:p>
    <w:p w14:paraId="049F115C" w14:textId="2D666EDB" w:rsidR="00537972" w:rsidRPr="00BD51BF" w:rsidRDefault="00461AA9" w:rsidP="00537972">
      <w:pPr>
        <w:rPr>
          <w:lang w:val="en-GB" w:eastAsia="ja-JP"/>
        </w:rPr>
      </w:pPr>
      <w:r w:rsidRPr="00BD51BF">
        <w:rPr>
          <w:lang w:val="en-GB" w:eastAsia="ja-JP"/>
        </w:rPr>
        <w:t>Unless otherwise stated, statistical tests are two-sided with a nominal 5% significance level and 95% confidence intervals.</w:t>
      </w:r>
    </w:p>
    <w:p w14:paraId="1D65C1AD" w14:textId="6EF585C2" w:rsidR="00EB2329" w:rsidRPr="00BD51BF" w:rsidRDefault="00EB2329" w:rsidP="00EB2329">
      <w:pPr>
        <w:pStyle w:val="Heading2"/>
        <w:rPr>
          <w:lang w:val="en-GB"/>
        </w:rPr>
      </w:pPr>
      <w:bookmarkStart w:id="58" w:name="_Toc44422517"/>
      <w:bookmarkStart w:id="59" w:name="_Toc154052364"/>
      <w:r w:rsidRPr="00BD51BF">
        <w:rPr>
          <w:lang w:val="en-GB"/>
        </w:rPr>
        <w:t>Multiplicity Adjustment</w:t>
      </w:r>
      <w:bookmarkEnd w:id="58"/>
      <w:bookmarkEnd w:id="59"/>
    </w:p>
    <w:p w14:paraId="4A4BDA41" w14:textId="29C7C70C" w:rsidR="00461AA9" w:rsidRPr="00BD51BF" w:rsidRDefault="00461AA9" w:rsidP="00461AA9">
      <w:pPr>
        <w:rPr>
          <w:lang w:val="en-GB" w:eastAsia="ja-JP"/>
        </w:rPr>
      </w:pPr>
      <w:r w:rsidRPr="00BD51BF">
        <w:rPr>
          <w:lang w:val="en-GB" w:eastAsia="ja-JP"/>
        </w:rPr>
        <w:t>While it is an exploratory study not designed for confirmatory claims, we will make some efforts to control the familiy-wise type 1 error:</w:t>
      </w:r>
    </w:p>
    <w:p w14:paraId="6528E787" w14:textId="4396E393" w:rsidR="00461AA9" w:rsidRPr="00BD51BF" w:rsidRDefault="00461AA9" w:rsidP="00461AA9">
      <w:pPr>
        <w:pStyle w:val="ListParagraph"/>
        <w:numPr>
          <w:ilvl w:val="0"/>
          <w:numId w:val="57"/>
        </w:numPr>
        <w:rPr>
          <w:lang w:val="en-GB" w:eastAsia="ja-JP"/>
        </w:rPr>
      </w:pPr>
      <w:r w:rsidRPr="00BD51BF">
        <w:rPr>
          <w:lang w:val="en-GB" w:eastAsia="ja-JP"/>
        </w:rPr>
        <w:t>The estimands are divided into primary and secondary estimands with more type 1 error control in the primary estimands</w:t>
      </w:r>
    </w:p>
    <w:p w14:paraId="793F884B" w14:textId="4381DF72" w:rsidR="00461AA9" w:rsidRPr="00BD51BF" w:rsidRDefault="00461AA9" w:rsidP="00461AA9">
      <w:pPr>
        <w:pStyle w:val="ListParagraph"/>
        <w:numPr>
          <w:ilvl w:val="0"/>
          <w:numId w:val="57"/>
        </w:numPr>
        <w:rPr>
          <w:lang w:val="en-GB" w:eastAsia="ja-JP"/>
        </w:rPr>
      </w:pPr>
      <w:r w:rsidRPr="00BD51BF">
        <w:rPr>
          <w:lang w:val="en-GB" w:eastAsia="ja-JP"/>
        </w:rPr>
        <w:t xml:space="preserve">For the assessment of dose-response for the primary estimands we will adjust for multiplicity according to the Multiple Comparison Procedure and Modelling (MCP-Mod) framework as detailed in section </w:t>
      </w:r>
      <w:r w:rsidRPr="00BD51BF">
        <w:rPr>
          <w:lang w:val="en-GB" w:eastAsia="ja-JP"/>
        </w:rPr>
        <w:fldChar w:fldCharType="begin"/>
      </w:r>
      <w:r w:rsidRPr="00BD51BF">
        <w:rPr>
          <w:lang w:val="en-GB" w:eastAsia="ja-JP"/>
        </w:rPr>
        <w:instrText xml:space="preserve"> REF _Ref220052788 \r \h </w:instrText>
      </w:r>
      <w:r w:rsidRPr="00BD51BF">
        <w:rPr>
          <w:lang w:val="en-GB" w:eastAsia="ja-JP"/>
        </w:rPr>
      </w:r>
      <w:r w:rsidRPr="00BD51BF">
        <w:rPr>
          <w:lang w:val="en-GB" w:eastAsia="ja-JP"/>
        </w:rPr>
        <w:fldChar w:fldCharType="separate"/>
      </w:r>
      <w:r w:rsidRPr="00BD51BF">
        <w:rPr>
          <w:lang w:val="en-GB" w:eastAsia="ja-JP"/>
        </w:rPr>
        <w:t>4.1</w:t>
      </w:r>
      <w:r w:rsidRPr="00BD51BF">
        <w:rPr>
          <w:lang w:val="en-GB" w:eastAsia="ja-JP"/>
        </w:rPr>
        <w:fldChar w:fldCharType="end"/>
      </w:r>
      <w:r w:rsidRPr="00BD51BF">
        <w:rPr>
          <w:lang w:val="en-GB" w:eastAsia="ja-JP"/>
        </w:rPr>
        <w:t>.</w:t>
      </w:r>
    </w:p>
    <w:p w14:paraId="280BD04F" w14:textId="580D7FD3" w:rsidR="00461AA9" w:rsidRPr="00BD51BF" w:rsidRDefault="00461AA9" w:rsidP="00461AA9">
      <w:pPr>
        <w:pStyle w:val="ListParagraph"/>
        <w:numPr>
          <w:ilvl w:val="0"/>
          <w:numId w:val="57"/>
        </w:numPr>
        <w:rPr>
          <w:lang w:val="en-GB" w:eastAsia="ja-JP"/>
        </w:rPr>
      </w:pPr>
      <w:r w:rsidRPr="00BD51BF">
        <w:rPr>
          <w:lang w:val="en-GB" w:eastAsia="ja-JP"/>
        </w:rPr>
        <w:t xml:space="preserve">No further multiplicity adjustments will be done. </w:t>
      </w:r>
    </w:p>
    <w:p w14:paraId="2E88794C" w14:textId="142276E0" w:rsidR="00480C71" w:rsidRPr="00BD51BF" w:rsidRDefault="00480C71" w:rsidP="00480C71">
      <w:pPr>
        <w:rPr>
          <w:lang w:val="en-GB"/>
        </w:rPr>
      </w:pPr>
    </w:p>
    <w:p w14:paraId="6AF8B7F3" w14:textId="581D7DC3" w:rsidR="001E4525" w:rsidRPr="00BD51BF" w:rsidRDefault="00A31AE7" w:rsidP="00A1707E">
      <w:pPr>
        <w:pStyle w:val="Heading2"/>
        <w:rPr>
          <w:lang w:val="en-GB"/>
        </w:rPr>
      </w:pPr>
      <w:bookmarkStart w:id="60" w:name="_Toc154052365"/>
      <w:r w:rsidRPr="00BD51BF">
        <w:rPr>
          <w:lang w:val="en-GB"/>
        </w:rPr>
        <w:t>Impact of Intercurrent Events Strategies</w:t>
      </w:r>
      <w:bookmarkEnd w:id="60"/>
    </w:p>
    <w:p w14:paraId="0C70C6D0" w14:textId="77777777" w:rsidR="001E4525" w:rsidRPr="00BD51BF" w:rsidRDefault="001E4525" w:rsidP="001E4525">
      <w:pPr>
        <w:spacing w:before="120" w:after="120" w:line="280" w:lineRule="atLeast"/>
        <w:rPr>
          <w:lang w:val="en-GB"/>
        </w:rPr>
      </w:pPr>
      <w:r w:rsidRPr="00BD51BF">
        <w:rPr>
          <w:lang w:val="en-GB"/>
        </w:rPr>
        <w:t xml:space="preserve">Intercurrent events are handled in accordance with the estimand definitions specified in Section 1. For most estimands, a </w:t>
      </w:r>
      <w:r w:rsidRPr="00BD51BF">
        <w:rPr>
          <w:b/>
          <w:bCs/>
          <w:lang w:val="en-GB"/>
        </w:rPr>
        <w:t>treatment policy strategy</w:t>
      </w:r>
      <w:r w:rsidRPr="00BD51BF">
        <w:rPr>
          <w:lang w:val="en-GB"/>
        </w:rPr>
        <w:t xml:space="preserve"> is used. Under this strategy, participants are analysed according to the treatment they were randomised to receive, regardless of treatment adherence, treatment interruptions, dose modifications, or changes in concomitant or background therapies occurring after randomisation.</w:t>
      </w:r>
    </w:p>
    <w:p w14:paraId="5D87E371" w14:textId="7E6E8FD5" w:rsidR="001E4525" w:rsidRPr="00BD51BF" w:rsidRDefault="001E4525" w:rsidP="001E4525">
      <w:pPr>
        <w:rPr>
          <w:lang w:val="en-GB"/>
        </w:rPr>
      </w:pPr>
      <w:r w:rsidRPr="00BD51BF">
        <w:rPr>
          <w:lang w:val="en-GB"/>
        </w:rPr>
        <w:t>For estimands evaluating short-term treatment effects, participants who discontinue the investigational medicinal product prior to completion of the planned short-term treatment period remain part of the estimand target population, and their outcomes are interpreted as reflecting the effect of the assigned treatment strategy rather than the effect of treatment actually received.</w:t>
      </w:r>
    </w:p>
    <w:p w14:paraId="62DFC33F" w14:textId="77777777" w:rsidR="00BD6D86" w:rsidRPr="00BD51BF" w:rsidRDefault="00BD6D86" w:rsidP="00BD6D86">
      <w:pPr>
        <w:spacing w:before="100" w:beforeAutospacing="1" w:after="100" w:afterAutospacing="1"/>
        <w:rPr>
          <w:lang w:val="en-GB"/>
        </w:rPr>
      </w:pPr>
      <w:r w:rsidRPr="00BD51BF">
        <w:rPr>
          <w:lang w:val="en-GB"/>
        </w:rPr>
        <w:t>For long-term treatment estimands, short-term treatment with losartan (defined as treatment duration of 42 days or less, irrespective of dose) is treated as an intercurrent event and handled using a treatment policy strategy. Under this approach, outcomes observed in participants who discontinue losartan prior to the long-term assessment window are interpreted as part of the assigned long-term treatment strategy, even if the intended long-term exposure was not achieved.</w:t>
      </w:r>
    </w:p>
    <w:p w14:paraId="22D66480" w14:textId="72374704" w:rsidR="00BD6D86" w:rsidRPr="00BD51BF" w:rsidRDefault="00BD6D86" w:rsidP="00BD6D86">
      <w:pPr>
        <w:spacing w:before="100" w:beforeAutospacing="1" w:after="100" w:afterAutospacing="1"/>
        <w:rPr>
          <w:lang w:val="en-GB"/>
        </w:rPr>
      </w:pPr>
      <w:r w:rsidRPr="00BD51BF">
        <w:rPr>
          <w:lang w:val="en-GB"/>
        </w:rPr>
        <w:t xml:space="preserve">This strategy implicitly assumes that any short-term exposure to losartan does not confer a sustained long-term benefit on the outcomes of interest in the absence of continued treatment. As a result, the estimated long-term treatment effects reflect the effect of assignment to a long-term losartan treatment strategy rather than the effect among participants who successfully maintained </w:t>
      </w:r>
      <w:r w:rsidRPr="00BD51BF">
        <w:rPr>
          <w:lang w:val="en-GB"/>
        </w:rPr>
        <w:lastRenderedPageBreak/>
        <w:t>long-term treatment. This approach is considered conservative, as participants assigned to the no long-term losartan strategy (0 mg) may have received short-term losartan treatment, potentially improving outcomes in this group and thereby attenuating estimated long-term treatment effects.</w:t>
      </w:r>
    </w:p>
    <w:p w14:paraId="412D4F23" w14:textId="0B67921D" w:rsidR="001E4525" w:rsidRPr="00BD51BF" w:rsidRDefault="001E4525" w:rsidP="001E4525">
      <w:pPr>
        <w:spacing w:before="120" w:after="120" w:line="280" w:lineRule="atLeast"/>
        <w:rPr>
          <w:lang w:val="en-GB"/>
        </w:rPr>
      </w:pPr>
      <w:r w:rsidRPr="00BD51BF">
        <w:rPr>
          <w:lang w:val="en-GB"/>
        </w:rPr>
        <w:t xml:space="preserve">For estimands where death occurs prior to the assessment timepoint, different strategies are applied depending on the objective. For primary and secondary efficacy estimands evaluating radiographic and clinical outcomes, a </w:t>
      </w:r>
      <w:r w:rsidRPr="00BD51BF">
        <w:rPr>
          <w:b/>
          <w:bCs/>
          <w:lang w:val="en-GB"/>
        </w:rPr>
        <w:t>hypothetical strategy</w:t>
      </w:r>
      <w:r w:rsidRPr="00BD51BF">
        <w:rPr>
          <w:lang w:val="en-GB"/>
        </w:rPr>
        <w:t xml:space="preserve"> is used, targeting the outcome that would have been observed had death not occurred prior to the assessment timepoint. For safety estimands, a </w:t>
      </w:r>
      <w:r w:rsidRPr="00BD51BF">
        <w:rPr>
          <w:b/>
          <w:bCs/>
          <w:lang w:val="en-GB"/>
        </w:rPr>
        <w:t>while-alive strategy</w:t>
      </w:r>
      <w:r w:rsidRPr="00BD51BF">
        <w:rPr>
          <w:lang w:val="en-GB"/>
        </w:rPr>
        <w:t xml:space="preserve"> is applied, such that outcomes are defined and summarised only for the period during which participants are alive.</w:t>
      </w:r>
    </w:p>
    <w:p w14:paraId="769BF827" w14:textId="77777777" w:rsidR="001E4525" w:rsidRPr="00BD51BF" w:rsidRDefault="001E4525" w:rsidP="00A1707E">
      <w:pPr>
        <w:rPr>
          <w:lang w:val="en-GB"/>
        </w:rPr>
      </w:pPr>
    </w:p>
    <w:p w14:paraId="370F2578" w14:textId="0CD195C2" w:rsidR="00A31AE7" w:rsidRPr="00BD51BF" w:rsidRDefault="00A31AE7" w:rsidP="00A31AE7">
      <w:pPr>
        <w:pStyle w:val="Heading2"/>
        <w:rPr>
          <w:lang w:val="en-GB"/>
        </w:rPr>
      </w:pPr>
      <w:bookmarkStart w:id="61" w:name="_Toc154052366"/>
      <w:r w:rsidRPr="00BD51BF">
        <w:rPr>
          <w:lang w:val="en-GB"/>
        </w:rPr>
        <w:t>Handling of Missing Data</w:t>
      </w:r>
      <w:bookmarkEnd w:id="61"/>
    </w:p>
    <w:p w14:paraId="22B3F020" w14:textId="47086467" w:rsidR="00BD6D86" w:rsidRPr="00BD51BF" w:rsidRDefault="00BD6D86" w:rsidP="00BD6D86">
      <w:pPr>
        <w:rPr>
          <w:lang w:val="en-GB"/>
        </w:rPr>
      </w:pPr>
      <w:r w:rsidRPr="00BD51BF">
        <w:rPr>
          <w:lang w:val="en-GB"/>
        </w:rPr>
        <w:t>Missing data may arise due to missed visits, early discontinuation of study procedures, withdrawal of consent, or death. The handling of missing data is aligned with the estimand strategies defined in Section 1 and the intercurrent event handling described in Section 2.3.</w:t>
      </w:r>
    </w:p>
    <w:p w14:paraId="35DC0F25" w14:textId="603B4F4C" w:rsidR="00BD6D86" w:rsidRPr="00BD51BF" w:rsidRDefault="00BD6D86" w:rsidP="00BD6D86">
      <w:pPr>
        <w:rPr>
          <w:lang w:val="en-GB"/>
        </w:rPr>
      </w:pPr>
      <w:r w:rsidRPr="00BD51BF">
        <w:rPr>
          <w:lang w:val="en-GB"/>
        </w:rPr>
        <w:t>For primary and secondary efficacy estimands based on continuous radiographic</w:t>
      </w:r>
      <w:r w:rsidRPr="00BD51BF">
        <w:rPr>
          <w:lang w:val="en-GB"/>
        </w:rPr>
        <w:t xml:space="preserve">, </w:t>
      </w:r>
      <w:r w:rsidRPr="00BD51BF">
        <w:rPr>
          <w:lang w:val="en-GB"/>
        </w:rPr>
        <w:t>clinical</w:t>
      </w:r>
      <w:r w:rsidRPr="00BD51BF">
        <w:rPr>
          <w:lang w:val="en-GB"/>
        </w:rPr>
        <w:t xml:space="preserve"> and </w:t>
      </w:r>
      <w:r w:rsidR="00D7035A" w:rsidRPr="00BD51BF">
        <w:rPr>
          <w:lang w:val="en-GB"/>
        </w:rPr>
        <w:t>patient reported</w:t>
      </w:r>
      <w:r w:rsidRPr="00BD51BF">
        <w:rPr>
          <w:lang w:val="en-GB"/>
        </w:rPr>
        <w:t xml:space="preserve"> endpoints, missing outcome data will be handled implicitly through likelihood-based mixed effects models fitted using maximum likelihood estimation. Under this approach, estimation is valid under the assumption that data are missing at random (MAR), conditional on observed data included in the model.</w:t>
      </w:r>
    </w:p>
    <w:p w14:paraId="1DA4D392" w14:textId="3B0DD99B" w:rsidR="00BD6D86" w:rsidRPr="00BD51BF" w:rsidRDefault="00BD6D86" w:rsidP="00BD6D86">
      <w:pPr>
        <w:rPr>
          <w:lang w:val="en-GB"/>
        </w:rPr>
      </w:pPr>
      <w:r w:rsidRPr="00BD51BF">
        <w:rPr>
          <w:lang w:val="en-GB"/>
        </w:rPr>
        <w:t>No explicit imputation of missing values will be performed for these analyses. All available post-baseline data contributing to the relevant estimand will be used, consistent with the treatment policy or hypothetical strategies specified for each estimand.</w:t>
      </w:r>
    </w:p>
    <w:p w14:paraId="004B556B" w14:textId="1D61E16F" w:rsidR="00BD6D86" w:rsidRPr="00BD51BF" w:rsidRDefault="00BD6D86" w:rsidP="00BD6D86">
      <w:pPr>
        <w:rPr>
          <w:lang w:val="en-GB"/>
        </w:rPr>
      </w:pPr>
      <w:r w:rsidRPr="00BD51BF">
        <w:rPr>
          <w:lang w:val="en-GB"/>
        </w:rPr>
        <w:t>The MAR assumption is recognised as a strong and untestable assumption. However, given the exploratory phase 2 nature of the ImPRESS trial and the primary focus on estimation and characterisation of dose–response relationships rather than confirmatory hypothesis testing, this approach is considered appropriate. Results will therefore be interpreted cautiously, with emphasis on effect estimates and uncertainty rather than formal statistical significance.</w:t>
      </w:r>
    </w:p>
    <w:p w14:paraId="792E9579" w14:textId="4F1215CC" w:rsidR="00BD6D86" w:rsidRPr="00BD51BF" w:rsidRDefault="00BD6D86" w:rsidP="00BD6D86">
      <w:pPr>
        <w:rPr>
          <w:lang w:val="en-GB"/>
        </w:rPr>
      </w:pPr>
      <w:r w:rsidRPr="00BD51BF">
        <w:rPr>
          <w:lang w:val="en-GB"/>
        </w:rPr>
        <w:t>For time-to-event endpoints, incomplete follow-up will be handled through right censoring at the last time the participant is known to be event-free, under the standard assumption of non-informative censoring.</w:t>
      </w:r>
    </w:p>
    <w:p w14:paraId="79A7E19E" w14:textId="0B2935FA" w:rsidR="00A31AE7" w:rsidRPr="00BD51BF" w:rsidRDefault="00BD6D86" w:rsidP="00BD6D86">
      <w:pPr>
        <w:rPr>
          <w:lang w:val="en-GB"/>
        </w:rPr>
      </w:pPr>
      <w:r w:rsidRPr="00BD51BF">
        <w:rPr>
          <w:lang w:val="en-GB"/>
        </w:rPr>
        <w:t>No formal sensitivity analyses specifically targeting departures from the MAR assumption are planned.</w:t>
      </w:r>
    </w:p>
    <w:p w14:paraId="7A27D13A" w14:textId="43C0E473" w:rsidR="00EA3E2B" w:rsidRPr="00BD51BF" w:rsidRDefault="00EA3E2B" w:rsidP="00EA3E2B">
      <w:pPr>
        <w:pStyle w:val="Heading1"/>
        <w:rPr>
          <w:lang w:val="en-GB"/>
        </w:rPr>
      </w:pPr>
      <w:bookmarkStart w:id="62" w:name="_Toc521400467"/>
      <w:bookmarkStart w:id="63" w:name="_Toc518655975"/>
      <w:bookmarkStart w:id="64" w:name="_Toc518466161"/>
      <w:bookmarkStart w:id="65" w:name="_Ref45603967"/>
      <w:bookmarkStart w:id="66" w:name="_Ref45604094"/>
      <w:bookmarkStart w:id="67" w:name="_Ref45607125"/>
      <w:bookmarkStart w:id="68" w:name="_Ref45607405"/>
      <w:bookmarkStart w:id="69" w:name="_Toc154052367"/>
      <w:r w:rsidRPr="00BD51BF">
        <w:rPr>
          <w:lang w:val="en-GB"/>
        </w:rPr>
        <w:lastRenderedPageBreak/>
        <w:t>Analysis</w:t>
      </w:r>
      <w:bookmarkEnd w:id="62"/>
      <w:bookmarkEnd w:id="63"/>
      <w:bookmarkEnd w:id="64"/>
      <w:r w:rsidR="00D52D8D" w:rsidRPr="00BD51BF">
        <w:rPr>
          <w:lang w:val="en-GB"/>
        </w:rPr>
        <w:t xml:space="preserve"> Sets</w:t>
      </w:r>
      <w:bookmarkEnd w:id="65"/>
      <w:bookmarkEnd w:id="66"/>
      <w:bookmarkEnd w:id="67"/>
      <w:bookmarkEnd w:id="68"/>
      <w:bookmarkEnd w:id="69"/>
    </w:p>
    <w:p w14:paraId="5C272D36" w14:textId="53337346" w:rsidR="003F5819" w:rsidRPr="00BD51BF" w:rsidRDefault="003F5819" w:rsidP="003F5819">
      <w:pPr>
        <w:rPr>
          <w:lang w:val="en-GB" w:eastAsia="ja-JP"/>
        </w:rPr>
      </w:pPr>
      <w:r w:rsidRPr="00BD51BF">
        <w:rPr>
          <w:lang w:val="en-GB" w:eastAsia="ja-JP"/>
        </w:rPr>
        <w:t>Two analysis sets will be defined for the ImPRESS trial.</w:t>
      </w:r>
    </w:p>
    <w:p w14:paraId="6A9A5839" w14:textId="76782689" w:rsidR="003F5819" w:rsidRPr="00BD51BF" w:rsidRDefault="003F5819" w:rsidP="003F5819">
      <w:pPr>
        <w:pStyle w:val="Heading2"/>
        <w:rPr>
          <w:lang w:val="en-GB"/>
        </w:rPr>
      </w:pPr>
      <w:r w:rsidRPr="00BD51BF">
        <w:rPr>
          <w:lang w:val="en-GB"/>
        </w:rPr>
        <w:t>Full Analysis Set (FAS)</w:t>
      </w:r>
    </w:p>
    <w:p w14:paraId="6D9E3040" w14:textId="7A6B5871" w:rsidR="003F5819" w:rsidRPr="00BD51BF" w:rsidRDefault="003F5819" w:rsidP="003F5819">
      <w:pPr>
        <w:rPr>
          <w:lang w:val="en-GB" w:eastAsia="ja-JP"/>
        </w:rPr>
      </w:pPr>
      <w:r w:rsidRPr="00BD51BF">
        <w:rPr>
          <w:lang w:val="en-GB" w:eastAsia="ja-JP"/>
        </w:rPr>
        <w:t>The Full Analysis Set includes all participants with newly diagnosed glioblastoma who were randomised to a treatment scheme.</w:t>
      </w:r>
    </w:p>
    <w:p w14:paraId="78077762" w14:textId="032CDEDD" w:rsidR="003F5819" w:rsidRPr="00BD51BF" w:rsidRDefault="003F5819" w:rsidP="003F5819">
      <w:pPr>
        <w:rPr>
          <w:lang w:val="en-GB" w:eastAsia="ja-JP"/>
        </w:rPr>
      </w:pPr>
      <w:r w:rsidRPr="00BD51BF">
        <w:rPr>
          <w:lang w:val="en-GB" w:eastAsia="ja-JP"/>
        </w:rPr>
        <w:t>Participants will be analysed according to the treatment strategy to which they were randomised, irrespective of treatment adherence, treatment interruptions, dose modifications, or early discontinuation of the investigational medicinal product, in accordance with the treatment policy strategy defined for the primary and secondary estimands.</w:t>
      </w:r>
    </w:p>
    <w:p w14:paraId="19929685" w14:textId="5E114053" w:rsidR="003F5819" w:rsidRPr="00BD51BF" w:rsidRDefault="003F5819" w:rsidP="003F5819">
      <w:pPr>
        <w:rPr>
          <w:lang w:val="en-GB" w:eastAsia="ja-JP"/>
        </w:rPr>
      </w:pPr>
      <w:r w:rsidRPr="00BD51BF">
        <w:rPr>
          <w:lang w:val="en-GB" w:eastAsia="ja-JP"/>
        </w:rPr>
        <w:t>The Full Analysis Set will be used for all efficacy analyses.</w:t>
      </w:r>
    </w:p>
    <w:p w14:paraId="06960B57" w14:textId="7F904C67" w:rsidR="003F5819" w:rsidRPr="00BD51BF" w:rsidRDefault="003F5819" w:rsidP="003F5819">
      <w:pPr>
        <w:pStyle w:val="Heading2"/>
        <w:rPr>
          <w:lang w:val="en-GB"/>
        </w:rPr>
      </w:pPr>
      <w:r w:rsidRPr="00BD51BF">
        <w:rPr>
          <w:lang w:val="en-GB"/>
        </w:rPr>
        <w:t>Safety Analysis Set (SAF)</w:t>
      </w:r>
    </w:p>
    <w:p w14:paraId="6F25839D" w14:textId="5DD00DA4" w:rsidR="003F5819" w:rsidRPr="00BD51BF" w:rsidRDefault="003F5819" w:rsidP="003F5819">
      <w:pPr>
        <w:rPr>
          <w:lang w:val="en-GB" w:eastAsia="ja-JP"/>
        </w:rPr>
      </w:pPr>
      <w:r w:rsidRPr="00BD51BF">
        <w:rPr>
          <w:lang w:val="en-GB" w:eastAsia="ja-JP"/>
        </w:rPr>
        <w:t>The Safety Analysis Set includes all participants who received at least one dose of the investigational medicinal product.</w:t>
      </w:r>
    </w:p>
    <w:p w14:paraId="0C529CE4" w14:textId="2456D2B5" w:rsidR="003F5819" w:rsidRPr="00BD51BF" w:rsidRDefault="003F5819" w:rsidP="003F5819">
      <w:pPr>
        <w:rPr>
          <w:lang w:val="en-GB" w:eastAsia="ja-JP"/>
        </w:rPr>
      </w:pPr>
      <w:r w:rsidRPr="00BD51BF">
        <w:rPr>
          <w:lang w:val="en-GB" w:eastAsia="ja-JP"/>
        </w:rPr>
        <w:t>Participants in the Safety Analysis Set will be analysed according to the treatment actually received</w:t>
      </w:r>
      <w:r w:rsidRPr="00BD51BF">
        <w:rPr>
          <w:lang w:val="en-GB" w:eastAsia="ja-JP"/>
        </w:rPr>
        <w:t>.</w:t>
      </w:r>
      <w:r w:rsidRPr="00BD51BF">
        <w:rPr>
          <w:lang w:val="en-GB" w:eastAsia="ja-JP"/>
        </w:rPr>
        <w:t xml:space="preserve"> The Safety Analysis Set will be used for </w:t>
      </w:r>
      <w:r w:rsidRPr="00BD51BF">
        <w:rPr>
          <w:lang w:val="en-GB" w:eastAsia="ja-JP"/>
        </w:rPr>
        <w:t>the safety analyses</w:t>
      </w:r>
      <w:r w:rsidRPr="00BD51BF">
        <w:rPr>
          <w:lang w:val="en-GB" w:eastAsia="ja-JP"/>
        </w:rPr>
        <w:t>.</w:t>
      </w:r>
    </w:p>
    <w:p w14:paraId="070FCC58" w14:textId="121028F6" w:rsidR="00EA3E2B" w:rsidRPr="00BD51BF" w:rsidRDefault="00EA3E2B" w:rsidP="00E63C5B">
      <w:pPr>
        <w:pStyle w:val="Heading1"/>
        <w:rPr>
          <w:lang w:val="en-GB"/>
        </w:rPr>
      </w:pPr>
      <w:bookmarkStart w:id="70" w:name="_Toc154052368"/>
      <w:r w:rsidRPr="00BD51BF">
        <w:rPr>
          <w:lang w:val="en-GB"/>
        </w:rPr>
        <w:lastRenderedPageBreak/>
        <w:t>Analyses</w:t>
      </w:r>
      <w:r w:rsidR="00526497" w:rsidRPr="00BD51BF">
        <w:rPr>
          <w:lang w:val="en-GB"/>
        </w:rPr>
        <w:t xml:space="preserve"> Supporting Primary Objective(s)</w:t>
      </w:r>
      <w:bookmarkEnd w:id="70"/>
    </w:p>
    <w:p w14:paraId="538AF1A7" w14:textId="4B19F346" w:rsidR="00EB441E" w:rsidRPr="00BD51BF" w:rsidRDefault="00DD573D" w:rsidP="000A76B2">
      <w:pPr>
        <w:pStyle w:val="Heading2"/>
        <w:rPr>
          <w:lang w:val="en-GB"/>
        </w:rPr>
      </w:pPr>
      <w:bookmarkStart w:id="71" w:name="_Toc154052369"/>
      <w:bookmarkStart w:id="72" w:name="_Ref220052788"/>
      <w:r w:rsidRPr="00BD51BF">
        <w:rPr>
          <w:lang w:val="en-GB"/>
        </w:rPr>
        <w:t>Primary</w:t>
      </w:r>
      <w:r w:rsidR="000A76B2" w:rsidRPr="00BD51BF">
        <w:rPr>
          <w:lang w:val="en-GB"/>
        </w:rPr>
        <w:t xml:space="preserve"> Estimands</w:t>
      </w:r>
      <w:r w:rsidRPr="00BD51BF">
        <w:rPr>
          <w:lang w:val="en-GB"/>
        </w:rPr>
        <w:t xml:space="preserve"> </w:t>
      </w:r>
      <w:bookmarkEnd w:id="71"/>
      <w:bookmarkEnd w:id="72"/>
    </w:p>
    <w:p w14:paraId="22E7B8E2" w14:textId="3882B87F" w:rsidR="00EA3E2B" w:rsidRPr="00BD51BF" w:rsidRDefault="00EA3E2B" w:rsidP="00EA3E2B">
      <w:pPr>
        <w:pStyle w:val="Heading3"/>
        <w:rPr>
          <w:lang w:val="en-GB"/>
        </w:rPr>
      </w:pPr>
      <w:bookmarkStart w:id="73" w:name="_Toc521400472"/>
      <w:bookmarkStart w:id="74" w:name="_Toc518655980"/>
      <w:bookmarkStart w:id="75" w:name="_Toc518466166"/>
      <w:bookmarkStart w:id="76" w:name="_Ref518462376"/>
      <w:bookmarkStart w:id="77" w:name="_Ref45603851"/>
      <w:bookmarkStart w:id="78" w:name="_Toc154052370"/>
      <w:r w:rsidRPr="00BD51BF">
        <w:rPr>
          <w:lang w:val="en-GB"/>
        </w:rPr>
        <w:t xml:space="preserve">Definition of </w:t>
      </w:r>
      <w:r w:rsidR="00412B9B" w:rsidRPr="00BD51BF">
        <w:rPr>
          <w:lang w:val="en-GB"/>
        </w:rPr>
        <w:t>E</w:t>
      </w:r>
      <w:r w:rsidRPr="00BD51BF">
        <w:rPr>
          <w:lang w:val="en-GB"/>
        </w:rPr>
        <w:t>ndpoint</w:t>
      </w:r>
      <w:bookmarkEnd w:id="73"/>
      <w:bookmarkEnd w:id="74"/>
      <w:bookmarkEnd w:id="75"/>
      <w:bookmarkEnd w:id="76"/>
      <w:bookmarkEnd w:id="77"/>
      <w:bookmarkEnd w:id="78"/>
      <w:r w:rsidR="000A76B2" w:rsidRPr="00BD51BF">
        <w:rPr>
          <w:lang w:val="en-GB"/>
        </w:rPr>
        <w:t>s</w:t>
      </w:r>
    </w:p>
    <w:p w14:paraId="46EF072E" w14:textId="77777777" w:rsidR="00585A52" w:rsidRPr="00BD51BF" w:rsidRDefault="00585A52" w:rsidP="00585A52">
      <w:pPr>
        <w:spacing w:before="100" w:beforeAutospacing="1" w:after="100" w:afterAutospacing="1"/>
        <w:rPr>
          <w:lang w:val="en-GB"/>
        </w:rPr>
      </w:pPr>
      <w:r w:rsidRPr="00BD51BF">
        <w:rPr>
          <w:lang w:val="en-GB"/>
        </w:rPr>
        <w:t>The ImPRESS trial has two co-primary estimands corresponding to two imaging-based efficacy outcomes in participants with newly diagnosed glioblastoma.</w:t>
      </w:r>
    </w:p>
    <w:p w14:paraId="5AF338D7" w14:textId="7854E986" w:rsidR="00585A52" w:rsidRPr="00BD51BF" w:rsidRDefault="00585A52" w:rsidP="00585A52">
      <w:pPr>
        <w:spacing w:before="100" w:beforeAutospacing="1" w:after="100" w:afterAutospacing="1"/>
        <w:rPr>
          <w:lang w:val="en-GB"/>
        </w:rPr>
      </w:pPr>
      <w:r w:rsidRPr="00BD51BF">
        <w:rPr>
          <w:lang w:val="en-GB"/>
        </w:rPr>
        <w:t xml:space="preserve">The first primary estimand targets the </w:t>
      </w:r>
      <w:r w:rsidRPr="00BD51BF">
        <w:rPr>
          <w:b/>
          <w:bCs/>
          <w:lang w:val="en-GB"/>
        </w:rPr>
        <w:t xml:space="preserve">mean change from baseline </w:t>
      </w:r>
      <w:r w:rsidR="006C0F76" w:rsidRPr="00BD51BF">
        <w:rPr>
          <w:b/>
          <w:bCs/>
          <w:lang w:val="en-GB"/>
        </w:rPr>
        <w:t>to 14 days after treatment initiation</w:t>
      </w:r>
      <w:r w:rsidRPr="00BD51BF">
        <w:rPr>
          <w:b/>
          <w:bCs/>
          <w:lang w:val="en-GB"/>
        </w:rPr>
        <w:t xml:space="preserve"> in tumour perfusion</w:t>
      </w:r>
      <w:r w:rsidRPr="00BD51BF">
        <w:rPr>
          <w:lang w:val="en-GB"/>
        </w:rPr>
        <w:t>, defined as relative cerebral blood flow measured in the primary tumour area using magnetic resonance imaging–based perfusion techniques and normalised to reference tissue.</w:t>
      </w:r>
    </w:p>
    <w:p w14:paraId="3FD874BC" w14:textId="25945755" w:rsidR="00585A52" w:rsidRPr="00BD51BF" w:rsidRDefault="00585A52" w:rsidP="00585A52">
      <w:pPr>
        <w:spacing w:before="100" w:beforeAutospacing="1" w:after="100" w:afterAutospacing="1"/>
        <w:rPr>
          <w:lang w:val="en-GB"/>
        </w:rPr>
      </w:pPr>
      <w:r w:rsidRPr="00BD51BF">
        <w:rPr>
          <w:lang w:val="en-GB"/>
        </w:rPr>
        <w:t xml:space="preserve">The second primary estimand targets the </w:t>
      </w:r>
      <w:r w:rsidRPr="00BD51BF">
        <w:rPr>
          <w:b/>
          <w:bCs/>
          <w:lang w:val="en-GB"/>
        </w:rPr>
        <w:t xml:space="preserve">mean change from baseline to </w:t>
      </w:r>
      <w:r w:rsidR="006C0F76" w:rsidRPr="00BD51BF">
        <w:rPr>
          <w:b/>
          <w:bCs/>
          <w:lang w:val="en-GB"/>
        </w:rPr>
        <w:t>14 days after treatment initiation</w:t>
      </w:r>
      <w:r w:rsidRPr="00BD51BF">
        <w:rPr>
          <w:b/>
          <w:bCs/>
          <w:lang w:val="en-GB"/>
        </w:rPr>
        <w:t xml:space="preserve"> in mechanical solid stress</w:t>
      </w:r>
      <w:r w:rsidRPr="00BD51BF">
        <w:rPr>
          <w:lang w:val="en-GB"/>
        </w:rPr>
        <w:t>, defined as tumour tissue stiffness derived from the shear wave modulus (G) obtained from MR elastography in the primary tumour area and normalised to reference tissue.</w:t>
      </w:r>
    </w:p>
    <w:p w14:paraId="6E0327F6" w14:textId="77777777" w:rsidR="00585A52" w:rsidRPr="00BD51BF" w:rsidRDefault="00585A52" w:rsidP="00585A52">
      <w:pPr>
        <w:spacing w:before="100" w:beforeAutospacing="1" w:after="100" w:afterAutospacing="1"/>
        <w:rPr>
          <w:lang w:val="en-GB"/>
        </w:rPr>
      </w:pPr>
      <w:r w:rsidRPr="00BD51BF">
        <w:rPr>
          <w:lang w:val="en-GB"/>
        </w:rPr>
        <w:t>For both primary estimands, baseline is defined as the assessment obtained prior to initiation of losartan treatment. Change from baseline is calculated as the post-baseline value minus the baseline value.</w:t>
      </w:r>
    </w:p>
    <w:p w14:paraId="0A20F624" w14:textId="77777777" w:rsidR="00585A52" w:rsidRPr="00BD51BF" w:rsidRDefault="00585A52" w:rsidP="00585A52">
      <w:pPr>
        <w:spacing w:before="100" w:beforeAutospacing="1" w:after="100" w:afterAutospacing="1"/>
        <w:rPr>
          <w:lang w:val="en-GB"/>
        </w:rPr>
      </w:pPr>
      <w:r w:rsidRPr="00BD51BF">
        <w:rPr>
          <w:lang w:val="en-GB"/>
        </w:rPr>
        <w:t>No transformation of the underlying variables (e.g. logarithmic or square-root transformation) is planned prior to analysis; the estimands are defined on the original measurement scales of the respective biomarkers.</w:t>
      </w:r>
    </w:p>
    <w:p w14:paraId="2D8F7A9A" w14:textId="77777777" w:rsidR="00585A52" w:rsidRPr="00BD51BF" w:rsidRDefault="00585A52" w:rsidP="00585A52">
      <w:pPr>
        <w:spacing w:before="100" w:beforeAutospacing="1" w:after="100" w:afterAutospacing="1"/>
        <w:rPr>
          <w:lang w:val="en-GB"/>
        </w:rPr>
      </w:pPr>
      <w:r w:rsidRPr="00BD51BF">
        <w:rPr>
          <w:lang w:val="en-GB"/>
        </w:rPr>
        <w:t>Details of image acquisition, processing, and quality control procedures are described in the study protocol.</w:t>
      </w:r>
    </w:p>
    <w:p w14:paraId="44AF2F06" w14:textId="19F43973" w:rsidR="00EA3E2B" w:rsidRPr="00BD51BF" w:rsidRDefault="00EA3E2B" w:rsidP="00EA3E2B">
      <w:pPr>
        <w:pStyle w:val="Heading3"/>
        <w:rPr>
          <w:lang w:val="en-GB"/>
        </w:rPr>
      </w:pPr>
      <w:bookmarkStart w:id="79" w:name="_Ref518462394"/>
      <w:bookmarkStart w:id="80" w:name="_Toc518466167"/>
      <w:bookmarkStart w:id="81" w:name="_Toc518655981"/>
      <w:bookmarkStart w:id="82" w:name="_Toc521400473"/>
      <w:bookmarkStart w:id="83" w:name="_Toc154052371"/>
      <w:r w:rsidRPr="00BD51BF">
        <w:rPr>
          <w:lang w:val="en-GB"/>
        </w:rPr>
        <w:t xml:space="preserve">Main </w:t>
      </w:r>
      <w:r w:rsidR="00412B9B" w:rsidRPr="00BD51BF">
        <w:rPr>
          <w:lang w:val="en-GB"/>
        </w:rPr>
        <w:t>A</w:t>
      </w:r>
      <w:r w:rsidRPr="00BD51BF">
        <w:rPr>
          <w:lang w:val="en-GB"/>
        </w:rPr>
        <w:t xml:space="preserve">nalytical </w:t>
      </w:r>
      <w:r w:rsidR="00412B9B" w:rsidRPr="00BD51BF">
        <w:rPr>
          <w:lang w:val="en-GB"/>
        </w:rPr>
        <w:t>A</w:t>
      </w:r>
      <w:r w:rsidRPr="00BD51BF">
        <w:rPr>
          <w:lang w:val="en-GB"/>
        </w:rPr>
        <w:t>pproach</w:t>
      </w:r>
      <w:bookmarkEnd w:id="79"/>
      <w:bookmarkEnd w:id="80"/>
      <w:bookmarkEnd w:id="81"/>
      <w:bookmarkEnd w:id="82"/>
      <w:bookmarkEnd w:id="83"/>
    </w:p>
    <w:p w14:paraId="07D91DD0" w14:textId="77777777" w:rsidR="00DD43B6" w:rsidRPr="00BD51BF" w:rsidRDefault="00DD43B6" w:rsidP="00DD43B6">
      <w:pPr>
        <w:spacing w:before="100" w:beforeAutospacing="1" w:after="100" w:afterAutospacing="1"/>
        <w:rPr>
          <w:lang w:val="en-GB"/>
        </w:rPr>
      </w:pPr>
      <w:r w:rsidRPr="00BD51BF">
        <w:rPr>
          <w:lang w:val="en-GB"/>
        </w:rPr>
        <w:t>The main analysis targets the primary estimands defined in Section 1.2 and follows the ICH E9(R1) estimand framework. Analyses will be performed on the Full Analysis Set (Section 3).</w:t>
      </w:r>
    </w:p>
    <w:p w14:paraId="2F59577B" w14:textId="4CD69FD2" w:rsidR="00DD43B6" w:rsidRPr="00BD51BF" w:rsidRDefault="00DD43B6" w:rsidP="00DD43B6">
      <w:pPr>
        <w:spacing w:before="100" w:beforeAutospacing="1" w:after="100" w:afterAutospacing="1"/>
        <w:rPr>
          <w:lang w:val="en-GB"/>
        </w:rPr>
      </w:pPr>
      <w:r w:rsidRPr="00BD51BF">
        <w:rPr>
          <w:lang w:val="en-GB"/>
        </w:rPr>
        <w:t xml:space="preserve">For each co-primary </w:t>
      </w:r>
      <w:r w:rsidR="000A76B2" w:rsidRPr="00BD51BF">
        <w:rPr>
          <w:lang w:val="en-GB"/>
        </w:rPr>
        <w:t>estimand</w:t>
      </w:r>
      <w:r w:rsidRPr="00BD51BF">
        <w:rPr>
          <w:lang w:val="en-GB"/>
        </w:rPr>
        <w:t>, the</w:t>
      </w:r>
      <w:r w:rsidR="006C0F76" w:rsidRPr="00BD51BF">
        <w:rPr>
          <w:lang w:val="en-GB"/>
        </w:rPr>
        <w:t xml:space="preserve"> model will use all </w:t>
      </w:r>
      <w:r w:rsidRPr="00BD51BF">
        <w:rPr>
          <w:lang w:val="en-GB"/>
        </w:rPr>
        <w:t>outcome</w:t>
      </w:r>
      <w:r w:rsidR="006C0F76" w:rsidRPr="00BD51BF">
        <w:rPr>
          <w:lang w:val="en-GB"/>
        </w:rPr>
        <w:t>s from the</w:t>
      </w:r>
      <w:r w:rsidRPr="00BD51BF">
        <w:rPr>
          <w:lang w:val="en-GB"/>
        </w:rPr>
        <w:t xml:space="preserve"> post-baseline visits within the short-term treatment period</w:t>
      </w:r>
      <w:r w:rsidR="006C0F76" w:rsidRPr="00BD51BF">
        <w:rPr>
          <w:lang w:val="en-GB"/>
        </w:rPr>
        <w:t xml:space="preserve"> (i.e. Day 15, 29 and 43). </w:t>
      </w:r>
      <w:r w:rsidRPr="00BD51BF">
        <w:rPr>
          <w:lang w:val="en-GB"/>
        </w:rPr>
        <w:t xml:space="preserve"> </w:t>
      </w:r>
      <w:r w:rsidRPr="00BD51BF">
        <w:rPr>
          <w:lang w:val="en-GB"/>
        </w:rPr>
        <w:t xml:space="preserve">The primary analytical model is a repeated-measures linear mixed effects model with a subject-specific random intercept to account for within-participant correlation across visits. Fixed effects include visit (categorical) and </w:t>
      </w:r>
      <w:r w:rsidR="006C0F76" w:rsidRPr="00BD51BF">
        <w:rPr>
          <w:lang w:val="en-GB"/>
        </w:rPr>
        <w:t xml:space="preserve">randomised </w:t>
      </w:r>
      <w:r w:rsidRPr="00BD51BF">
        <w:rPr>
          <w:lang w:val="en-GB"/>
        </w:rPr>
        <w:t>treatment</w:t>
      </w:r>
      <w:r w:rsidR="006C0F76" w:rsidRPr="00BD51BF">
        <w:rPr>
          <w:lang w:val="en-GB"/>
        </w:rPr>
        <w:t xml:space="preserve"> dose</w:t>
      </w:r>
      <w:r w:rsidRPr="00BD51BF">
        <w:rPr>
          <w:lang w:val="en-GB"/>
        </w:rPr>
        <w:t xml:space="preserve"> </w:t>
      </w:r>
      <w:r w:rsidR="006C0F76" w:rsidRPr="00BD51BF">
        <w:rPr>
          <w:lang w:val="en-GB"/>
        </w:rPr>
        <w:t>at the visit</w:t>
      </w:r>
      <w:r w:rsidRPr="00BD51BF">
        <w:rPr>
          <w:lang w:val="en-GB"/>
        </w:rPr>
        <w:t xml:space="preserve">. </w:t>
      </w:r>
      <w:r w:rsidRPr="00BD51BF">
        <w:rPr>
          <w:lang w:val="en-GB"/>
        </w:rPr>
        <w:t>Further specifications as below:</w:t>
      </w:r>
    </w:p>
    <w:p w14:paraId="117DD5E4" w14:textId="77777777" w:rsidR="00DD43B6" w:rsidRPr="00BD51BF" w:rsidRDefault="00DD43B6" w:rsidP="00DD43B6">
      <w:pPr>
        <w:numPr>
          <w:ilvl w:val="0"/>
          <w:numId w:val="60"/>
        </w:numPr>
        <w:spacing w:before="100" w:beforeAutospacing="1" w:after="100" w:afterAutospacing="1"/>
        <w:rPr>
          <w:lang w:val="en-GB"/>
        </w:rPr>
      </w:pPr>
      <w:r w:rsidRPr="00BD51BF">
        <w:rPr>
          <w:lang w:val="en-GB"/>
        </w:rPr>
        <w:t>For descriptive longitudinal summaries across early visits, estimated marginal means by visit and treatment start step will be obtained from a mixed model of the observed outcome including baseline as a covariate and a step-by-visit interaction, with subject-specific random intercepts.</w:t>
      </w:r>
    </w:p>
    <w:p w14:paraId="238334E4" w14:textId="77777777" w:rsidR="00DD43B6" w:rsidRDefault="00DD43B6" w:rsidP="00DD43B6">
      <w:pPr>
        <w:numPr>
          <w:ilvl w:val="0"/>
          <w:numId w:val="60"/>
        </w:numPr>
        <w:spacing w:before="100" w:beforeAutospacing="1" w:after="100" w:afterAutospacing="1"/>
        <w:rPr>
          <w:lang w:val="en-GB"/>
        </w:rPr>
      </w:pPr>
      <w:r w:rsidRPr="00BD51BF">
        <w:rPr>
          <w:lang w:val="en-GB"/>
        </w:rPr>
        <w:lastRenderedPageBreak/>
        <w:t>For the dose-response analysis, mean change from baseline will be estimated for each planned dose group using a mixed model including baseline as a covariate, visit, and dose group, with a subject-specific random intercept. Model-based estimates and their covariance matrix will be used as input to the MCP-Mod procedure.</w:t>
      </w:r>
    </w:p>
    <w:p w14:paraId="3055C09A" w14:textId="57079284" w:rsidR="003B2EF4" w:rsidRDefault="003B2EF4" w:rsidP="003B2EF4">
      <w:pPr>
        <w:ind w:firstLine="284"/>
      </w:pPr>
      <w:r>
        <w:t>Specifically, the</w:t>
      </w:r>
      <w:r>
        <w:t xml:space="preserve"> mixed model is defined as:</w:t>
      </w:r>
      <w:r>
        <w:tab/>
      </w:r>
    </w:p>
    <w:p w14:paraId="64CA9581" w14:textId="77FFCAD5" w:rsidR="003B2EF4" w:rsidRPr="00C357C5" w:rsidRDefault="003B2EF4" w:rsidP="003B2EF4">
      <w:pPr>
        <w:ind w:firstLine="284"/>
        <w:jc w:val="center"/>
        <w:rPr>
          <w:bCs/>
        </w:rPr>
      </w:pPr>
      <w:r w:rsidRPr="00C357C5">
        <w:rPr>
          <w:bCs/>
          <w:i/>
        </w:rPr>
        <w:t>∆P</w:t>
      </w:r>
      <w:r w:rsidRPr="00C357C5">
        <w:rPr>
          <w:bCs/>
          <w:i/>
          <w:vertAlign w:val="subscript"/>
        </w:rPr>
        <w:t>ij</w:t>
      </w:r>
      <w:r w:rsidRPr="00C357C5">
        <w:rPr>
          <w:bCs/>
          <w:i/>
        </w:rPr>
        <w:t xml:space="preserve"> = A</w:t>
      </w:r>
      <w:r w:rsidR="00D0620D" w:rsidRPr="00D0620D">
        <w:rPr>
          <w:bCs/>
          <w:i/>
          <w:vertAlign w:val="subscript"/>
        </w:rPr>
        <w:t>i</w:t>
      </w:r>
      <w:r w:rsidRPr="00C357C5">
        <w:rPr>
          <w:bCs/>
          <w:i/>
        </w:rPr>
        <w:t xml:space="preserve"> + µ</w:t>
      </w:r>
      <w:r w:rsidRPr="00C357C5">
        <w:rPr>
          <w:bCs/>
          <w:i/>
          <w:vertAlign w:val="subscript"/>
        </w:rPr>
        <w:t>trt</w:t>
      </w:r>
      <w:r w:rsidRPr="00C357C5">
        <w:rPr>
          <w:bCs/>
          <w:i/>
        </w:rPr>
        <w:t xml:space="preserve"> + µ</w:t>
      </w:r>
      <w:r w:rsidRPr="00C357C5">
        <w:rPr>
          <w:bCs/>
          <w:i/>
          <w:vertAlign w:val="subscript"/>
        </w:rPr>
        <w:t>j</w:t>
      </w:r>
      <w:r w:rsidRPr="00C357C5">
        <w:rPr>
          <w:bCs/>
          <w:i/>
        </w:rPr>
        <w:t xml:space="preserve"> + </w:t>
      </w:r>
      <w:r w:rsidRPr="00C357C5">
        <w:rPr>
          <w:rFonts w:ascii="Calibri" w:hAnsi="Calibri" w:cs="Calibri"/>
          <w:bCs/>
          <w:i/>
        </w:rPr>
        <w:t>ϵ</w:t>
      </w:r>
      <w:r w:rsidRPr="00C357C5">
        <w:rPr>
          <w:bCs/>
          <w:i/>
          <w:vertAlign w:val="subscript"/>
        </w:rPr>
        <w:t>ij</w:t>
      </w:r>
    </w:p>
    <w:p w14:paraId="5024D6EA" w14:textId="09D38980" w:rsidR="003B2EF4" w:rsidRPr="00BD51BF" w:rsidRDefault="003B2EF4" w:rsidP="003B2EF4">
      <w:pPr>
        <w:spacing w:before="100" w:beforeAutospacing="1" w:after="100" w:afterAutospacing="1"/>
        <w:rPr>
          <w:lang w:val="en-GB"/>
        </w:rPr>
      </w:pPr>
      <w:r>
        <w:t xml:space="preserve">where </w:t>
      </w:r>
      <w:r w:rsidRPr="004419AB">
        <w:rPr>
          <w:i/>
        </w:rPr>
        <w:t>∆P</w:t>
      </w:r>
      <w:r w:rsidRPr="004419AB">
        <w:rPr>
          <w:i/>
          <w:vertAlign w:val="subscript"/>
        </w:rPr>
        <w:t>ij</w:t>
      </w:r>
      <w:r>
        <w:t xml:space="preserve"> is the change from </w:t>
      </w:r>
      <w:r>
        <w:t xml:space="preserve">baseline </w:t>
      </w:r>
      <w:r>
        <w:t>of patient i = 1..</w:t>
      </w:r>
      <w:r w:rsidRPr="004419AB">
        <w:rPr>
          <w:i/>
        </w:rPr>
        <w:t>N</w:t>
      </w:r>
      <w:r>
        <w:t xml:space="preserve"> at timepoint </w:t>
      </w:r>
      <w:r w:rsidRPr="004419AB">
        <w:rPr>
          <w:i/>
        </w:rPr>
        <w:t>j</w:t>
      </w:r>
      <w:r>
        <w:t>, A</w:t>
      </w:r>
      <w:r w:rsidRPr="004419AB">
        <w:rPr>
          <w:vertAlign w:val="subscript"/>
        </w:rPr>
        <w:t>i</w:t>
      </w:r>
      <w:r>
        <w:t xml:space="preserve"> is the random intercept of patient </w:t>
      </w:r>
      <w:r w:rsidRPr="00C43877">
        <w:rPr>
          <w:i/>
        </w:rPr>
        <w:t>i</w:t>
      </w:r>
      <w:r>
        <w:t xml:space="preserve">, </w:t>
      </w:r>
      <w:r w:rsidRPr="00C43877">
        <w:rPr>
          <w:i/>
        </w:rPr>
        <w:t>µ</w:t>
      </w:r>
      <w:r w:rsidRPr="00C43877">
        <w:rPr>
          <w:i/>
          <w:vertAlign w:val="subscript"/>
        </w:rPr>
        <w:t>trt</w:t>
      </w:r>
      <w:r w:rsidRPr="00C43877">
        <w:rPr>
          <w:i/>
        </w:rPr>
        <w:t xml:space="preserve"> </w:t>
      </w:r>
      <w:r>
        <w:t>is the treatment</w:t>
      </w:r>
      <w:r w:rsidR="00D0620D">
        <w:t xml:space="preserve"> at timepoint </w:t>
      </w:r>
      <w:r w:rsidR="00D0620D" w:rsidRPr="00D0620D">
        <w:rPr>
          <w:i/>
          <w:iCs/>
        </w:rPr>
        <w:t>j</w:t>
      </w:r>
      <w:r>
        <w:t xml:space="preserve">, </w:t>
      </w:r>
      <w:r w:rsidRPr="00C43877">
        <w:rPr>
          <w:i/>
        </w:rPr>
        <w:t>µ</w:t>
      </w:r>
      <w:r w:rsidRPr="00C43877">
        <w:rPr>
          <w:i/>
          <w:vertAlign w:val="subscript"/>
        </w:rPr>
        <w:t>j</w:t>
      </w:r>
      <w:r w:rsidRPr="00C43877">
        <w:rPr>
          <w:i/>
        </w:rPr>
        <w:t xml:space="preserve"> </w:t>
      </w:r>
      <w:r>
        <w:t xml:space="preserve">is the timepoint </w:t>
      </w:r>
      <w:r w:rsidRPr="00C43877">
        <w:rPr>
          <w:i/>
        </w:rPr>
        <w:t>j</w:t>
      </w:r>
      <w:r>
        <w:t xml:space="preserve">, and </w:t>
      </w:r>
      <w:r w:rsidRPr="00C43877">
        <w:rPr>
          <w:rFonts w:ascii="Calibri" w:hAnsi="Calibri" w:cs="Calibri"/>
          <w:i/>
        </w:rPr>
        <w:t>ϵ</w:t>
      </w:r>
      <w:r w:rsidRPr="00C43877">
        <w:rPr>
          <w:i/>
          <w:vertAlign w:val="subscript"/>
        </w:rPr>
        <w:t>ij</w:t>
      </w:r>
      <w:r>
        <w:t xml:space="preserve"> is the residual</w:t>
      </w:r>
    </w:p>
    <w:p w14:paraId="7B90D6FB" w14:textId="77777777" w:rsidR="00DD43B6" w:rsidRPr="00BD51BF" w:rsidRDefault="00DD43B6" w:rsidP="00DD43B6">
      <w:pPr>
        <w:spacing w:before="100" w:beforeAutospacing="1" w:after="100" w:afterAutospacing="1"/>
        <w:rPr>
          <w:lang w:val="en-GB"/>
        </w:rPr>
      </w:pPr>
      <w:r w:rsidRPr="00BD51BF">
        <w:rPr>
          <w:lang w:val="en-GB"/>
        </w:rPr>
        <w:t>No adjustments for additional baseline characteristics are planned beyond the baseline value of the endpoint.</w:t>
      </w:r>
    </w:p>
    <w:p w14:paraId="6403F669" w14:textId="77777777" w:rsidR="008955C5" w:rsidRPr="00BD51BF" w:rsidRDefault="008955C5" w:rsidP="008955C5">
      <w:pPr>
        <w:pStyle w:val="Heading4"/>
        <w:rPr>
          <w:rFonts w:eastAsia="Times New Roman"/>
          <w:lang w:val="en-GB"/>
        </w:rPr>
      </w:pPr>
      <w:r w:rsidRPr="00BD51BF">
        <w:rPr>
          <w:rStyle w:val="Strong"/>
          <w:b/>
          <w:bCs w:val="0"/>
          <w:lang w:val="en-GB"/>
        </w:rPr>
        <w:t>Dose–response assessment (MCP step)</w:t>
      </w:r>
    </w:p>
    <w:p w14:paraId="071110AF" w14:textId="77777777" w:rsidR="008955C5" w:rsidRPr="00BD51BF" w:rsidRDefault="008955C5" w:rsidP="008955C5">
      <w:pPr>
        <w:pStyle w:val="NormalWeb"/>
        <w:rPr>
          <w:lang w:val="en-GB"/>
        </w:rPr>
      </w:pPr>
      <w:r w:rsidRPr="00BD51BF">
        <w:rPr>
          <w:lang w:val="en-GB"/>
        </w:rPr>
        <w:t>The dose–response relationship will be evaluated using the Multiple Comparison Procedure and Modelling (MCP-Mod) framework with a pre-specified set of candidate dose–response models. The candidate models are:</w:t>
      </w:r>
    </w:p>
    <w:p w14:paraId="34B9CAB0" w14:textId="77777777" w:rsidR="008955C5" w:rsidRPr="00BD51BF" w:rsidRDefault="008955C5" w:rsidP="008955C5">
      <w:pPr>
        <w:pStyle w:val="NormalWeb"/>
        <w:numPr>
          <w:ilvl w:val="0"/>
          <w:numId w:val="61"/>
        </w:numPr>
        <w:spacing w:before="100" w:beforeAutospacing="1" w:after="100" w:afterAutospacing="1"/>
        <w:rPr>
          <w:lang w:val="en-GB"/>
        </w:rPr>
      </w:pPr>
      <w:r w:rsidRPr="00BD51BF">
        <w:rPr>
          <w:lang w:val="en-GB"/>
        </w:rPr>
        <w:t>A linear model</w:t>
      </w:r>
    </w:p>
    <w:p w14:paraId="56A195DB" w14:textId="141538B5" w:rsidR="008955C5" w:rsidRPr="00BD51BF" w:rsidRDefault="008955C5" w:rsidP="008955C5">
      <w:pPr>
        <w:pStyle w:val="NormalWeb"/>
        <w:numPr>
          <w:ilvl w:val="0"/>
          <w:numId w:val="61"/>
        </w:numPr>
        <w:spacing w:before="100" w:beforeAutospacing="1" w:after="100" w:afterAutospacing="1"/>
        <w:rPr>
          <w:lang w:val="en-GB"/>
        </w:rPr>
      </w:pPr>
      <w:r w:rsidRPr="00BD51BF">
        <w:rPr>
          <w:lang w:val="en-GB"/>
        </w:rPr>
        <w:t xml:space="preserve">A </w:t>
      </w:r>
      <w:r w:rsidRPr="00BD51BF">
        <w:rPr>
          <w:rStyle w:val="Strong"/>
          <w:lang w:val="en-GB"/>
        </w:rPr>
        <w:t>piecewise linear</w:t>
      </w:r>
      <w:r w:rsidRPr="00BD51BF">
        <w:rPr>
          <w:rStyle w:val="Strong"/>
          <w:rFonts w:eastAsia="MS Gothic"/>
          <w:lang w:val="en-GB"/>
        </w:rPr>
        <w:t xml:space="preserve"> </w:t>
      </w:r>
      <w:r w:rsidR="000A76B2" w:rsidRPr="00BD51BF">
        <w:rPr>
          <w:rStyle w:val="Strong"/>
          <w:lang w:val="en-GB"/>
        </w:rPr>
        <w:t xml:space="preserve">(linear spline) </w:t>
      </w:r>
      <w:r w:rsidRPr="00BD51BF">
        <w:rPr>
          <w:rStyle w:val="Strong"/>
          <w:rFonts w:eastAsia="MS Gothic"/>
          <w:lang w:val="en-GB"/>
        </w:rPr>
        <w:t>model</w:t>
      </w:r>
      <w:r w:rsidRPr="00BD51BF">
        <w:rPr>
          <w:lang w:val="en-GB"/>
        </w:rPr>
        <w:t xml:space="preserve"> with knots fixed at the planned dose levels</w:t>
      </w:r>
    </w:p>
    <w:p w14:paraId="0FFEDD2F" w14:textId="77777777" w:rsidR="008955C5" w:rsidRPr="00BD51BF" w:rsidRDefault="008955C5" w:rsidP="008955C5">
      <w:pPr>
        <w:pStyle w:val="NormalWeb"/>
        <w:numPr>
          <w:ilvl w:val="0"/>
          <w:numId w:val="61"/>
        </w:numPr>
        <w:spacing w:before="100" w:beforeAutospacing="1" w:after="100" w:afterAutospacing="1"/>
        <w:rPr>
          <w:lang w:val="en-GB"/>
        </w:rPr>
      </w:pPr>
      <w:r w:rsidRPr="00BD51BF">
        <w:rPr>
          <w:lang w:val="en-GB"/>
        </w:rPr>
        <w:t>An Emax model with ED50 fixed at 30 mg</w:t>
      </w:r>
    </w:p>
    <w:p w14:paraId="3F7819C2" w14:textId="77777777" w:rsidR="008955C5" w:rsidRPr="00BD51BF" w:rsidRDefault="008955C5" w:rsidP="008955C5">
      <w:pPr>
        <w:pStyle w:val="NormalWeb"/>
        <w:numPr>
          <w:ilvl w:val="0"/>
          <w:numId w:val="61"/>
        </w:numPr>
        <w:spacing w:before="100" w:beforeAutospacing="1" w:after="100" w:afterAutospacing="1"/>
        <w:rPr>
          <w:lang w:val="en-GB"/>
        </w:rPr>
      </w:pPr>
      <w:r w:rsidRPr="00BD51BF">
        <w:rPr>
          <w:lang w:val="en-GB"/>
        </w:rPr>
        <w:t>A sigmoid Emax model with ED50 fixed at 40 mg and steepness fixed at 5</w:t>
      </w:r>
    </w:p>
    <w:p w14:paraId="63E3873B" w14:textId="77777777" w:rsidR="000A76B2" w:rsidRPr="00BD51BF" w:rsidRDefault="000A76B2" w:rsidP="008955C5">
      <w:pPr>
        <w:pStyle w:val="NormalWeb"/>
        <w:rPr>
          <w:lang w:val="en-GB"/>
        </w:rPr>
      </w:pPr>
      <w:r w:rsidRPr="00BD51BF">
        <w:rPr>
          <w:noProof/>
          <w:lang w:val="en-GB"/>
        </w:rPr>
        <w:lastRenderedPageBreak/>
        <w:drawing>
          <wp:inline distT="0" distB="0" distL="0" distR="0" wp14:anchorId="53427623" wp14:editId="01D649F3">
            <wp:extent cx="5943600" cy="4046855"/>
            <wp:effectExtent l="0" t="0" r="0" b="4445"/>
            <wp:docPr id="163755307"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5307" name="Picture 1" descr="A graph of a line graph&#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4046855"/>
                    </a:xfrm>
                    <a:prstGeom prst="rect">
                      <a:avLst/>
                    </a:prstGeom>
                  </pic:spPr>
                </pic:pic>
              </a:graphicData>
            </a:graphic>
          </wp:inline>
        </w:drawing>
      </w:r>
    </w:p>
    <w:p w14:paraId="58AF1703" w14:textId="14DFAC59" w:rsidR="008955C5" w:rsidRPr="00BD51BF" w:rsidRDefault="008955C5" w:rsidP="008955C5">
      <w:pPr>
        <w:pStyle w:val="NormalWeb"/>
        <w:rPr>
          <w:lang w:val="en-GB"/>
        </w:rPr>
      </w:pPr>
      <w:r w:rsidRPr="00BD51BF">
        <w:rPr>
          <w:lang w:val="en-GB"/>
        </w:rPr>
        <w:t>For each candidate model, optimal contrast tests will be constructed using the model-based dose-group estimates and their covariance matrix. Multiplicity adjustment will be applied across the set of candidate models.</w:t>
      </w:r>
    </w:p>
    <w:p w14:paraId="5012AAA0" w14:textId="77777777" w:rsidR="008955C5" w:rsidRPr="00BD51BF" w:rsidRDefault="008955C5" w:rsidP="008955C5">
      <w:pPr>
        <w:pStyle w:val="NormalWeb"/>
        <w:rPr>
          <w:lang w:val="en-GB"/>
        </w:rPr>
      </w:pPr>
      <w:r w:rsidRPr="00BD51BF">
        <w:rPr>
          <w:lang w:val="en-GB"/>
        </w:rPr>
        <w:t>A one-sided hypothesis test with a nominal significance level of 2.5% will be used to test the null hypothesis of no dose–response relationship against the alternative that the dose–response follows one of the pre-specified candidate models. A statistically significant dose–response signal is declared if at least one multiplicity-adjusted p-value is below the nominal significance level.</w:t>
      </w:r>
    </w:p>
    <w:p w14:paraId="7728A279" w14:textId="77777777" w:rsidR="008955C5" w:rsidRPr="00BD51BF" w:rsidRDefault="008955C5" w:rsidP="008955C5">
      <w:pPr>
        <w:pStyle w:val="Heading4"/>
        <w:rPr>
          <w:lang w:val="en-GB"/>
        </w:rPr>
      </w:pPr>
      <w:r w:rsidRPr="00BD51BF">
        <w:rPr>
          <w:rStyle w:val="Strong"/>
          <w:b/>
          <w:bCs w:val="0"/>
          <w:lang w:val="en-GB"/>
        </w:rPr>
        <w:t>Modelling step (Mod step)</w:t>
      </w:r>
    </w:p>
    <w:p w14:paraId="6CEE00CD" w14:textId="77777777" w:rsidR="008955C5" w:rsidRPr="00BD51BF" w:rsidRDefault="008955C5" w:rsidP="008955C5">
      <w:pPr>
        <w:pStyle w:val="NormalWeb"/>
        <w:rPr>
          <w:lang w:val="en-GB"/>
        </w:rPr>
      </w:pPr>
      <w:r w:rsidRPr="00BD51BF">
        <w:rPr>
          <w:lang w:val="en-GB"/>
        </w:rPr>
        <w:t>If a statistically significant dose–response signal is established in the MCP step, the corresponding dose–response models will be fitted to estimate the dose–response relationship. Model-based estimates, confidence intervals, and relevant dose metrics (e.g. effective doses) will be derived and presented descriptively.</w:t>
      </w:r>
    </w:p>
    <w:p w14:paraId="01A1BAA1" w14:textId="77777777" w:rsidR="008955C5" w:rsidRPr="00BD51BF" w:rsidRDefault="008955C5" w:rsidP="008955C5">
      <w:pPr>
        <w:pStyle w:val="Heading4"/>
        <w:rPr>
          <w:lang w:val="en-GB"/>
        </w:rPr>
      </w:pPr>
      <w:r w:rsidRPr="00BD51BF">
        <w:rPr>
          <w:rStyle w:val="Strong"/>
          <w:b/>
          <w:bCs w:val="0"/>
          <w:lang w:val="en-GB"/>
        </w:rPr>
        <w:t>Multiplicity across co-primary endpoints</w:t>
      </w:r>
    </w:p>
    <w:p w14:paraId="3481533C" w14:textId="77777777" w:rsidR="008955C5" w:rsidRPr="00BD51BF" w:rsidRDefault="008955C5" w:rsidP="008955C5">
      <w:pPr>
        <w:pStyle w:val="NormalWeb"/>
        <w:rPr>
          <w:lang w:val="en-GB"/>
        </w:rPr>
      </w:pPr>
      <w:r w:rsidRPr="00BD51BF">
        <w:rPr>
          <w:lang w:val="en-GB"/>
        </w:rPr>
        <w:t>Multiplicity across the two co-primary endpoints will be addressed using a hierarchical testing strategy. The MCP-Mod procedure will first be applied to the perfusion endpoint. Only if a statistically significant dose–response signal is established for perfusion will the same procedure be applied to the solid stress endpoint. If the perfusion endpoint does not demonstrate a statistically significant dose–response signal, the solid stress endpoint will be regarded as not statistically significant within this hierarchical framework.</w:t>
      </w:r>
    </w:p>
    <w:p w14:paraId="6062E6BC" w14:textId="77777777" w:rsidR="008955C5" w:rsidRPr="00BD51BF" w:rsidRDefault="008955C5" w:rsidP="008955C5">
      <w:pPr>
        <w:pStyle w:val="Heading4"/>
        <w:rPr>
          <w:lang w:val="en-GB"/>
        </w:rPr>
      </w:pPr>
      <w:r w:rsidRPr="00BD51BF">
        <w:rPr>
          <w:rStyle w:val="Strong"/>
          <w:b/>
          <w:bCs w:val="0"/>
          <w:lang w:val="en-GB"/>
        </w:rPr>
        <w:lastRenderedPageBreak/>
        <w:t>Intercurrent events and missing data</w:t>
      </w:r>
    </w:p>
    <w:p w14:paraId="4D3A99A5" w14:textId="77777777" w:rsidR="008955C5" w:rsidRPr="00BD51BF" w:rsidRDefault="008955C5" w:rsidP="008955C5">
      <w:pPr>
        <w:pStyle w:val="NormalWeb"/>
        <w:rPr>
          <w:lang w:val="en-GB"/>
        </w:rPr>
      </w:pPr>
      <w:r w:rsidRPr="00BD51BF">
        <w:rPr>
          <w:lang w:val="en-GB"/>
        </w:rPr>
        <w:t>Intercurrent events are handled according to the strategies specified in Sections 1 and 2.3. Missing outcome data are handled implicitly through likelihood-based estimation in the mixed effects models under the assumption that data are missing at random, as described in Section 2.4. No explicit imputation is performed for the primary analyses.</w:t>
      </w:r>
    </w:p>
    <w:p w14:paraId="5C251AEB" w14:textId="77777777" w:rsidR="008955C5" w:rsidRPr="00BD51BF" w:rsidRDefault="008955C5" w:rsidP="008955C5">
      <w:pPr>
        <w:pStyle w:val="Heading4"/>
        <w:rPr>
          <w:lang w:val="en-GB"/>
        </w:rPr>
      </w:pPr>
      <w:r w:rsidRPr="00BD51BF">
        <w:rPr>
          <w:rStyle w:val="Strong"/>
          <w:b/>
          <w:bCs w:val="0"/>
          <w:lang w:val="en-GB"/>
        </w:rPr>
        <w:t>Presentation of results</w:t>
      </w:r>
    </w:p>
    <w:p w14:paraId="16868A42" w14:textId="77777777" w:rsidR="008955C5" w:rsidRPr="00BD51BF" w:rsidRDefault="008955C5" w:rsidP="008955C5">
      <w:pPr>
        <w:pStyle w:val="NormalWeb"/>
        <w:rPr>
          <w:lang w:val="en-GB"/>
        </w:rPr>
      </w:pPr>
      <w:r w:rsidRPr="00BD51BF">
        <w:rPr>
          <w:lang w:val="en-GB"/>
        </w:rPr>
        <w:t>Results will be presented as model-based estimates of mean change from baseline for each dose group with corresponding 95% confidence intervals. For the MCP step, multiplicity-adjusted p-values will be reported for each candidate dose–response model. Graphical displays of the candidate models and fitted dose–response curves will be provided to aid interpretation.</w:t>
      </w:r>
    </w:p>
    <w:p w14:paraId="4272B422" w14:textId="77777777" w:rsidR="008955C5" w:rsidRPr="00BD51BF" w:rsidRDefault="008955C5" w:rsidP="008955C5">
      <w:pPr>
        <w:pStyle w:val="Heading4"/>
        <w:rPr>
          <w:lang w:val="en-GB"/>
        </w:rPr>
      </w:pPr>
      <w:r w:rsidRPr="00BD51BF">
        <w:rPr>
          <w:rStyle w:val="Strong"/>
          <w:b/>
          <w:bCs w:val="0"/>
          <w:lang w:val="en-GB"/>
        </w:rPr>
        <w:t>Model diagnostics</w:t>
      </w:r>
    </w:p>
    <w:p w14:paraId="457551FF" w14:textId="77777777" w:rsidR="008955C5" w:rsidRPr="00BD51BF" w:rsidRDefault="008955C5" w:rsidP="008955C5">
      <w:pPr>
        <w:pStyle w:val="NormalWeb"/>
        <w:rPr>
          <w:lang w:val="en-GB"/>
        </w:rPr>
      </w:pPr>
      <w:r w:rsidRPr="00BD51BF">
        <w:rPr>
          <w:lang w:val="en-GB"/>
        </w:rPr>
        <w:t>Model assumptions will be assessed using standard diagnostic procedures, including visual inspection of residual distributions and residuals versus fitted values. These diagnostics are intended to evaluate the adequacy of the assumed model structure. No data-driven modifications of the primary analysis model are planned based on these assessments.</w:t>
      </w:r>
    </w:p>
    <w:p w14:paraId="379B8253" w14:textId="77777777" w:rsidR="00DD43B6" w:rsidRPr="00BD51BF" w:rsidRDefault="00DD43B6" w:rsidP="00DD43B6">
      <w:pPr>
        <w:rPr>
          <w:lang w:val="en-GB" w:eastAsia="ja-JP"/>
        </w:rPr>
      </w:pPr>
    </w:p>
    <w:p w14:paraId="0E31D4B2" w14:textId="0BAA6291" w:rsidR="00EA3E2B" w:rsidRPr="00BD51BF" w:rsidRDefault="009A4CDF" w:rsidP="00EA3E2B">
      <w:pPr>
        <w:pStyle w:val="Heading3"/>
        <w:rPr>
          <w:rStyle w:val="CPTVariable"/>
          <w:lang w:val="en-GB"/>
        </w:rPr>
      </w:pPr>
      <w:bookmarkStart w:id="84" w:name="_Ref518462410"/>
      <w:bookmarkStart w:id="85" w:name="_Toc518466168"/>
      <w:bookmarkStart w:id="86" w:name="_Toc518655982"/>
      <w:bookmarkStart w:id="87" w:name="_Toc521400474"/>
      <w:bookmarkStart w:id="88" w:name="_Toc44422564"/>
      <w:bookmarkStart w:id="89" w:name="_Ref34741151"/>
      <w:bookmarkStart w:id="90" w:name="_Toc154052372"/>
      <w:r w:rsidRPr="00BD51BF">
        <w:rPr>
          <w:lang w:val="en-GB"/>
        </w:rPr>
        <w:t>Sensitivity</w:t>
      </w:r>
      <w:r w:rsidR="00764BB2" w:rsidRPr="00BD51BF">
        <w:rPr>
          <w:lang w:val="en-GB"/>
        </w:rPr>
        <w:t xml:space="preserve"> Analyses</w:t>
      </w:r>
      <w:r w:rsidRPr="00BD51BF">
        <w:rPr>
          <w:lang w:val="en-GB"/>
        </w:rPr>
        <w:t xml:space="preserve"> </w:t>
      </w:r>
      <w:bookmarkEnd w:id="84"/>
      <w:bookmarkEnd w:id="85"/>
      <w:bookmarkEnd w:id="86"/>
      <w:bookmarkEnd w:id="87"/>
      <w:bookmarkEnd w:id="88"/>
      <w:bookmarkEnd w:id="89"/>
      <w:bookmarkEnd w:id="90"/>
    </w:p>
    <w:p w14:paraId="54A33DDE" w14:textId="77777777" w:rsidR="00764BB2" w:rsidRPr="00BD51BF" w:rsidRDefault="00764BB2" w:rsidP="00764BB2">
      <w:pPr>
        <w:spacing w:before="100" w:beforeAutospacing="1" w:after="100" w:afterAutospacing="1"/>
        <w:rPr>
          <w:lang w:val="en-GB"/>
        </w:rPr>
      </w:pPr>
      <w:bookmarkStart w:id="91" w:name="_Ref518462418"/>
      <w:bookmarkStart w:id="92" w:name="_Toc518466169"/>
      <w:bookmarkStart w:id="93" w:name="_Toc518655983"/>
      <w:bookmarkStart w:id="94" w:name="_Toc521400475"/>
      <w:bookmarkStart w:id="95" w:name="_Ref45603887"/>
      <w:bookmarkStart w:id="96" w:name="_Toc154052373"/>
      <w:r w:rsidRPr="00BD51BF">
        <w:rPr>
          <w:lang w:val="en-GB"/>
        </w:rPr>
        <w:t>For each co-primary estimand, a sensitivity analysis will be performed using an alternative definition of the imaging endpoint based on an oedema-targeted region of interest (ROI2). The sensitivity analyses differ from the primary analyses only in the region of interest used to derive the endpoint; all other estimand attributes and analytical methods remain unchanged.</w:t>
      </w:r>
    </w:p>
    <w:p w14:paraId="1589501B" w14:textId="77777777" w:rsidR="00764BB2" w:rsidRPr="00BD51BF" w:rsidRDefault="00764BB2" w:rsidP="00764BB2">
      <w:pPr>
        <w:spacing w:before="100" w:beforeAutospacing="1" w:after="100" w:afterAutospacing="1"/>
        <w:rPr>
          <w:lang w:val="en-GB"/>
        </w:rPr>
      </w:pPr>
      <w:r w:rsidRPr="00BD51BF">
        <w:rPr>
          <w:lang w:val="en-GB"/>
        </w:rPr>
        <w:t>Results from the sensitivity analyses will be interpreted in relation to the primary analyses to assess robustness to the choice of region of interest.</w:t>
      </w:r>
    </w:p>
    <w:p w14:paraId="6AD92F88" w14:textId="62319099" w:rsidR="00EA3E2B" w:rsidRPr="00BD51BF" w:rsidRDefault="00EA3E2B" w:rsidP="00EA3E2B">
      <w:pPr>
        <w:pStyle w:val="Heading3"/>
        <w:rPr>
          <w:rStyle w:val="CPTVariable"/>
          <w:lang w:val="en-GB"/>
        </w:rPr>
      </w:pPr>
      <w:r w:rsidRPr="00BD51BF">
        <w:rPr>
          <w:lang w:val="en-GB"/>
        </w:rPr>
        <w:t>Supplementary</w:t>
      </w:r>
      <w:r w:rsidR="00764BB2" w:rsidRPr="00BD51BF">
        <w:rPr>
          <w:lang w:val="en-GB"/>
        </w:rPr>
        <w:t xml:space="preserve"> Analyses</w:t>
      </w:r>
      <w:r w:rsidRPr="00BD51BF">
        <w:rPr>
          <w:lang w:val="en-GB"/>
        </w:rPr>
        <w:t xml:space="preserve"> </w:t>
      </w:r>
      <w:bookmarkEnd w:id="91"/>
      <w:bookmarkEnd w:id="92"/>
      <w:bookmarkEnd w:id="93"/>
      <w:bookmarkEnd w:id="94"/>
      <w:bookmarkEnd w:id="95"/>
      <w:bookmarkEnd w:id="96"/>
    </w:p>
    <w:p w14:paraId="3C785FB0" w14:textId="0B5AEEC2" w:rsidR="00764BB2" w:rsidRPr="00BD51BF" w:rsidRDefault="00764BB2" w:rsidP="00764BB2">
      <w:pPr>
        <w:spacing w:before="100" w:beforeAutospacing="1" w:after="100" w:afterAutospacing="1"/>
        <w:rPr>
          <w:lang w:val="en-GB"/>
        </w:rPr>
      </w:pPr>
      <w:r w:rsidRPr="00BD51BF">
        <w:rPr>
          <w:lang w:val="en-GB"/>
        </w:rPr>
        <w:t>Supplementary analyses will include descriptive and supportive summaries to aid interpretation of the primary analyses. These include:</w:t>
      </w:r>
    </w:p>
    <w:p w14:paraId="70FBBF65" w14:textId="53512D8F" w:rsidR="00764BB2" w:rsidRPr="00BD51BF" w:rsidRDefault="00764BB2" w:rsidP="00764BB2">
      <w:pPr>
        <w:numPr>
          <w:ilvl w:val="0"/>
          <w:numId w:val="62"/>
        </w:numPr>
        <w:spacing w:before="100" w:beforeAutospacing="1" w:after="100" w:afterAutospacing="1"/>
        <w:rPr>
          <w:lang w:val="en-GB"/>
        </w:rPr>
      </w:pPr>
      <w:r w:rsidRPr="00BD51BF">
        <w:rPr>
          <w:lang w:val="en-GB"/>
        </w:rPr>
        <w:t>Model-based estimated mean change from baseline by dose group with 95% confidence intervals.</w:t>
      </w:r>
      <w:r w:rsidRPr="00BD51BF">
        <w:rPr>
          <w:lang w:val="en-GB"/>
        </w:rPr>
        <w:t xml:space="preserve"> This is based on the primary analysis model. </w:t>
      </w:r>
    </w:p>
    <w:p w14:paraId="04EA8B71" w14:textId="4A40413A" w:rsidR="00764BB2" w:rsidRPr="00BD51BF" w:rsidRDefault="00764BB2" w:rsidP="00764BB2">
      <w:pPr>
        <w:numPr>
          <w:ilvl w:val="0"/>
          <w:numId w:val="62"/>
        </w:numPr>
        <w:spacing w:before="100" w:beforeAutospacing="1" w:after="100" w:afterAutospacing="1"/>
        <w:rPr>
          <w:lang w:val="en-GB"/>
        </w:rPr>
      </w:pPr>
      <w:r w:rsidRPr="00BD51BF">
        <w:rPr>
          <w:lang w:val="en-GB"/>
        </w:rPr>
        <w:t>Pairwise differences in mean change from baseline comparing each active dose to 0 mg</w:t>
      </w:r>
      <w:r w:rsidRPr="00BD51BF">
        <w:rPr>
          <w:lang w:val="en-GB"/>
        </w:rPr>
        <w:t xml:space="preserve"> as mean with 95% confidence intervals. This is based on the primary analysis model. </w:t>
      </w:r>
    </w:p>
    <w:p w14:paraId="34F42A5E" w14:textId="77777777" w:rsidR="00764BB2" w:rsidRPr="00BD51BF" w:rsidRDefault="00764BB2" w:rsidP="00764BB2">
      <w:pPr>
        <w:numPr>
          <w:ilvl w:val="0"/>
          <w:numId w:val="62"/>
        </w:numPr>
        <w:spacing w:before="100" w:beforeAutospacing="1" w:after="100" w:afterAutospacing="1"/>
        <w:rPr>
          <w:lang w:val="en-GB"/>
        </w:rPr>
      </w:pPr>
      <w:r w:rsidRPr="00BD51BF">
        <w:rPr>
          <w:lang w:val="en-GB"/>
        </w:rPr>
        <w:t>Graphical displays of observed and model-based responses over time by visit and treatment start step.</w:t>
      </w:r>
    </w:p>
    <w:p w14:paraId="160A3A75" w14:textId="77777777" w:rsidR="00764BB2" w:rsidRPr="00BD51BF" w:rsidRDefault="00764BB2" w:rsidP="00764BB2">
      <w:pPr>
        <w:numPr>
          <w:ilvl w:val="0"/>
          <w:numId w:val="62"/>
        </w:numPr>
        <w:spacing w:before="100" w:beforeAutospacing="1" w:after="100" w:afterAutospacing="1"/>
        <w:rPr>
          <w:lang w:val="en-GB"/>
        </w:rPr>
      </w:pPr>
      <w:r w:rsidRPr="00BD51BF">
        <w:rPr>
          <w:lang w:val="en-GB"/>
        </w:rPr>
        <w:t>Graphical presentation of candidate dose–response models and fitted dose–response curves from the Mod step.</w:t>
      </w:r>
    </w:p>
    <w:p w14:paraId="30A591BA" w14:textId="58A2D57E" w:rsidR="00764BB2" w:rsidRPr="00BD51BF" w:rsidRDefault="00764BB2" w:rsidP="00764BB2">
      <w:pPr>
        <w:spacing w:before="100" w:beforeAutospacing="1" w:after="100" w:afterAutospacing="1"/>
        <w:rPr>
          <w:lang w:val="en-GB"/>
        </w:rPr>
      </w:pPr>
      <w:r w:rsidRPr="00BD51BF">
        <w:rPr>
          <w:lang w:val="en-GB"/>
        </w:rPr>
        <w:t xml:space="preserve">Finally </w:t>
      </w:r>
      <w:r w:rsidRPr="00BD51BF">
        <w:rPr>
          <w:lang w:val="en-GB"/>
        </w:rPr>
        <w:t xml:space="preserve">a contrast comparing </w:t>
      </w:r>
      <w:r w:rsidRPr="00BD51BF">
        <w:rPr>
          <w:b/>
          <w:bCs/>
          <w:lang w:val="en-GB"/>
        </w:rPr>
        <w:t>any dose of losartan</w:t>
      </w:r>
      <w:r w:rsidRPr="00BD51BF">
        <w:rPr>
          <w:lang w:val="en-GB"/>
        </w:rPr>
        <w:t xml:space="preserve"> (25 mg, 50 mg, or 100 mg) versus </w:t>
      </w:r>
      <w:r w:rsidRPr="00BD51BF">
        <w:rPr>
          <w:b/>
          <w:bCs/>
          <w:lang w:val="en-GB"/>
        </w:rPr>
        <w:t>no losartan (0 mg)</w:t>
      </w:r>
      <w:r w:rsidRPr="00BD51BF">
        <w:rPr>
          <w:lang w:val="en-GB"/>
        </w:rPr>
        <w:t xml:space="preserve"> will be performed. For this analysis, all active dose groups will be pooled and compared with the 0 mg group using the same linear mixed effects model as used for the primary analyses, including baseline adjustment and subject-specific random intercepts.</w:t>
      </w:r>
    </w:p>
    <w:p w14:paraId="5AD44969" w14:textId="77777777" w:rsidR="00764BB2" w:rsidRPr="00BD51BF" w:rsidRDefault="00764BB2" w:rsidP="00764BB2">
      <w:pPr>
        <w:spacing w:before="100" w:beforeAutospacing="1" w:after="100" w:afterAutospacing="1"/>
        <w:rPr>
          <w:lang w:val="en-GB"/>
        </w:rPr>
      </w:pPr>
      <w:r w:rsidRPr="00BD51BF">
        <w:rPr>
          <w:lang w:val="en-GB"/>
        </w:rPr>
        <w:lastRenderedPageBreak/>
        <w:t>The estimated mean difference in change from baseline between any losartan dose and no losartan will be reported with a 95% confidence interval. This analysis is intended to provide a descriptive assessment of a potential common treatment effect of losartan, corresponding to a step-like dose–response pattern, and is not part of the multiplicity-controlled MCP-Mod procedure.</w:t>
      </w:r>
    </w:p>
    <w:p w14:paraId="4D78A38B" w14:textId="77777777" w:rsidR="00764BB2" w:rsidRPr="00BD51BF" w:rsidRDefault="00764BB2" w:rsidP="00764BB2">
      <w:pPr>
        <w:rPr>
          <w:lang w:val="en-GB" w:eastAsia="ja-JP"/>
        </w:rPr>
      </w:pPr>
    </w:p>
    <w:p w14:paraId="055B7883" w14:textId="0A25FBAE" w:rsidR="00A7212D" w:rsidRPr="00BD51BF" w:rsidRDefault="00A7212D" w:rsidP="00A7212D">
      <w:pPr>
        <w:pStyle w:val="Heading1"/>
        <w:rPr>
          <w:rFonts w:eastAsia="Times New Roman"/>
          <w:sz w:val="36"/>
          <w:szCs w:val="36"/>
          <w:lang w:val="en-GB"/>
        </w:rPr>
      </w:pPr>
      <w:bookmarkStart w:id="97" w:name="_Toc154052374"/>
      <w:r w:rsidRPr="00BD51BF">
        <w:rPr>
          <w:rStyle w:val="Strong"/>
          <w:b/>
          <w:bCs w:val="0"/>
          <w:lang w:val="en-GB"/>
        </w:rPr>
        <w:lastRenderedPageBreak/>
        <w:t>Analyses Supporting Secondary Objective(s)</w:t>
      </w:r>
    </w:p>
    <w:p w14:paraId="212AFE4D" w14:textId="64667497" w:rsidR="00A7212D" w:rsidRPr="00BD51BF" w:rsidRDefault="00A7212D" w:rsidP="00A7212D">
      <w:pPr>
        <w:pStyle w:val="Heading2"/>
        <w:rPr>
          <w:lang w:val="en-GB"/>
        </w:rPr>
      </w:pPr>
      <w:r w:rsidRPr="00BD51BF">
        <w:rPr>
          <w:rStyle w:val="Strong"/>
          <w:b/>
          <w:bCs w:val="0"/>
          <w:lang w:val="en-GB"/>
        </w:rPr>
        <w:t>Secondary Estimands</w:t>
      </w:r>
    </w:p>
    <w:p w14:paraId="58410A91" w14:textId="77777777" w:rsidR="00BD51BF" w:rsidRPr="00BD51BF" w:rsidRDefault="00BD51BF" w:rsidP="00BD51BF">
      <w:pPr>
        <w:spacing w:before="100" w:beforeAutospacing="1" w:after="100" w:afterAutospacing="1"/>
        <w:rPr>
          <w:lang w:val="en-GB"/>
        </w:rPr>
      </w:pPr>
      <w:r w:rsidRPr="00BD51BF">
        <w:rPr>
          <w:lang w:val="en-GB"/>
        </w:rPr>
        <w:t>Secondary estimands address dose–response relationships of losartan on additional imaging, clinical, and patient-reported outcomes in participants with newly diagnosed glioblastoma, assessed over short-term and long-term periods following treatment initiation, as defined in Section 1.3. All secondary analyses are exploratory and will be performed on the Full Analysis Set (Section 3).</w:t>
      </w:r>
    </w:p>
    <w:p w14:paraId="523F4CFE" w14:textId="77777777" w:rsidR="00BD51BF" w:rsidRPr="00BD51BF" w:rsidRDefault="00BD51BF" w:rsidP="00BD51BF">
      <w:pPr>
        <w:spacing w:before="100" w:beforeAutospacing="1" w:after="100" w:afterAutospacing="1"/>
        <w:rPr>
          <w:lang w:val="en-GB"/>
        </w:rPr>
      </w:pPr>
      <w:r w:rsidRPr="00BD51BF">
        <w:rPr>
          <w:lang w:val="en-GB"/>
        </w:rPr>
        <w:t>For short-term estimands, outcomes are operationalised using scheduled post-baseline assessments within the short-term period (nominally Days 15, 29, and 43) and the estimand-relevant effect is derived from the first post-baseline assessment. For long-term estimands, outcomes are operationalised using scheduled long-term assessments (nominally Days 155 and 239, and where relevant Day 141 and/or Day 225).</w:t>
      </w:r>
    </w:p>
    <w:p w14:paraId="617990D3" w14:textId="77777777" w:rsidR="00BD51BF" w:rsidRPr="00BD51BF" w:rsidRDefault="00BD51BF" w:rsidP="00BD51BF">
      <w:pPr>
        <w:spacing w:before="100" w:beforeAutospacing="1" w:after="100" w:afterAutospacing="1"/>
        <w:rPr>
          <w:lang w:val="en-GB"/>
        </w:rPr>
      </w:pPr>
      <w:r w:rsidRPr="00BD51BF">
        <w:rPr>
          <w:lang w:val="en-GB"/>
        </w:rPr>
        <w:t>No multiplicity adjustment is planned for secondary endpoints.</w:t>
      </w:r>
    </w:p>
    <w:p w14:paraId="2D2D736B" w14:textId="4B39D390" w:rsidR="003B2EF4" w:rsidRDefault="003B2EF4" w:rsidP="003B2EF4">
      <w:pPr>
        <w:pStyle w:val="Heading2"/>
        <w:rPr>
          <w:rFonts w:eastAsia="Times New Roman"/>
          <w:sz w:val="27"/>
          <w:szCs w:val="27"/>
        </w:rPr>
      </w:pPr>
      <w:r>
        <w:rPr>
          <w:rStyle w:val="Strong"/>
          <w:b/>
          <w:bCs w:val="0"/>
        </w:rPr>
        <w:t>Secondary Imaging Endpoints</w:t>
      </w:r>
    </w:p>
    <w:p w14:paraId="36D27587" w14:textId="442FA725" w:rsidR="00BD51BF" w:rsidRPr="003B2EF4" w:rsidRDefault="003B2EF4" w:rsidP="003B2EF4">
      <w:pPr>
        <w:pStyle w:val="NormalWeb"/>
        <w:rPr>
          <w:rFonts w:eastAsia="Calibri"/>
          <w:lang w:val="en-US" w:eastAsia="en-US"/>
        </w:rPr>
      </w:pPr>
      <w:r>
        <w:t xml:space="preserve">Secondary imaging endpoints will be analysed using linear mixed effects models analogous to those used for the primary imaging endpoints. Models will include baseline adjustment and subject-specific random intercepts and will use scheduled post-baseline imaging assessments within the relevant short-term or long-term period. Model-based estimates by dose group will be presented with 95% confidence intervals. </w:t>
      </w:r>
    </w:p>
    <w:p w14:paraId="3CB40558" w14:textId="6170FAE2" w:rsidR="00BD51BF" w:rsidRPr="00BD51BF" w:rsidRDefault="00BD51BF" w:rsidP="00BD51BF">
      <w:pPr>
        <w:pStyle w:val="Heading2"/>
        <w:rPr>
          <w:rFonts w:eastAsia="Times New Roman"/>
          <w:sz w:val="27"/>
          <w:szCs w:val="27"/>
          <w:lang w:val="en-GB"/>
        </w:rPr>
      </w:pPr>
      <w:r w:rsidRPr="00BD51BF">
        <w:rPr>
          <w:rStyle w:val="Strong"/>
          <w:b/>
          <w:bCs w:val="0"/>
          <w:lang w:val="en-GB"/>
        </w:rPr>
        <w:t>Secondary Clinical and Patient-Reported Endpoints</w:t>
      </w:r>
    </w:p>
    <w:p w14:paraId="613DD3D6" w14:textId="06BB141C" w:rsidR="00BD51BF" w:rsidRPr="00BD51BF" w:rsidRDefault="00BD51BF" w:rsidP="00BD51BF">
      <w:pPr>
        <w:pStyle w:val="Heading3"/>
        <w:rPr>
          <w:lang w:val="en-GB"/>
        </w:rPr>
      </w:pPr>
      <w:r w:rsidRPr="00BD51BF">
        <w:rPr>
          <w:rStyle w:val="Strong"/>
          <w:b/>
          <w:bCs w:val="0"/>
          <w:lang w:val="en-GB"/>
        </w:rPr>
        <w:t>Neurological endpoints (KPS, ECOG, NANO)</w:t>
      </w:r>
    </w:p>
    <w:p w14:paraId="7EA7714A" w14:textId="77777777" w:rsidR="00BD51BF" w:rsidRPr="00BD51BF" w:rsidRDefault="00BD51BF" w:rsidP="00BD51BF">
      <w:pPr>
        <w:pStyle w:val="Heading4"/>
        <w:rPr>
          <w:rStyle w:val="Heading3Char"/>
          <w:b/>
          <w:bCs/>
          <w:lang w:val="en-GB"/>
        </w:rPr>
      </w:pPr>
      <w:r w:rsidRPr="00BD51BF">
        <w:rPr>
          <w:rStyle w:val="Heading3Char"/>
          <w:b/>
          <w:bCs/>
          <w:lang w:val="en-GB"/>
        </w:rPr>
        <w:t>Short-term analyses (randomised dose during short-term period)</w:t>
      </w:r>
    </w:p>
    <w:p w14:paraId="1BF4B4E7" w14:textId="2BEED7E8" w:rsidR="00BD51BF" w:rsidRPr="00BD51BF" w:rsidRDefault="00BD51BF" w:rsidP="00BD51BF">
      <w:pPr>
        <w:pStyle w:val="NormalWeb"/>
        <w:rPr>
          <w:lang w:val="en-GB"/>
        </w:rPr>
      </w:pPr>
      <w:r w:rsidRPr="00BD51BF">
        <w:rPr>
          <w:lang w:val="en-GB"/>
        </w:rPr>
        <w:t xml:space="preserve"> </w:t>
      </w:r>
      <w:r w:rsidRPr="00BD51BF">
        <w:rPr>
          <w:lang w:val="en-GB"/>
        </w:rPr>
        <w:t>For neurological endpoints collected during the short-term period (KPS, ECOG, NANO), analyses will use all available post-baseline measurements at nominal Days 15, 29, and 43. A linear mixed effects model with subject-specific random intercept will be fitted, including baseline value of the endpoint, nominal visit (categorical), and randomised dose group as fixed effects. Model-based estimates of mean change from baseline by dose group will be reported with 95% confidence intervals. Pairwise differences versus 0 mg (25/50/100 mg vs 0 mg) will be presented as supportive summaries with 95% confidence intervals.</w:t>
      </w:r>
    </w:p>
    <w:p w14:paraId="1E976073" w14:textId="77777777" w:rsidR="00BD51BF" w:rsidRPr="00BD51BF" w:rsidRDefault="00BD51BF" w:rsidP="00BD51BF">
      <w:pPr>
        <w:pStyle w:val="Heading4"/>
        <w:rPr>
          <w:lang w:val="en-GB"/>
        </w:rPr>
      </w:pPr>
      <w:r w:rsidRPr="00BD51BF">
        <w:rPr>
          <w:lang w:val="en-GB"/>
        </w:rPr>
        <w:t>Long-term analyses (randomised long-term treatment strategy).</w:t>
      </w:r>
    </w:p>
    <w:p w14:paraId="15CCB493" w14:textId="5715287C" w:rsidR="00BD51BF" w:rsidRPr="00BD51BF" w:rsidRDefault="00BD51BF" w:rsidP="00BD51BF">
      <w:pPr>
        <w:pStyle w:val="NormalWeb"/>
        <w:rPr>
          <w:lang w:val="en-GB"/>
        </w:rPr>
      </w:pPr>
      <w:r w:rsidRPr="00BD51BF">
        <w:rPr>
          <w:lang w:val="en-GB"/>
        </w:rPr>
        <w:t xml:space="preserve"> </w:t>
      </w:r>
      <w:r w:rsidRPr="00BD51BF">
        <w:rPr>
          <w:lang w:val="en-GB"/>
        </w:rPr>
        <w:t>For long-term neurological endpoints (nominal Days 155 and 239), analyses will be based on the long-term treatment assignment and will use a linear mixed effects model with subject-specific random intercept. The model will include baseline value of the endpoint and a</w:t>
      </w:r>
      <w:r>
        <w:rPr>
          <w:lang w:val="en-GB"/>
        </w:rPr>
        <w:t xml:space="preserve"> treatment-</w:t>
      </w:r>
      <w:r w:rsidRPr="00BD51BF">
        <w:rPr>
          <w:lang w:val="en-GB"/>
        </w:rPr>
        <w:t>by-visit interaction to allow treatment effects to differ by visit. Model-based estimates by long-term treatment group and visit will be reported with 95% confidence intervals, together with pairwise differences versus the 0 mg long-term treatment group.</w:t>
      </w:r>
    </w:p>
    <w:p w14:paraId="693816C9" w14:textId="2F499770" w:rsidR="00BD51BF" w:rsidRPr="00BD51BF" w:rsidRDefault="00BD51BF" w:rsidP="00BD51BF">
      <w:pPr>
        <w:pStyle w:val="Heading3"/>
      </w:pPr>
      <w:r w:rsidRPr="00BD51BF">
        <w:rPr>
          <w:rStyle w:val="Strong"/>
          <w:b/>
          <w:bCs w:val="0"/>
        </w:rPr>
        <w:lastRenderedPageBreak/>
        <w:t>Quality of life endpoints (EORTC QLQ-C30, QLQ-BN20)</w:t>
      </w:r>
    </w:p>
    <w:p w14:paraId="27CEFD61" w14:textId="74DCADCC" w:rsidR="00BD51BF" w:rsidRPr="00BD51BF" w:rsidRDefault="00BD51BF" w:rsidP="00BD51BF">
      <w:pPr>
        <w:pStyle w:val="NormalWeb"/>
        <w:rPr>
          <w:lang w:val="en-GB"/>
        </w:rPr>
      </w:pPr>
      <w:r w:rsidRPr="00BD51BF">
        <w:rPr>
          <w:lang w:val="en-GB"/>
        </w:rPr>
        <w:t>Quality of life endpoints (QLQ-C30 and QLQ-BN20) are analysed for long-term time points only (nominal Days 155 and 239). Analyses will be performed using a linear mixed effects model with subject-specific random intercept, including baseline value of the endpoint and a</w:t>
      </w:r>
      <w:r>
        <w:rPr>
          <w:lang w:val="en-GB"/>
        </w:rPr>
        <w:t xml:space="preserve"> treatment</w:t>
      </w:r>
      <w:r w:rsidRPr="00BD51BF">
        <w:rPr>
          <w:lang w:val="en-GB"/>
        </w:rPr>
        <w:t>-by-visit interaction. Model-based estimates by long-term treatment group and visit will be reported with 95% confidence intervals, together with pairwise differences versus the 0 mg long-term treatment group.</w:t>
      </w:r>
    </w:p>
    <w:p w14:paraId="4ADB3C58" w14:textId="7F4BC545" w:rsidR="00BD51BF" w:rsidRPr="00BD51BF" w:rsidRDefault="00BD51BF" w:rsidP="00BD51BF">
      <w:pPr>
        <w:pStyle w:val="Heading3"/>
        <w:rPr>
          <w:lang w:val="en-GB"/>
        </w:rPr>
      </w:pPr>
      <w:r w:rsidRPr="00BD51BF">
        <w:rPr>
          <w:rStyle w:val="Strong"/>
          <w:b/>
          <w:bCs w:val="0"/>
          <w:lang w:val="en-GB"/>
        </w:rPr>
        <w:t>Steroid use</w:t>
      </w:r>
    </w:p>
    <w:p w14:paraId="57A6C818" w14:textId="18DBDDB5" w:rsidR="00BD51BF" w:rsidRPr="00BD51BF" w:rsidRDefault="00BD51BF" w:rsidP="00BD51BF">
      <w:pPr>
        <w:pStyle w:val="NormalWeb"/>
        <w:rPr>
          <w:lang w:val="en-GB"/>
        </w:rPr>
      </w:pPr>
      <w:r w:rsidRPr="00BD51BF">
        <w:rPr>
          <w:lang w:val="en-GB"/>
        </w:rPr>
        <w:t>Steroid use is analysed as a dichotomous endpoint derived from the categorical response and will be analysed separately for the short-term and long-term periods. A baseline steroid indicator will be included as an adjustment variable.</w:t>
      </w:r>
    </w:p>
    <w:p w14:paraId="62DA1300" w14:textId="77777777" w:rsidR="00BD51BF" w:rsidRPr="00BD51BF" w:rsidRDefault="00BD51BF" w:rsidP="00BD51BF">
      <w:pPr>
        <w:pStyle w:val="Heading4"/>
        <w:rPr>
          <w:b w:val="0"/>
          <w:bCs/>
          <w:lang w:val="en-GB"/>
        </w:rPr>
      </w:pPr>
      <w:r w:rsidRPr="00BD51BF">
        <w:rPr>
          <w:rStyle w:val="Strong"/>
          <w:b/>
          <w:bCs w:val="0"/>
          <w:lang w:val="en-GB"/>
        </w:rPr>
        <w:t>Short-term analyses (randomised dose during short-term period).</w:t>
      </w:r>
    </w:p>
    <w:p w14:paraId="34572F8A" w14:textId="792C2A8F" w:rsidR="00BD51BF" w:rsidRPr="00BD51BF" w:rsidRDefault="00BD51BF" w:rsidP="00BD51BF">
      <w:pPr>
        <w:pStyle w:val="NormalWeb"/>
        <w:rPr>
          <w:lang w:val="en-GB"/>
        </w:rPr>
      </w:pPr>
      <w:r w:rsidRPr="00BD51BF">
        <w:rPr>
          <w:lang w:val="en-GB"/>
        </w:rPr>
        <w:t>For nominal Days 15, 29, and 43, a mixed logistic regression model with subject-specific random intercept will be fitted, including baseline steroid indicator, nominal visit (categorical), and randomised dose group</w:t>
      </w:r>
      <w:r w:rsidR="003B2EF4">
        <w:rPr>
          <w:lang w:val="en-GB"/>
        </w:rPr>
        <w:t>.</w:t>
      </w:r>
      <w:r w:rsidRPr="00BD51BF">
        <w:rPr>
          <w:lang w:val="en-GB"/>
        </w:rPr>
        <w:t xml:space="preserve"> Results will be presented as model-based estimated risks by dose group with 95% confidence intervals, and as risk differences versus 0 mg with 95% confidence intervals.</w:t>
      </w:r>
    </w:p>
    <w:p w14:paraId="4B772F4D" w14:textId="77777777" w:rsidR="00BD51BF" w:rsidRPr="003B2EF4" w:rsidRDefault="00BD51BF" w:rsidP="00BD51BF">
      <w:pPr>
        <w:pStyle w:val="Heading4"/>
        <w:rPr>
          <w:b w:val="0"/>
          <w:bCs/>
          <w:lang w:val="en-GB"/>
        </w:rPr>
      </w:pPr>
      <w:r w:rsidRPr="003B2EF4">
        <w:rPr>
          <w:rStyle w:val="Strong"/>
          <w:b/>
          <w:bCs w:val="0"/>
          <w:lang w:val="en-GB"/>
        </w:rPr>
        <w:t>Long-term analyses (randomised long-term treatment strategy).</w:t>
      </w:r>
    </w:p>
    <w:p w14:paraId="0FC78D6A" w14:textId="46704E0D" w:rsidR="00BD51BF" w:rsidRDefault="00BD51BF" w:rsidP="00BD51BF">
      <w:pPr>
        <w:pStyle w:val="NormalWeb"/>
        <w:rPr>
          <w:lang w:val="en-GB"/>
        </w:rPr>
      </w:pPr>
      <w:r w:rsidRPr="00BD51BF">
        <w:rPr>
          <w:lang w:val="en-GB"/>
        </w:rPr>
        <w:t xml:space="preserve"> </w:t>
      </w:r>
      <w:r w:rsidRPr="00BD51BF">
        <w:rPr>
          <w:lang w:val="en-GB"/>
        </w:rPr>
        <w:t>For nominal Days 155 and 239, a logistic regression model including baseline steroid indicator and a</w:t>
      </w:r>
      <w:r w:rsidR="003B2EF4">
        <w:rPr>
          <w:lang w:val="en-GB"/>
        </w:rPr>
        <w:t xml:space="preserve"> treatment</w:t>
      </w:r>
      <w:r w:rsidRPr="00BD51BF">
        <w:rPr>
          <w:lang w:val="en-GB"/>
        </w:rPr>
        <w:t>-by-visit interaction will be fitted. Inference will use variance estimation clustered by participant. Results will be presented as model-based estimated risks by long-term treatment group and visit with 95% confidence intervals, and as risk differences versus the 0 mg long-term treatment group with 95% confidence intervals.</w:t>
      </w:r>
    </w:p>
    <w:p w14:paraId="5BEA5C5C" w14:textId="171615C3" w:rsidR="003B2EF4" w:rsidRPr="003B2EF4" w:rsidRDefault="003B2EF4" w:rsidP="003B2EF4">
      <w:pPr>
        <w:pStyle w:val="Heading3"/>
      </w:pPr>
      <w:r w:rsidRPr="003B2EF4">
        <w:rPr>
          <w:rStyle w:val="Strong"/>
          <w:b/>
          <w:bCs w:val="0"/>
        </w:rPr>
        <w:t>RANO Response Endpoints</w:t>
      </w:r>
    </w:p>
    <w:p w14:paraId="48E61CBF" w14:textId="77777777" w:rsidR="003B2EF4" w:rsidRDefault="003B2EF4" w:rsidP="003B2EF4">
      <w:pPr>
        <w:pStyle w:val="NormalWeb"/>
      </w:pPr>
      <w:r>
        <w:t>Ordinal tumour response endpoints defined according to the Response Assessment in Neuro-Oncology (RANO) criteria will be analysed at scheduled long-term follow-up assessments. Analyses will be performed separately by visit using proportional odds (cumulative logistic) models with treatment group as the explanatory variable.</w:t>
      </w:r>
    </w:p>
    <w:p w14:paraId="3EE9B7BC" w14:textId="77777777" w:rsidR="003B2EF4" w:rsidRDefault="003B2EF4" w:rsidP="003B2EF4">
      <w:pPr>
        <w:pStyle w:val="NormalWeb"/>
      </w:pPr>
      <w:r>
        <w:t>The population-level summary will be the proportional odds ratio comparing each dose level with no losartan, reported with 95% confidence intervals.</w:t>
      </w:r>
    </w:p>
    <w:p w14:paraId="5DBDC0B9" w14:textId="22C823CE" w:rsidR="003B2EF4" w:rsidRDefault="003B2EF4" w:rsidP="003B2EF4">
      <w:pPr>
        <w:pStyle w:val="Heading2"/>
        <w:rPr>
          <w:rFonts w:eastAsia="Times New Roman"/>
          <w:sz w:val="27"/>
          <w:szCs w:val="27"/>
        </w:rPr>
      </w:pPr>
      <w:r>
        <w:rPr>
          <w:rStyle w:val="Strong"/>
          <w:b/>
          <w:bCs w:val="0"/>
        </w:rPr>
        <w:t>Secondary Time-to-Event Endpoints</w:t>
      </w:r>
    </w:p>
    <w:p w14:paraId="53976481" w14:textId="284D45A5" w:rsidR="003B2EF4" w:rsidRDefault="003B2EF4" w:rsidP="003B2EF4">
      <w:pPr>
        <w:pStyle w:val="NormalWeb"/>
      </w:pPr>
      <w:r>
        <w:t xml:space="preserve">Secondary time-to-event endpoints will be analysed using Cox proportional hazards models with </w:t>
      </w:r>
      <w:r>
        <w:t xml:space="preserve">long-term </w:t>
      </w:r>
      <w:r>
        <w:t>treatment dose as the primary explanatory variable. Hazard ratios comparing each active dose with no losartan will be reported with 95% confidence intervals. Proportional hazards assumptions will be assessed using standard diagnostic methods. These analyses are exploratory and no MCP-Mod methodology will be applied.</w:t>
      </w:r>
    </w:p>
    <w:p w14:paraId="71F786E5" w14:textId="77777777" w:rsidR="003B2EF4" w:rsidRDefault="00B947CF" w:rsidP="003B2EF4">
      <w:r>
        <w:rPr>
          <w:noProof/>
        </w:rPr>
        <w:pict w14:anchorId="50B40779">
          <v:rect id="_x0000_i1026" alt="" style="width:451.3pt;height:.05pt;mso-width-percent:0;mso-height-percent:0;mso-width-percent:0;mso-height-percent:0" o:hralign="center" o:hrstd="t" o:hr="t" fillcolor="#a0a0a0" stroked="f"/>
        </w:pict>
      </w:r>
    </w:p>
    <w:p w14:paraId="3FFEFDD2" w14:textId="1ED0102B" w:rsidR="003B2EF4" w:rsidRDefault="003B2EF4" w:rsidP="003B2EF4">
      <w:pPr>
        <w:pStyle w:val="Heading2"/>
      </w:pPr>
      <w:r>
        <w:rPr>
          <w:rStyle w:val="Strong"/>
          <w:b/>
          <w:bCs w:val="0"/>
        </w:rPr>
        <w:t>Sensitivity and Supplementary Analyses</w:t>
      </w:r>
    </w:p>
    <w:p w14:paraId="345C3A15" w14:textId="77777777" w:rsidR="003B2EF4" w:rsidRDefault="003B2EF4" w:rsidP="003B2EF4">
      <w:pPr>
        <w:pStyle w:val="NormalWeb"/>
      </w:pPr>
      <w:r>
        <w:t>No formal sensitivity analyses beyond those specified in Section 1 are planned for secondary estimands. Supplementary descriptive summaries and graphical displays may be provided to aid interpretation.</w:t>
      </w:r>
    </w:p>
    <w:p w14:paraId="49F716A4" w14:textId="35A06409" w:rsidR="00EA3E2B" w:rsidRPr="001277CB" w:rsidRDefault="007C6BD1" w:rsidP="001277CB">
      <w:pPr>
        <w:pStyle w:val="Heading1"/>
      </w:pPr>
      <w:bookmarkStart w:id="98" w:name="_Ref517707170"/>
      <w:bookmarkStart w:id="99" w:name="_Toc518466175"/>
      <w:bookmarkStart w:id="100" w:name="_Toc518655987"/>
      <w:bookmarkStart w:id="101" w:name="_Toc521400479"/>
      <w:bookmarkStart w:id="102" w:name="_Ref45604051"/>
      <w:bookmarkStart w:id="103" w:name="_Toc154052378"/>
      <w:bookmarkEnd w:id="97"/>
      <w:r w:rsidRPr="001277CB">
        <w:lastRenderedPageBreak/>
        <w:t xml:space="preserve">Analyses Supporting </w:t>
      </w:r>
      <w:r w:rsidR="001277CB" w:rsidRPr="001277CB">
        <w:rPr>
          <w:rStyle w:val="CPTVariable"/>
          <w:color w:val="auto"/>
        </w:rPr>
        <w:t>Exploratory</w:t>
      </w:r>
      <w:r w:rsidR="00D87DCB" w:rsidRPr="001277CB">
        <w:t xml:space="preserve"> </w:t>
      </w:r>
      <w:r w:rsidRPr="001277CB">
        <w:t>Objective(s</w:t>
      </w:r>
      <w:bookmarkEnd w:id="98"/>
      <w:bookmarkEnd w:id="99"/>
      <w:bookmarkEnd w:id="100"/>
      <w:bookmarkEnd w:id="101"/>
      <w:r w:rsidRPr="001277CB">
        <w:t>)</w:t>
      </w:r>
      <w:bookmarkEnd w:id="102"/>
      <w:bookmarkEnd w:id="103"/>
    </w:p>
    <w:p w14:paraId="1899EB9B" w14:textId="67BD7FF8" w:rsidR="00EB441E" w:rsidRPr="00BD51BF" w:rsidRDefault="001277CB" w:rsidP="00D87DCB">
      <w:pPr>
        <w:rPr>
          <w:lang w:val="en-GB"/>
        </w:rPr>
      </w:pPr>
      <w:r>
        <w:rPr>
          <w:lang w:val="en-GB"/>
        </w:rPr>
        <w:t xml:space="preserve">Further exploratory objectives will not be considered in this analysis </w:t>
      </w:r>
      <w:r w:rsidR="008C37C6">
        <w:rPr>
          <w:lang w:val="en-GB"/>
        </w:rPr>
        <w:t>plan but</w:t>
      </w:r>
      <w:r>
        <w:rPr>
          <w:lang w:val="en-GB"/>
        </w:rPr>
        <w:t xml:space="preserve"> specified in separate plans.</w:t>
      </w:r>
    </w:p>
    <w:p w14:paraId="43464AC6" w14:textId="0F5C9D17" w:rsidR="00EA3E2B" w:rsidRPr="00BD51BF" w:rsidRDefault="00EA3E2B" w:rsidP="00957975">
      <w:pPr>
        <w:pStyle w:val="Heading1"/>
        <w:rPr>
          <w:lang w:val="en-GB"/>
        </w:rPr>
      </w:pPr>
      <w:bookmarkStart w:id="104" w:name="_Toc518466176"/>
      <w:bookmarkStart w:id="105" w:name="_Toc518655988"/>
      <w:bookmarkStart w:id="106" w:name="_Toc521400480"/>
      <w:bookmarkStart w:id="107" w:name="_Toc154052379"/>
      <w:r w:rsidRPr="00BD51BF">
        <w:rPr>
          <w:lang w:val="en-GB"/>
        </w:rPr>
        <w:lastRenderedPageBreak/>
        <w:t>Safety Analyses</w:t>
      </w:r>
      <w:bookmarkEnd w:id="104"/>
      <w:bookmarkEnd w:id="105"/>
      <w:bookmarkEnd w:id="106"/>
      <w:bookmarkEnd w:id="107"/>
    </w:p>
    <w:p w14:paraId="45BF058E" w14:textId="20AEA844" w:rsidR="001277CB" w:rsidRPr="001277CB" w:rsidRDefault="001277CB" w:rsidP="001277CB">
      <w:pPr>
        <w:pStyle w:val="Heading2"/>
      </w:pPr>
      <w:r w:rsidRPr="001277CB">
        <w:t>Analysis Sets</w:t>
      </w:r>
    </w:p>
    <w:p w14:paraId="4C44F978" w14:textId="66C38325" w:rsidR="001277CB" w:rsidRPr="001277CB" w:rsidRDefault="001277CB" w:rsidP="001277CB">
      <w:pPr>
        <w:spacing w:before="100" w:beforeAutospacing="1" w:after="100" w:afterAutospacing="1"/>
      </w:pPr>
      <w:r w:rsidRPr="001277CB">
        <w:t xml:space="preserve">Safety analyses will be conducted using the Safety Set, defined as all participants who received at least one dose of losartan. Participants will be </w:t>
      </w:r>
      <w:r>
        <w:t xml:space="preserve">generally </w:t>
      </w:r>
      <w:r w:rsidRPr="001277CB">
        <w:t>analysed according to the treatment dose received.</w:t>
      </w:r>
    </w:p>
    <w:p w14:paraId="1D1F3F2E" w14:textId="521BEC00" w:rsidR="001277CB" w:rsidRPr="001277CB" w:rsidRDefault="001277CB" w:rsidP="001277CB">
      <w:pPr>
        <w:pStyle w:val="Heading2"/>
      </w:pPr>
      <w:r w:rsidRPr="001277CB">
        <w:t>General Principles</w:t>
      </w:r>
    </w:p>
    <w:p w14:paraId="52C792CA" w14:textId="77777777" w:rsidR="001277CB" w:rsidRPr="001277CB" w:rsidRDefault="001277CB" w:rsidP="001277CB">
      <w:pPr>
        <w:spacing w:before="100" w:beforeAutospacing="1" w:after="100" w:afterAutospacing="1"/>
      </w:pPr>
      <w:r w:rsidRPr="001277CB">
        <w:t>All safety analyses are exploratory and descriptive in nature. No formal hypothesis testing is planned for safety endpoints. Safety data will be summarised by treatment dose group and over time, as appropriate.</w:t>
      </w:r>
    </w:p>
    <w:p w14:paraId="4D57295F" w14:textId="77777777" w:rsidR="001277CB" w:rsidRPr="001277CB" w:rsidRDefault="001277CB" w:rsidP="001277CB">
      <w:pPr>
        <w:spacing w:before="100" w:beforeAutospacing="1" w:after="100" w:afterAutospacing="1"/>
      </w:pPr>
      <w:r w:rsidRPr="001277CB">
        <w:t>Adverse events and clinical safety parameters will be analysed using a treatment policy strategy, such that all observed safety data are included regardless of treatment discontinuation, treatment interruptions, or changes in background therapy.</w:t>
      </w:r>
    </w:p>
    <w:p w14:paraId="23C6D369" w14:textId="64F7BBA0" w:rsidR="001277CB" w:rsidRPr="001277CB" w:rsidRDefault="001277CB" w:rsidP="008C37C6">
      <w:pPr>
        <w:pStyle w:val="Heading2"/>
      </w:pPr>
      <w:r w:rsidRPr="001277CB">
        <w:t>Adverse Events</w:t>
      </w:r>
    </w:p>
    <w:p w14:paraId="1DA9321F" w14:textId="77777777" w:rsidR="001277CB" w:rsidRPr="001277CB" w:rsidRDefault="001277CB" w:rsidP="001277CB">
      <w:pPr>
        <w:spacing w:before="100" w:beforeAutospacing="1" w:after="100" w:afterAutospacing="1"/>
      </w:pPr>
      <w:r w:rsidRPr="001277CB">
        <w:t>Adverse events will be coded using the Medical Dictionary for Regulatory Activities (MedDRA). The incidence of treatment-emergent adverse events will be summarised by treatment dose group, system organ class, and preferred term.</w:t>
      </w:r>
    </w:p>
    <w:p w14:paraId="7EF493F8" w14:textId="77777777" w:rsidR="001277CB" w:rsidRPr="001277CB" w:rsidRDefault="001277CB" w:rsidP="001277CB">
      <w:pPr>
        <w:spacing w:before="100" w:beforeAutospacing="1" w:after="100" w:afterAutospacing="1"/>
      </w:pPr>
      <w:r w:rsidRPr="001277CB">
        <w:t>Summaries will include:</w:t>
      </w:r>
    </w:p>
    <w:p w14:paraId="07DD8097" w14:textId="77777777" w:rsidR="001277CB" w:rsidRPr="001277CB" w:rsidRDefault="001277CB" w:rsidP="001277CB">
      <w:pPr>
        <w:numPr>
          <w:ilvl w:val="0"/>
          <w:numId w:val="66"/>
        </w:numPr>
        <w:spacing w:before="100" w:beforeAutospacing="1" w:after="100" w:afterAutospacing="1"/>
      </w:pPr>
      <w:r w:rsidRPr="001277CB">
        <w:t>Number and proportion of participants experiencing at least one adverse event</w:t>
      </w:r>
    </w:p>
    <w:p w14:paraId="579ADF1F" w14:textId="77777777" w:rsidR="001277CB" w:rsidRPr="001277CB" w:rsidRDefault="001277CB" w:rsidP="001277CB">
      <w:pPr>
        <w:numPr>
          <w:ilvl w:val="0"/>
          <w:numId w:val="66"/>
        </w:numPr>
        <w:spacing w:before="100" w:beforeAutospacing="1" w:after="100" w:afterAutospacing="1"/>
      </w:pPr>
      <w:r w:rsidRPr="001277CB">
        <w:t>Number and proportion of participants experiencing serious adverse events</w:t>
      </w:r>
    </w:p>
    <w:p w14:paraId="6B6E7FED" w14:textId="77777777" w:rsidR="001277CB" w:rsidRPr="001277CB" w:rsidRDefault="001277CB" w:rsidP="001277CB">
      <w:pPr>
        <w:numPr>
          <w:ilvl w:val="0"/>
          <w:numId w:val="66"/>
        </w:numPr>
        <w:spacing w:before="100" w:beforeAutospacing="1" w:after="100" w:afterAutospacing="1"/>
      </w:pPr>
      <w:r w:rsidRPr="001277CB">
        <w:t>Number and proportion of participants experiencing adverse events leading to treatment discontinuation</w:t>
      </w:r>
    </w:p>
    <w:p w14:paraId="092E94DF" w14:textId="1CC20037" w:rsidR="001277CB" w:rsidRPr="001277CB" w:rsidRDefault="001277CB" w:rsidP="001277CB">
      <w:pPr>
        <w:spacing w:before="100" w:beforeAutospacing="1" w:after="100" w:afterAutospacing="1"/>
      </w:pPr>
      <w:r w:rsidRPr="001277CB">
        <w:t>Adverse events will be summarised overall and by maximum severity and relationship to study treatment, where available.</w:t>
      </w:r>
    </w:p>
    <w:p w14:paraId="58C5E019" w14:textId="598EFE0B" w:rsidR="001277CB" w:rsidRDefault="001277CB" w:rsidP="008C37C6">
      <w:pPr>
        <w:pStyle w:val="Heading2"/>
      </w:pPr>
      <w:r w:rsidRPr="001277CB">
        <w:t>Vital Signs</w:t>
      </w:r>
    </w:p>
    <w:p w14:paraId="69489025" w14:textId="77777777" w:rsidR="008C37C6" w:rsidRPr="008C37C6" w:rsidRDefault="008C37C6" w:rsidP="008C37C6">
      <w:pPr>
        <w:spacing w:before="100" w:beforeAutospacing="1" w:after="100" w:afterAutospacing="1"/>
      </w:pPr>
      <w:r w:rsidRPr="008C37C6">
        <w:t>Vital signs (systolic blood pressure, diastolic blood pressure, and pulse) will be summarised by treatment dose group and visit using descriptive statistics for observed values and changes from baseline.</w:t>
      </w:r>
    </w:p>
    <w:p w14:paraId="1FCEC3E5" w14:textId="77777777" w:rsidR="008C37C6" w:rsidRPr="008C37C6" w:rsidRDefault="008C37C6" w:rsidP="008C37C6">
      <w:pPr>
        <w:spacing w:before="100" w:beforeAutospacing="1" w:after="100" w:afterAutospacing="1"/>
      </w:pPr>
      <w:r w:rsidRPr="008C37C6">
        <w:t>In addition, to provide interpretable summaries of short-term and long-term safety effects, vital signs will be analysed using repeated-measures mixed effects models analogous to those used for continuous efficacy endpoints. Models will include baseline value of the parameter, nominal visit (categorical), and treatment group, with a subject-specific random intercept to account for within-participant correlation. Where relevant, terms accounting for time/period effects inherent to the stepped-wedge design will be included.</w:t>
      </w:r>
    </w:p>
    <w:p w14:paraId="7BDAD835" w14:textId="3E19A268" w:rsidR="008C37C6" w:rsidRPr="001277CB" w:rsidRDefault="008C37C6" w:rsidP="008C37C6">
      <w:pPr>
        <w:spacing w:before="100" w:beforeAutospacing="1" w:after="100" w:afterAutospacing="1"/>
      </w:pPr>
      <w:r w:rsidRPr="008C37C6">
        <w:lastRenderedPageBreak/>
        <w:t>Short-term summaries will use post-baseline measurements within the short-term period; long-term summaries will use scheduled long-term follow-up assessments. Results will be presented as model-based mean changes from baseline by dose group with 95% confidence intervals. These analyses are supportive and will be interpreted descriptively.</w:t>
      </w:r>
    </w:p>
    <w:p w14:paraId="42C68BAD" w14:textId="1142789C" w:rsidR="001277CB" w:rsidRPr="008C37C6" w:rsidRDefault="001277CB" w:rsidP="008C37C6">
      <w:pPr>
        <w:pStyle w:val="Heading2"/>
      </w:pPr>
      <w:r w:rsidRPr="008C37C6">
        <w:t>Clinical Laboratory Parameters</w:t>
      </w:r>
    </w:p>
    <w:p w14:paraId="663A2537" w14:textId="77777777" w:rsidR="008C37C6" w:rsidRPr="008C37C6" w:rsidRDefault="008C37C6" w:rsidP="008C37C6">
      <w:pPr>
        <w:spacing w:before="100" w:beforeAutospacing="1" w:after="100" w:afterAutospacing="1"/>
      </w:pPr>
      <w:r w:rsidRPr="008C37C6">
        <w:t>Conventional laboratory blood parameters will be summarised by treatment dose group and visit using descriptive statistics for observed values and changes from baseline.</w:t>
      </w:r>
    </w:p>
    <w:p w14:paraId="5FB2A631" w14:textId="77777777" w:rsidR="008C37C6" w:rsidRPr="008C37C6" w:rsidRDefault="008C37C6" w:rsidP="008C37C6">
      <w:pPr>
        <w:spacing w:before="100" w:beforeAutospacing="1" w:after="100" w:afterAutospacing="1"/>
      </w:pPr>
      <w:r w:rsidRPr="008C37C6">
        <w:t>To support interpretation, laboratory parameters will also be analysed using repeated-measures mixed effects models as described for vital signs, including baseline adjustment, nominal visit, treatment group, and a subject-specific random intercept. Short-term and long-term summaries will be produced using the corresponding post-baseline assessments within each period. Results will be presented as model-based mean changes from baseline by dose group with 95% confidence intervals and interpreted descriptively.</w:t>
      </w:r>
    </w:p>
    <w:p w14:paraId="639E7F43" w14:textId="77777777" w:rsidR="008C37C6" w:rsidRPr="008C37C6" w:rsidRDefault="008C37C6" w:rsidP="008C37C6">
      <w:pPr>
        <w:spacing w:before="100" w:beforeAutospacing="1" w:after="100" w:afterAutospacing="1"/>
      </w:pPr>
      <w:r w:rsidRPr="008C37C6">
        <w:t>Where relevant, values will additionally be categorised according to laboratory reference ranges, and the number and proportion of participants with values outside the normal range will be summarised descriptively.</w:t>
      </w:r>
    </w:p>
    <w:p w14:paraId="42D04575" w14:textId="3F73AFA3" w:rsidR="001277CB" w:rsidRPr="001277CB" w:rsidRDefault="001277CB" w:rsidP="008C37C6">
      <w:pPr>
        <w:pStyle w:val="Heading2"/>
      </w:pPr>
      <w:r w:rsidRPr="001277CB">
        <w:t>Deaths</w:t>
      </w:r>
    </w:p>
    <w:p w14:paraId="4B057D4F" w14:textId="594E4DDE" w:rsidR="001277CB" w:rsidRPr="001277CB" w:rsidRDefault="001277CB" w:rsidP="001277CB">
      <w:pPr>
        <w:spacing w:before="100" w:beforeAutospacing="1" w:after="100" w:afterAutospacing="1"/>
      </w:pPr>
      <w:r w:rsidRPr="001277CB">
        <w:t>All deaths occurring during the study will be listed and summarised descriptively by treatment dose grou</w:t>
      </w:r>
      <w:r w:rsidR="008C37C6">
        <w:t>p, in addition to the overall survival analysis as described above</w:t>
      </w:r>
    </w:p>
    <w:p w14:paraId="4E6D2795" w14:textId="68B307C1" w:rsidR="005D060B" w:rsidRPr="001277CB" w:rsidRDefault="005D060B" w:rsidP="00146BFE"/>
    <w:p w14:paraId="20E16D28" w14:textId="77777777" w:rsidR="00EA3E2B" w:rsidRDefault="00EA3E2B" w:rsidP="00957975">
      <w:pPr>
        <w:pStyle w:val="Heading2"/>
        <w:rPr>
          <w:lang w:val="en-GB"/>
        </w:rPr>
      </w:pPr>
      <w:bookmarkStart w:id="108" w:name="_Toc518466177"/>
      <w:bookmarkStart w:id="109" w:name="_Toc518655989"/>
      <w:bookmarkStart w:id="110" w:name="_Toc521400481"/>
      <w:bookmarkStart w:id="111" w:name="_Toc154052380"/>
      <w:r w:rsidRPr="00BD51BF">
        <w:rPr>
          <w:lang w:val="en-GB"/>
        </w:rPr>
        <w:t>Extent of Exposure</w:t>
      </w:r>
      <w:bookmarkEnd w:id="108"/>
      <w:bookmarkEnd w:id="109"/>
      <w:bookmarkEnd w:id="110"/>
      <w:bookmarkEnd w:id="111"/>
    </w:p>
    <w:p w14:paraId="2DFAE90C" w14:textId="77777777" w:rsidR="008C37C6" w:rsidRPr="008C37C6" w:rsidRDefault="008C37C6" w:rsidP="008C37C6">
      <w:pPr>
        <w:spacing w:before="100" w:beforeAutospacing="1" w:after="100" w:afterAutospacing="1"/>
      </w:pPr>
      <w:r w:rsidRPr="008C37C6">
        <w:t>The extent of exposure to losartan will be summarised descriptively to support interpretation of safety findings and to characterise adherence to the planned treatment schemes in this stepped-wedge trial.</w:t>
      </w:r>
    </w:p>
    <w:p w14:paraId="0DCB2EBB" w14:textId="77777777" w:rsidR="008C37C6" w:rsidRPr="008C37C6" w:rsidRDefault="008C37C6" w:rsidP="008C37C6">
      <w:pPr>
        <w:spacing w:before="100" w:beforeAutospacing="1" w:after="100" w:afterAutospacing="1"/>
      </w:pPr>
      <w:r w:rsidRPr="008C37C6">
        <w:t>Summaries will include:</w:t>
      </w:r>
    </w:p>
    <w:p w14:paraId="46CC6658" w14:textId="77777777" w:rsidR="008C37C6" w:rsidRPr="008C37C6" w:rsidRDefault="008C37C6" w:rsidP="008C37C6">
      <w:pPr>
        <w:numPr>
          <w:ilvl w:val="0"/>
          <w:numId w:val="67"/>
        </w:numPr>
        <w:spacing w:before="100" w:beforeAutospacing="1" w:after="100" w:afterAutospacing="1"/>
      </w:pPr>
      <w:r w:rsidRPr="008C37C6">
        <w:t>The number and proportion of participants exposed to each planned dose level of losartan (0 mg, 25 mg, 50 mg, and 100 mg)</w:t>
      </w:r>
    </w:p>
    <w:p w14:paraId="2A7F1077" w14:textId="77777777" w:rsidR="008C37C6" w:rsidRPr="008C37C6" w:rsidRDefault="008C37C6" w:rsidP="008C37C6">
      <w:pPr>
        <w:numPr>
          <w:ilvl w:val="0"/>
          <w:numId w:val="67"/>
        </w:numPr>
        <w:spacing w:before="100" w:beforeAutospacing="1" w:after="100" w:afterAutospacing="1"/>
      </w:pPr>
      <w:r w:rsidRPr="008C37C6">
        <w:t>Duration of exposure to losartan overall and by dose level</w:t>
      </w:r>
    </w:p>
    <w:p w14:paraId="67A77E8B" w14:textId="77777777" w:rsidR="008C37C6" w:rsidRPr="008C37C6" w:rsidRDefault="008C37C6" w:rsidP="008C37C6">
      <w:pPr>
        <w:numPr>
          <w:ilvl w:val="0"/>
          <w:numId w:val="67"/>
        </w:numPr>
        <w:spacing w:before="100" w:beforeAutospacing="1" w:after="100" w:afterAutospacing="1"/>
      </w:pPr>
      <w:r w:rsidRPr="008C37C6">
        <w:t>The number and proportion of participants who followed the planned short-term treatment scheme only and those who continued to long-term treatment</w:t>
      </w:r>
    </w:p>
    <w:p w14:paraId="1FAE881E" w14:textId="77777777" w:rsidR="008C37C6" w:rsidRPr="008C37C6" w:rsidRDefault="008C37C6" w:rsidP="008C37C6">
      <w:pPr>
        <w:numPr>
          <w:ilvl w:val="0"/>
          <w:numId w:val="67"/>
        </w:numPr>
        <w:spacing w:before="100" w:beforeAutospacing="1" w:after="100" w:afterAutospacing="1"/>
      </w:pPr>
      <w:r w:rsidRPr="008C37C6">
        <w:t>The number and proportion of participants who switched dose levels or discontinued losartan prior to the planned end of treatment</w:t>
      </w:r>
    </w:p>
    <w:p w14:paraId="05A8B6C7" w14:textId="77777777" w:rsidR="008C37C6" w:rsidRPr="008C37C6" w:rsidRDefault="008C37C6" w:rsidP="008C37C6">
      <w:pPr>
        <w:spacing w:before="100" w:beforeAutospacing="1" w:after="100" w:afterAutospacing="1"/>
      </w:pPr>
      <w:r w:rsidRPr="008C37C6">
        <w:lastRenderedPageBreak/>
        <w:t>Exposure duration will be summarised using descriptive statistics (e.g. mean, median, minimum, maximum) and categorical summaries (e.g. ≤14 days, &gt;14 to ≤42 days, &gt;42 days), overall and by dose group.</w:t>
      </w:r>
    </w:p>
    <w:p w14:paraId="34789589" w14:textId="77777777" w:rsidR="008C37C6" w:rsidRPr="008C37C6" w:rsidRDefault="008C37C6" w:rsidP="008C37C6">
      <w:pPr>
        <w:spacing w:before="100" w:beforeAutospacing="1" w:after="100" w:afterAutospacing="1"/>
      </w:pPr>
      <w:r w:rsidRPr="008C37C6">
        <w:t>Where relevant, summaries will distinguish between:</w:t>
      </w:r>
    </w:p>
    <w:p w14:paraId="110D66D0" w14:textId="77777777" w:rsidR="008C37C6" w:rsidRPr="008C37C6" w:rsidRDefault="008C37C6" w:rsidP="008C37C6">
      <w:pPr>
        <w:numPr>
          <w:ilvl w:val="0"/>
          <w:numId w:val="68"/>
        </w:numPr>
        <w:spacing w:before="100" w:beforeAutospacing="1" w:after="100" w:afterAutospacing="1"/>
      </w:pPr>
      <w:r w:rsidRPr="008C37C6">
        <w:t>Randomised treatment assignment during the short-term period, and</w:t>
      </w:r>
    </w:p>
    <w:p w14:paraId="4A2DFC53" w14:textId="77777777" w:rsidR="008C37C6" w:rsidRPr="008C37C6" w:rsidRDefault="008C37C6" w:rsidP="008C37C6">
      <w:pPr>
        <w:numPr>
          <w:ilvl w:val="0"/>
          <w:numId w:val="68"/>
        </w:numPr>
        <w:spacing w:before="100" w:beforeAutospacing="1" w:after="100" w:afterAutospacing="1"/>
      </w:pPr>
      <w:r w:rsidRPr="008C37C6">
        <w:t>Actual treatment received during the long-term period</w:t>
      </w:r>
    </w:p>
    <w:p w14:paraId="6135CFEC" w14:textId="77777777" w:rsidR="008C37C6" w:rsidRPr="008C37C6" w:rsidRDefault="008C37C6" w:rsidP="008C37C6">
      <w:pPr>
        <w:spacing w:before="100" w:beforeAutospacing="1" w:after="100" w:afterAutospacing="1"/>
      </w:pPr>
      <w:r w:rsidRPr="008C37C6">
        <w:t>Graphical displays illustrating treatment exposure over time and transitions between dose levels may be provided to aid interpretation.</w:t>
      </w:r>
    </w:p>
    <w:p w14:paraId="68766D6B" w14:textId="77777777" w:rsidR="008C37C6" w:rsidRPr="008C37C6" w:rsidRDefault="008C37C6" w:rsidP="008C37C6">
      <w:pPr>
        <w:spacing w:before="100" w:beforeAutospacing="1" w:after="100" w:afterAutospacing="1"/>
      </w:pPr>
      <w:r w:rsidRPr="008C37C6">
        <w:t>These summaries are descriptive and are not used to redefine the estimands or analysis populations, but are intended to provide context for the safety and efficacy analyses.</w:t>
      </w:r>
    </w:p>
    <w:p w14:paraId="0B1E9151" w14:textId="77777777" w:rsidR="008C37C6" w:rsidRPr="008C37C6" w:rsidRDefault="008C37C6" w:rsidP="008C37C6">
      <w:pPr>
        <w:rPr>
          <w:lang w:eastAsia="ja-JP"/>
        </w:rPr>
      </w:pPr>
    </w:p>
    <w:p w14:paraId="217974FD" w14:textId="0ADB0CAE" w:rsidR="00EA3E2B" w:rsidRPr="00BD51BF" w:rsidRDefault="00EA3E2B" w:rsidP="00957975">
      <w:pPr>
        <w:pStyle w:val="Heading1"/>
        <w:rPr>
          <w:lang w:val="en-GB"/>
        </w:rPr>
      </w:pPr>
      <w:bookmarkStart w:id="112" w:name="_Toc518466180"/>
      <w:bookmarkStart w:id="113" w:name="_Toc518655992"/>
      <w:bookmarkStart w:id="114" w:name="_Toc521400484"/>
      <w:bookmarkStart w:id="115" w:name="_Toc154052383"/>
      <w:r w:rsidRPr="00BD51BF">
        <w:rPr>
          <w:lang w:val="en-GB"/>
        </w:rPr>
        <w:lastRenderedPageBreak/>
        <w:t>Other Analyses</w:t>
      </w:r>
      <w:bookmarkEnd w:id="112"/>
      <w:bookmarkEnd w:id="113"/>
      <w:bookmarkEnd w:id="114"/>
      <w:bookmarkEnd w:id="115"/>
    </w:p>
    <w:p w14:paraId="10419BE4" w14:textId="373D6376" w:rsidR="00A1707E" w:rsidRPr="00BD51BF" w:rsidRDefault="00A1707E" w:rsidP="00A1707E">
      <w:pPr>
        <w:rPr>
          <w:lang w:val="en-GB"/>
        </w:rPr>
      </w:pPr>
    </w:p>
    <w:p w14:paraId="10D6D3D6" w14:textId="1A093EBC" w:rsidR="00A1707E" w:rsidRPr="00BD51BF" w:rsidRDefault="00A1707E" w:rsidP="00A1707E">
      <w:pPr>
        <w:pStyle w:val="Heading2"/>
        <w:rPr>
          <w:lang w:val="en-GB"/>
        </w:rPr>
      </w:pPr>
      <w:bookmarkStart w:id="116" w:name="_Toc154052384"/>
      <w:r w:rsidRPr="00BD51BF">
        <w:rPr>
          <w:lang w:val="en-GB"/>
        </w:rPr>
        <w:t>Other Variables and/or Parameters</w:t>
      </w:r>
      <w:bookmarkEnd w:id="116"/>
    </w:p>
    <w:p w14:paraId="1C896F4B" w14:textId="77777777" w:rsidR="00A1707E" w:rsidRPr="00BD51BF" w:rsidRDefault="00A1707E" w:rsidP="00A1707E">
      <w:pPr>
        <w:pStyle w:val="CPTInstructional"/>
        <w:rPr>
          <w:lang w:val="en-GB"/>
        </w:rPr>
      </w:pPr>
      <w:bookmarkStart w:id="117" w:name="_Toc518466182"/>
      <w:bookmarkStart w:id="118" w:name="_Toc518655994"/>
      <w:bookmarkStart w:id="119" w:name="_Toc521400486"/>
      <w:commentRangeStart w:id="120"/>
      <w:r w:rsidRPr="00BD51BF">
        <w:rPr>
          <w:lang w:val="en-GB"/>
        </w:rPr>
        <w:t>Other analyses may include analyses of assessments or derived parameters, which are not defined as endpoints but need to be prespecified in either the protocol or the SAP. Examples include but are not limited to immunogenicity, biomarkers, PK/PD/population PK parameters, health care utilization variables, and health technology assessment-related variables. State if these will be reported in a separate document.</w:t>
      </w:r>
    </w:p>
    <w:p w14:paraId="5F7F4CB6" w14:textId="77777777" w:rsidR="00A1707E" w:rsidRPr="00BD51BF" w:rsidRDefault="00A1707E" w:rsidP="00A1707E">
      <w:pPr>
        <w:pStyle w:val="CPTInstructional"/>
        <w:rPr>
          <w:lang w:val="en-GB"/>
        </w:rPr>
      </w:pPr>
      <w:r w:rsidRPr="00BD51BF">
        <w:rPr>
          <w:lang w:val="en-GB"/>
        </w:rPr>
        <w:t>Subsections may be used for different topics.</w:t>
      </w:r>
    </w:p>
    <w:p w14:paraId="31AED25C" w14:textId="77777777" w:rsidR="00A1707E" w:rsidRPr="00BD51BF" w:rsidRDefault="00A1707E" w:rsidP="00A1707E">
      <w:pPr>
        <w:pStyle w:val="CPTInstructional"/>
        <w:rPr>
          <w:lang w:val="en-GB"/>
        </w:rPr>
      </w:pPr>
      <w:r w:rsidRPr="00BD51BF">
        <w:rPr>
          <w:lang w:val="en-GB"/>
        </w:rPr>
        <w:t xml:space="preserve">It is recommended that the variables used in the analyses should be clearly defined and the analyses should be described at the same level of detail as supportive secondary endpoints being described in Section 5.1.2 of the SAP. </w:t>
      </w:r>
    </w:p>
    <w:p w14:paraId="1AC8F103" w14:textId="77777777" w:rsidR="00A1707E" w:rsidRPr="00BD51BF" w:rsidRDefault="00A1707E" w:rsidP="00A1707E">
      <w:pPr>
        <w:pStyle w:val="CPTInstructional"/>
        <w:rPr>
          <w:lang w:val="en-GB"/>
        </w:rPr>
      </w:pPr>
      <w:r w:rsidRPr="00BD51BF">
        <w:rPr>
          <w:lang w:val="en-GB"/>
        </w:rPr>
        <w:t>The definition and derivation may be specified in a table format.</w:t>
      </w:r>
    </w:p>
    <w:p w14:paraId="29D2AE8C" w14:textId="77777777" w:rsidR="00A1707E" w:rsidRPr="00BD51BF" w:rsidRDefault="00A1707E" w:rsidP="00A1707E">
      <w:pPr>
        <w:pStyle w:val="CPTInstructional"/>
        <w:rPr>
          <w:lang w:val="en-GB"/>
        </w:rPr>
      </w:pPr>
      <w:r w:rsidRPr="00BD51BF">
        <w:rPr>
          <w:lang w:val="en-GB"/>
        </w:rPr>
        <w:t>Specify estimands not defined in Section 1.1 of the SAP, if applicable.</w:t>
      </w:r>
      <w:commentRangeEnd w:id="120"/>
      <w:r w:rsidR="008C37C6" w:rsidRPr="00BD51BF">
        <w:rPr>
          <w:rStyle w:val="CommentReference"/>
          <w:sz w:val="22"/>
          <w:szCs w:val="20"/>
          <w:lang w:val="en-GB"/>
        </w:rPr>
        <w:commentReference w:id="120"/>
      </w:r>
    </w:p>
    <w:p w14:paraId="2AEE445B" w14:textId="491D725E" w:rsidR="00A1707E" w:rsidRPr="00BD51BF" w:rsidRDefault="00A1707E" w:rsidP="00A1707E">
      <w:pPr>
        <w:rPr>
          <w:lang w:val="en-GB"/>
        </w:rPr>
      </w:pPr>
    </w:p>
    <w:p w14:paraId="127EFC04" w14:textId="6299B510" w:rsidR="00A1707E" w:rsidRPr="00BD51BF" w:rsidRDefault="00A1707E" w:rsidP="00A1707E">
      <w:pPr>
        <w:pStyle w:val="Heading2"/>
        <w:rPr>
          <w:lang w:val="en-GB"/>
        </w:rPr>
      </w:pPr>
      <w:bookmarkStart w:id="121" w:name="_Toc154052385"/>
      <w:r w:rsidRPr="00BD51BF">
        <w:rPr>
          <w:lang w:val="en-GB"/>
        </w:rPr>
        <w:t xml:space="preserve">Subgroup </w:t>
      </w:r>
      <w:r w:rsidRPr="00BD51BF">
        <w:rPr>
          <w:rStyle w:val="CPTVariable"/>
          <w:lang w:val="en-GB"/>
        </w:rPr>
        <w:t>[Analysis/Analyses</w:t>
      </w:r>
      <w:bookmarkEnd w:id="117"/>
      <w:bookmarkEnd w:id="118"/>
      <w:bookmarkEnd w:id="119"/>
      <w:r w:rsidRPr="00BD51BF">
        <w:rPr>
          <w:rStyle w:val="CPTVariable"/>
          <w:lang w:val="en-GB"/>
        </w:rPr>
        <w:t>]</w:t>
      </w:r>
      <w:bookmarkEnd w:id="121"/>
    </w:p>
    <w:p w14:paraId="2C96E00C" w14:textId="77777777" w:rsidR="00A1707E" w:rsidRPr="00BD51BF" w:rsidRDefault="00A1707E" w:rsidP="00A1707E">
      <w:pPr>
        <w:pStyle w:val="CPTInstructional"/>
        <w:rPr>
          <w:lang w:val="en-GB" w:eastAsia="ja-JP"/>
        </w:rPr>
      </w:pPr>
      <w:commentRangeStart w:id="122"/>
      <w:r w:rsidRPr="00BD51BF">
        <w:rPr>
          <w:lang w:val="en-GB" w:eastAsia="ja-JP"/>
        </w:rPr>
        <w:t xml:space="preserve">Note: Often individual standard clinical studies (excluding large outcomes or safety studies) are not designed to allow for statistically meaningful subgroup analyses because of too small sample sizes. Also, subgroup analyses are not commonly included in the set of </w:t>
      </w:r>
      <w:r w:rsidRPr="00BD51BF">
        <w:rPr>
          <w:lang w:val="en-GB"/>
        </w:rPr>
        <w:t xml:space="preserve">multiplicity-controlled </w:t>
      </w:r>
      <w:r w:rsidRPr="00BD51BF">
        <w:rPr>
          <w:lang w:val="en-GB" w:eastAsia="ja-JP"/>
        </w:rPr>
        <w:t>analyses and are therefore subject to multiplicity issues.</w:t>
      </w:r>
    </w:p>
    <w:p w14:paraId="331E07D9" w14:textId="77777777" w:rsidR="00A1707E" w:rsidRPr="00BD51BF" w:rsidRDefault="00A1707E" w:rsidP="00A1707E">
      <w:pPr>
        <w:pStyle w:val="CPTInstructional"/>
        <w:keepNext/>
        <w:rPr>
          <w:lang w:val="en-GB" w:eastAsia="ja-JP"/>
        </w:rPr>
      </w:pPr>
      <w:r w:rsidRPr="00BD51BF">
        <w:rPr>
          <w:lang w:val="en-GB" w:eastAsia="ja-JP"/>
        </w:rPr>
        <w:t>It is recommended to consider addressing the following topics, if applicable:</w:t>
      </w:r>
    </w:p>
    <w:p w14:paraId="221FE15B" w14:textId="77777777" w:rsidR="00A1707E" w:rsidRPr="00BD51BF" w:rsidRDefault="00A1707E" w:rsidP="00A1707E">
      <w:pPr>
        <w:pStyle w:val="CPTInstructional"/>
        <w:keepNext/>
        <w:ind w:left="504" w:hanging="144"/>
        <w:rPr>
          <w:lang w:val="en-GB"/>
        </w:rPr>
      </w:pPr>
      <w:r w:rsidRPr="00BD51BF">
        <w:rPr>
          <w:lang w:val="en-GB"/>
        </w:rPr>
        <w:t>- Define the endpoints subject to subgroup analysis – can be for either efficacy and safety, or both.</w:t>
      </w:r>
    </w:p>
    <w:p w14:paraId="3C152B83" w14:textId="77777777" w:rsidR="00A1707E" w:rsidRPr="00BD51BF" w:rsidRDefault="00A1707E" w:rsidP="00A1707E">
      <w:pPr>
        <w:pStyle w:val="CPTInstructional"/>
        <w:ind w:left="504" w:hanging="144"/>
        <w:rPr>
          <w:lang w:val="en-GB"/>
        </w:rPr>
      </w:pPr>
      <w:r w:rsidRPr="00BD51BF">
        <w:rPr>
          <w:lang w:val="en-GB"/>
        </w:rPr>
        <w:t>- Define subgroups (may include stratification factor, if relevant). Specify how participants will be classified into a subgroup in case of missing information.</w:t>
      </w:r>
    </w:p>
    <w:p w14:paraId="1333170F" w14:textId="77777777" w:rsidR="00A1707E" w:rsidRPr="00BD51BF" w:rsidRDefault="00A1707E" w:rsidP="00A1707E">
      <w:pPr>
        <w:pStyle w:val="CPTInstructional"/>
        <w:ind w:left="504" w:hanging="144"/>
        <w:rPr>
          <w:lang w:val="en-GB"/>
        </w:rPr>
      </w:pPr>
      <w:r w:rsidRPr="00BD51BF">
        <w:rPr>
          <w:lang w:val="en-GB"/>
        </w:rPr>
        <w:t>- Provide the purpose (consistency, hypothesis) of each subgroup analysis. The subgroup analyses should preferably be further substantiated, eg, biological plausibility of anticipated differential effect, regulatory/payer requirement.</w:t>
      </w:r>
    </w:p>
    <w:p w14:paraId="2A086574" w14:textId="77777777" w:rsidR="00A1707E" w:rsidRPr="00BD51BF" w:rsidRDefault="00A1707E" w:rsidP="00A1707E">
      <w:pPr>
        <w:pStyle w:val="CPTInstructional"/>
        <w:ind w:left="504" w:hanging="144"/>
        <w:rPr>
          <w:lang w:val="en-GB"/>
        </w:rPr>
      </w:pPr>
      <w:r w:rsidRPr="00BD51BF">
        <w:rPr>
          <w:lang w:val="en-GB"/>
        </w:rPr>
        <w:t>- Specify any rules to define the minimum size of a subgroup in order to carry out the analysis.</w:t>
      </w:r>
    </w:p>
    <w:p w14:paraId="1F28E62A" w14:textId="77777777" w:rsidR="00A1707E" w:rsidRPr="00BD51BF" w:rsidRDefault="00A1707E" w:rsidP="00A1707E">
      <w:pPr>
        <w:pStyle w:val="CPTInstructional"/>
        <w:ind w:left="504" w:hanging="144"/>
        <w:rPr>
          <w:lang w:val="en-GB"/>
        </w:rPr>
      </w:pPr>
      <w:r w:rsidRPr="00BD51BF">
        <w:rPr>
          <w:lang w:val="en-GB"/>
        </w:rPr>
        <w:t>- Specify analysis sets/estimand, as applicable.</w:t>
      </w:r>
    </w:p>
    <w:p w14:paraId="7F12969F" w14:textId="77777777" w:rsidR="00A1707E" w:rsidRPr="00BD51BF" w:rsidRDefault="00A1707E" w:rsidP="00A1707E">
      <w:pPr>
        <w:pStyle w:val="CPTInstructional"/>
        <w:ind w:left="504" w:hanging="144"/>
        <w:rPr>
          <w:lang w:val="en-GB"/>
        </w:rPr>
      </w:pPr>
      <w:r w:rsidRPr="00BD51BF">
        <w:rPr>
          <w:lang w:val="en-GB"/>
        </w:rPr>
        <w:t>- Specify the subgroup analysis methods, including how missing data are handled.</w:t>
      </w:r>
    </w:p>
    <w:p w14:paraId="072948E7" w14:textId="77777777" w:rsidR="00A1707E" w:rsidRPr="00BD51BF" w:rsidRDefault="00A1707E" w:rsidP="00A1707E">
      <w:pPr>
        <w:pStyle w:val="CPTInstructional"/>
        <w:ind w:left="504" w:hanging="144"/>
        <w:rPr>
          <w:lang w:val="en-GB"/>
        </w:rPr>
      </w:pPr>
      <w:r w:rsidRPr="00BD51BF">
        <w:rPr>
          <w:lang w:val="en-GB"/>
        </w:rPr>
        <w:t>- Specify the level of significance for the test of the study arm-by-subgroup interaction.</w:t>
      </w:r>
    </w:p>
    <w:p w14:paraId="55DE7233" w14:textId="77777777" w:rsidR="00A1707E" w:rsidRPr="00BD51BF" w:rsidRDefault="00A1707E" w:rsidP="00A1707E">
      <w:pPr>
        <w:pStyle w:val="CPTInstructional"/>
        <w:ind w:left="504" w:hanging="144"/>
        <w:rPr>
          <w:rFonts w:cs="Times New Roman"/>
          <w:lang w:val="en-GB" w:eastAsia="ja-JP"/>
        </w:rPr>
      </w:pPr>
      <w:r w:rsidRPr="00BD51BF">
        <w:rPr>
          <w:lang w:val="en-GB"/>
        </w:rPr>
        <w:t>- Assess consistency across regions and subpopulation(s) for multi-regional clinical studies, c.f. ICH E17.</w:t>
      </w:r>
    </w:p>
    <w:p w14:paraId="49182C45" w14:textId="51CFF5C7" w:rsidR="00A1707E" w:rsidRPr="00BD51BF" w:rsidRDefault="00A1707E" w:rsidP="00A1707E">
      <w:pPr>
        <w:rPr>
          <w:lang w:val="en-GB"/>
        </w:rPr>
      </w:pPr>
      <w:r w:rsidRPr="00BD51BF">
        <w:rPr>
          <w:lang w:val="en-GB"/>
        </w:rPr>
        <w:t>- Describe how results will be presented. It is recommended to focus on estimates and confidence intervals rather than p-values. It is often useful to display the results in a forest plot.</w:t>
      </w:r>
      <w:commentRangeEnd w:id="122"/>
      <w:r w:rsidR="00731F45" w:rsidRPr="00BD51BF">
        <w:rPr>
          <w:rStyle w:val="CommentReference"/>
          <w:sz w:val="24"/>
          <w:szCs w:val="24"/>
          <w:lang w:val="en-GB"/>
        </w:rPr>
        <w:commentReference w:id="122"/>
      </w:r>
    </w:p>
    <w:p w14:paraId="7591422C" w14:textId="5D15A4C9" w:rsidR="00A1707E" w:rsidRPr="00BD51BF" w:rsidRDefault="00A1707E" w:rsidP="00A1707E">
      <w:pPr>
        <w:rPr>
          <w:lang w:val="en-GB"/>
        </w:rPr>
      </w:pPr>
    </w:p>
    <w:p w14:paraId="2DB004FE" w14:textId="3F67360C" w:rsidR="00EA3E2B" w:rsidRDefault="00EA3E2B" w:rsidP="00F56CA1">
      <w:pPr>
        <w:pStyle w:val="Heading1"/>
        <w:rPr>
          <w:rStyle w:val="CPTVariable"/>
          <w:lang w:val="en-GB"/>
        </w:rPr>
      </w:pPr>
      <w:bookmarkStart w:id="123" w:name="_Toc154052386"/>
      <w:r w:rsidRPr="00BD51BF">
        <w:rPr>
          <w:lang w:val="en-GB"/>
        </w:rPr>
        <w:lastRenderedPageBreak/>
        <w:t xml:space="preserve">Interim </w:t>
      </w:r>
      <w:r w:rsidR="00F734FD" w:rsidRPr="00BD51BF">
        <w:rPr>
          <w:rStyle w:val="CPTVariable"/>
          <w:lang w:val="en-GB"/>
        </w:rPr>
        <w:t>[Analysis/Analyses]</w:t>
      </w:r>
      <w:bookmarkEnd w:id="123"/>
    </w:p>
    <w:p w14:paraId="7258413B" w14:textId="12816DFB" w:rsidR="00731F45" w:rsidRPr="00731F45" w:rsidRDefault="00731F45" w:rsidP="00731F45">
      <w:pPr>
        <w:rPr>
          <w:lang w:val="en-GB" w:eastAsia="ja-JP"/>
        </w:rPr>
      </w:pPr>
      <w:r>
        <w:rPr>
          <w:rFonts w:eastAsia="MS Gothic"/>
          <w:lang w:val="en-GB" w:eastAsia="ja-JP"/>
        </w:rPr>
        <w:t xml:space="preserve">Not applicable, no interim analyses planned or performed in this trial. </w:t>
      </w:r>
    </w:p>
    <w:p w14:paraId="5D48051F" w14:textId="68A4EA04" w:rsidR="000E7A2D" w:rsidRPr="00BD51BF" w:rsidRDefault="000E7A2D" w:rsidP="000E7A2D">
      <w:pPr>
        <w:pStyle w:val="CPTInstructional"/>
        <w:rPr>
          <w:lang w:val="en-GB"/>
        </w:rPr>
      </w:pPr>
    </w:p>
    <w:p w14:paraId="50FE8D3C" w14:textId="225F963A" w:rsidR="00170BDA" w:rsidRPr="00BD51BF" w:rsidRDefault="00170BDA" w:rsidP="00F734FD">
      <w:pPr>
        <w:rPr>
          <w:lang w:val="en-GB"/>
        </w:rPr>
      </w:pPr>
    </w:p>
    <w:p w14:paraId="2E9AECF0" w14:textId="415762A0" w:rsidR="00071BE6" w:rsidRPr="00731F45" w:rsidRDefault="00071BE6" w:rsidP="00731F45">
      <w:pPr>
        <w:pStyle w:val="Heading1"/>
      </w:pPr>
      <w:bookmarkStart w:id="124" w:name="_Ref34738539"/>
      <w:bookmarkStart w:id="125" w:name="_Toc44422594"/>
      <w:bookmarkStart w:id="126" w:name="_Ref45607096"/>
      <w:bookmarkStart w:id="127" w:name="_Ref45607215"/>
      <w:bookmarkStart w:id="128" w:name="_Toc154052387"/>
      <w:r w:rsidRPr="00731F45">
        <w:lastRenderedPageBreak/>
        <w:t>Changes to Protocol-planned Analyses</w:t>
      </w:r>
      <w:bookmarkEnd w:id="124"/>
      <w:bookmarkEnd w:id="125"/>
      <w:bookmarkEnd w:id="126"/>
      <w:bookmarkEnd w:id="127"/>
      <w:bookmarkEnd w:id="128"/>
    </w:p>
    <w:p w14:paraId="2EDD0393" w14:textId="2C5FED6E" w:rsidR="00731F45" w:rsidRPr="00731F45" w:rsidRDefault="00731F45" w:rsidP="00731F45">
      <w:pPr>
        <w:pStyle w:val="Heading2"/>
      </w:pPr>
      <w:r w:rsidRPr="00731F45">
        <w:rPr>
          <w:rStyle w:val="Strong"/>
          <w:b/>
          <w:bCs w:val="0"/>
        </w:rPr>
        <w:t>Multiplicity and MCP-Mod Application</w:t>
      </w:r>
    </w:p>
    <w:p w14:paraId="531ACB6B" w14:textId="77777777" w:rsidR="00731F45" w:rsidRDefault="00731F45" w:rsidP="00731F45">
      <w:pPr>
        <w:pStyle w:val="NormalWeb"/>
      </w:pPr>
      <w:r>
        <w:t xml:space="preserve">In the SAP, the MCP-Mod methodology is </w:t>
      </w:r>
      <w:r>
        <w:rPr>
          <w:rStyle w:val="Strong"/>
          <w:rFonts w:eastAsia="MS Gothic"/>
        </w:rPr>
        <w:t>restricted to the primary imaging endpoints</w:t>
      </w:r>
      <w:r>
        <w:t>, for which it was originally intended. Time-to-event endpoints are analysed using Cox proportional hazards models without MCP-Mod. This change reflects methodological appropriateness for the endpoint type and does not affect the study objectives.</w:t>
      </w:r>
    </w:p>
    <w:p w14:paraId="45FA9C51" w14:textId="77777777" w:rsidR="00731F45" w:rsidRDefault="00731F45" w:rsidP="00731F45">
      <w:pPr>
        <w:pStyle w:val="NormalWeb"/>
      </w:pPr>
      <w:r>
        <w:t xml:space="preserve">In addition, the SAP specifies that MCP-Mod hypothesis tests are conducted as </w:t>
      </w:r>
      <w:r>
        <w:rPr>
          <w:rStyle w:val="Strong"/>
          <w:rFonts w:eastAsia="MS Gothic"/>
        </w:rPr>
        <w:t>one-sided tests at a nominal 2.5% significance level</w:t>
      </w:r>
      <w:r>
        <w:t>, consistent with standard MCP-Mod methodology. This represents a clarification relative to the protocol text.</w:t>
      </w:r>
    </w:p>
    <w:p w14:paraId="6C5C88F0" w14:textId="77777777" w:rsidR="00731F45" w:rsidRDefault="00731F45" w:rsidP="00731F45">
      <w:pPr>
        <w:rPr>
          <w:lang w:val="en-GB" w:eastAsia="ja-JP"/>
        </w:rPr>
      </w:pPr>
    </w:p>
    <w:p w14:paraId="5D163A1E" w14:textId="7324ED35" w:rsidR="00731F45" w:rsidRDefault="00731F45" w:rsidP="00731F45">
      <w:pPr>
        <w:pStyle w:val="Heading2"/>
        <w:rPr>
          <w:sz w:val="27"/>
          <w:szCs w:val="27"/>
        </w:rPr>
      </w:pPr>
      <w:r>
        <w:rPr>
          <w:rStyle w:val="Strong"/>
          <w:b/>
          <w:bCs w:val="0"/>
        </w:rPr>
        <w:t>Specification of Candidate Dose–Response Models</w:t>
      </w:r>
    </w:p>
    <w:p w14:paraId="38C084BD" w14:textId="77777777" w:rsidR="00731F45" w:rsidRDefault="00731F45" w:rsidP="00731F45">
      <w:pPr>
        <w:pStyle w:val="NormalWeb"/>
      </w:pPr>
      <w:r>
        <w:t xml:space="preserve">The protocol refers to a “step model” as one of the candidate dose–response models. In the SAP, this is operationalised using a </w:t>
      </w:r>
      <w:r>
        <w:rPr>
          <w:rStyle w:val="Strong"/>
          <w:rFonts w:eastAsia="MS Gothic"/>
        </w:rPr>
        <w:t>piecewise linear (linear interpolation) model with knots at the planned dose levels</w:t>
      </w:r>
      <w:r>
        <w:t>, which allows step-like dose–response patterns without imposing smoothness assumptions beyond continuity. This represents a clarification of the mathematical implementation of the protocol-specified model.</w:t>
      </w:r>
    </w:p>
    <w:p w14:paraId="412A6C54" w14:textId="2132E1B0" w:rsidR="00731F45" w:rsidRDefault="00731F45" w:rsidP="00731F45">
      <w:pPr>
        <w:pStyle w:val="Heading2"/>
      </w:pPr>
      <w:r>
        <w:rPr>
          <w:rStyle w:val="Strong"/>
          <w:b/>
          <w:bCs w:val="0"/>
        </w:rPr>
        <w:t>Supplementary Analysis of Any Dose Versus No Dose</w:t>
      </w:r>
    </w:p>
    <w:p w14:paraId="138AAFA8" w14:textId="77777777" w:rsidR="00731F45" w:rsidRDefault="00731F45" w:rsidP="00731F45">
      <w:pPr>
        <w:pStyle w:val="NormalWeb"/>
      </w:pPr>
      <w:r>
        <w:t xml:space="preserve">The SAP includes a supplementary analysis comparing </w:t>
      </w:r>
      <w:r>
        <w:rPr>
          <w:rStyle w:val="Strong"/>
          <w:rFonts w:eastAsia="MS Gothic"/>
        </w:rPr>
        <w:t>any dose of losartan</w:t>
      </w:r>
      <w:r>
        <w:t xml:space="preserve"> (25 mg, 50 mg, or 100 mg pooled) versus </w:t>
      </w:r>
      <w:r>
        <w:rPr>
          <w:rStyle w:val="Strong"/>
          <w:rFonts w:eastAsia="MS Gothic"/>
        </w:rPr>
        <w:t>no losartan (0 mg)</w:t>
      </w:r>
      <w:r>
        <w:t xml:space="preserve"> using the primary mixed effects model. This analysis was not explicitly specified in the protocol and is added to provide a descriptive assessment of a potential common treatment effect corresponding to a step-like dose–response pattern. This analysis is supplementary and not part of the multiplicity-controlled testing strategy.</w:t>
      </w:r>
    </w:p>
    <w:p w14:paraId="6428808A" w14:textId="77777777" w:rsidR="00731F45" w:rsidRDefault="00731F45" w:rsidP="00731F45">
      <w:pPr>
        <w:rPr>
          <w:lang w:eastAsia="ja-JP"/>
        </w:rPr>
      </w:pPr>
    </w:p>
    <w:p w14:paraId="0D0D3720" w14:textId="4318F6CA" w:rsidR="00731F45" w:rsidRDefault="00731F45" w:rsidP="00731F45">
      <w:pPr>
        <w:pStyle w:val="Heading2"/>
        <w:rPr>
          <w:sz w:val="27"/>
          <w:szCs w:val="27"/>
        </w:rPr>
      </w:pPr>
      <w:r>
        <w:rPr>
          <w:rStyle w:val="Strong"/>
          <w:b/>
          <w:bCs w:val="0"/>
        </w:rPr>
        <w:t>Summary</w:t>
      </w:r>
    </w:p>
    <w:p w14:paraId="4F08712F" w14:textId="11A3AAED" w:rsidR="00731F45" w:rsidRDefault="00731F45" w:rsidP="00731F45">
      <w:pPr>
        <w:pStyle w:val="NormalWeb"/>
      </w:pPr>
      <w:r>
        <w:t xml:space="preserve">All changes described above were made prior to database lock </w:t>
      </w:r>
      <w:r>
        <w:t>without knowing any comparative results</w:t>
      </w:r>
      <w:r>
        <w:t>. None of the changes alter the study objectives or primary estimands. The modifications primarily clarify implementation details, improve alignment with the estimand framework, and ensure appropriate methodology for different endpoint types.</w:t>
      </w:r>
    </w:p>
    <w:p w14:paraId="0264C184" w14:textId="77777777" w:rsidR="00731F45" w:rsidRPr="00731F45" w:rsidRDefault="00731F45" w:rsidP="00731F45">
      <w:pPr>
        <w:rPr>
          <w:lang w:eastAsia="ja-JP"/>
        </w:rPr>
      </w:pPr>
    </w:p>
    <w:p w14:paraId="50C4E5E4" w14:textId="77777777" w:rsidR="00F13CCD" w:rsidRPr="00BD51BF" w:rsidRDefault="00F13CCD" w:rsidP="00F13CCD">
      <w:pPr>
        <w:pStyle w:val="Heading1"/>
        <w:rPr>
          <w:lang w:val="en-GB"/>
        </w:rPr>
      </w:pPr>
      <w:bookmarkStart w:id="129" w:name="_Toc154052388"/>
      <w:r w:rsidRPr="00BD51BF">
        <w:rPr>
          <w:lang w:val="en-GB"/>
        </w:rPr>
        <w:lastRenderedPageBreak/>
        <w:t>Sample Size Determination</w:t>
      </w:r>
      <w:bookmarkEnd w:id="129"/>
    </w:p>
    <w:p w14:paraId="7A1ACD44" w14:textId="3CCD98EA" w:rsidR="00071BE6" w:rsidRDefault="00731F45" w:rsidP="00071BE6">
      <w:pPr>
        <w:rPr>
          <w:lang w:val="en-GB"/>
        </w:rPr>
      </w:pPr>
      <w:r>
        <w:rPr>
          <w:lang w:val="en-GB"/>
        </w:rPr>
        <w:t xml:space="preserve">Copied from the protocol: </w:t>
      </w:r>
    </w:p>
    <w:p w14:paraId="06A49D28" w14:textId="77777777" w:rsidR="00731F45" w:rsidRDefault="00731F45" w:rsidP="00071BE6">
      <w:pPr>
        <w:rPr>
          <w:lang w:val="en-GB"/>
        </w:rPr>
      </w:pPr>
    </w:p>
    <w:p w14:paraId="191376EF" w14:textId="77777777" w:rsidR="00731F45" w:rsidRDefault="00731F45" w:rsidP="00731F45">
      <w:pPr>
        <w:ind w:firstLine="284"/>
      </w:pPr>
      <w:r>
        <w:t>The underlying repeated measures mixed model is defined as:</w:t>
      </w:r>
      <w:r>
        <w:tab/>
      </w:r>
    </w:p>
    <w:p w14:paraId="1AC66D3E" w14:textId="77777777" w:rsidR="00731F45" w:rsidRPr="00C357C5" w:rsidRDefault="00731F45" w:rsidP="00731F45">
      <w:pPr>
        <w:ind w:firstLine="284"/>
        <w:jc w:val="center"/>
        <w:rPr>
          <w:bCs/>
        </w:rPr>
      </w:pPr>
      <w:r w:rsidRPr="00C357C5">
        <w:rPr>
          <w:bCs/>
          <w:i/>
        </w:rPr>
        <w:t>∆P</w:t>
      </w:r>
      <w:r w:rsidRPr="00C357C5">
        <w:rPr>
          <w:bCs/>
          <w:i/>
          <w:vertAlign w:val="subscript"/>
        </w:rPr>
        <w:t>ij</w:t>
      </w:r>
      <w:r w:rsidRPr="00C357C5">
        <w:rPr>
          <w:bCs/>
          <w:i/>
        </w:rPr>
        <w:t xml:space="preserve"> = Ai + µ</w:t>
      </w:r>
      <w:r w:rsidRPr="00C357C5">
        <w:rPr>
          <w:bCs/>
          <w:i/>
          <w:vertAlign w:val="subscript"/>
        </w:rPr>
        <w:t>trt</w:t>
      </w:r>
      <w:r w:rsidRPr="00C357C5">
        <w:rPr>
          <w:bCs/>
          <w:i/>
        </w:rPr>
        <w:t xml:space="preserve"> + µ</w:t>
      </w:r>
      <w:r w:rsidRPr="00C357C5">
        <w:rPr>
          <w:bCs/>
          <w:i/>
          <w:vertAlign w:val="subscript"/>
        </w:rPr>
        <w:t>j</w:t>
      </w:r>
      <w:r w:rsidRPr="00C357C5">
        <w:rPr>
          <w:bCs/>
          <w:i/>
        </w:rPr>
        <w:t xml:space="preserve"> + </w:t>
      </w:r>
      <w:r w:rsidRPr="00C357C5">
        <w:rPr>
          <w:rFonts w:ascii="Calibri" w:hAnsi="Calibri" w:cs="Calibri"/>
          <w:bCs/>
          <w:i/>
        </w:rPr>
        <w:t>ϵ</w:t>
      </w:r>
      <w:r w:rsidRPr="00C357C5">
        <w:rPr>
          <w:bCs/>
          <w:i/>
          <w:vertAlign w:val="subscript"/>
        </w:rPr>
        <w:t>ij</w:t>
      </w:r>
    </w:p>
    <w:p w14:paraId="4959A2C3" w14:textId="77777777" w:rsidR="00731F45" w:rsidRDefault="00731F45" w:rsidP="00731F45">
      <w:r>
        <w:t xml:space="preserve">where </w:t>
      </w:r>
      <w:r w:rsidRPr="004419AB">
        <w:rPr>
          <w:i/>
        </w:rPr>
        <w:t>∆P</w:t>
      </w:r>
      <w:r w:rsidRPr="004419AB">
        <w:rPr>
          <w:i/>
          <w:vertAlign w:val="subscript"/>
        </w:rPr>
        <w:t>ij</w:t>
      </w:r>
      <w:r>
        <w:t xml:space="preserve"> is the change from the MRI-based baseline Perfusion value, measured as a percentage of the optimal value (100%) of patient i = 1..</w:t>
      </w:r>
      <w:r w:rsidRPr="004419AB">
        <w:rPr>
          <w:i/>
        </w:rPr>
        <w:t>N</w:t>
      </w:r>
      <w:r>
        <w:t xml:space="preserve"> at timepoint </w:t>
      </w:r>
      <w:r w:rsidRPr="004419AB">
        <w:rPr>
          <w:i/>
        </w:rPr>
        <w:t>j</w:t>
      </w:r>
      <w:r>
        <w:t>, A</w:t>
      </w:r>
      <w:r w:rsidRPr="004419AB">
        <w:rPr>
          <w:vertAlign w:val="subscript"/>
        </w:rPr>
        <w:t>i</w:t>
      </w:r>
      <w:r>
        <w:t xml:space="preserve"> is the random intercept of patient </w:t>
      </w:r>
      <w:r w:rsidRPr="00C43877">
        <w:rPr>
          <w:i/>
        </w:rPr>
        <w:t>i</w:t>
      </w:r>
      <w:r>
        <w:t xml:space="preserve">, </w:t>
      </w:r>
      <w:r w:rsidRPr="00C43877">
        <w:rPr>
          <w:i/>
        </w:rPr>
        <w:t>µ</w:t>
      </w:r>
      <w:r w:rsidRPr="00C43877">
        <w:rPr>
          <w:i/>
          <w:vertAlign w:val="subscript"/>
        </w:rPr>
        <w:t>trt</w:t>
      </w:r>
      <w:r w:rsidRPr="00C43877">
        <w:rPr>
          <w:i/>
        </w:rPr>
        <w:t xml:space="preserve"> </w:t>
      </w:r>
      <w:r>
        <w:t xml:space="preserve">is the treatment effect , </w:t>
      </w:r>
      <w:r w:rsidRPr="00C43877">
        <w:rPr>
          <w:i/>
        </w:rPr>
        <w:t>µ</w:t>
      </w:r>
      <w:r w:rsidRPr="00C43877">
        <w:rPr>
          <w:i/>
          <w:vertAlign w:val="subscript"/>
        </w:rPr>
        <w:t>j</w:t>
      </w:r>
      <w:r w:rsidRPr="00C43877">
        <w:rPr>
          <w:i/>
        </w:rPr>
        <w:t xml:space="preserve"> </w:t>
      </w:r>
      <w:r>
        <w:t>is the expected P</w:t>
      </w:r>
      <w:r w:rsidRPr="00767332">
        <w:rPr>
          <w:i/>
          <w:vertAlign w:val="subscript"/>
        </w:rPr>
        <w:t>ij</w:t>
      </w:r>
      <w:r>
        <w:t xml:space="preserve"> at timepoint </w:t>
      </w:r>
      <w:r w:rsidRPr="00C43877">
        <w:rPr>
          <w:i/>
        </w:rPr>
        <w:t>j</w:t>
      </w:r>
      <w:r>
        <w:t xml:space="preserve">, and </w:t>
      </w:r>
      <w:r w:rsidRPr="00C43877">
        <w:rPr>
          <w:rFonts w:ascii="Calibri" w:hAnsi="Calibri" w:cs="Calibri"/>
          <w:i/>
        </w:rPr>
        <w:t>ϵ</w:t>
      </w:r>
      <w:r w:rsidRPr="00C43877">
        <w:rPr>
          <w:i/>
          <w:vertAlign w:val="subscript"/>
        </w:rPr>
        <w:t>ij</w:t>
      </w:r>
      <w:r>
        <w:t xml:space="preserve"> is the residual. Note that we assume the treatment effect is equal between the treatment doses, such that the </w:t>
      </w:r>
      <w:r w:rsidRPr="00C43877">
        <w:rPr>
          <w:i/>
        </w:rPr>
        <w:t>µ</w:t>
      </w:r>
      <w:r w:rsidRPr="00C43877">
        <w:rPr>
          <w:i/>
          <w:vertAlign w:val="subscript"/>
        </w:rPr>
        <w:t>j</w:t>
      </w:r>
      <w:r>
        <w:t xml:space="preserve"> denotes the average treatment effect over the three doses. </w:t>
      </w:r>
      <w:r w:rsidRPr="00C43877">
        <w:t>We assume the effect size to be 20%</w:t>
      </w:r>
      <w:r>
        <w:t>, h</w:t>
      </w:r>
      <w:r w:rsidRPr="00C43877">
        <w:t xml:space="preserve">owever, we </w:t>
      </w:r>
      <w:r>
        <w:t>also</w:t>
      </w:r>
      <w:r w:rsidRPr="00C43877">
        <w:t xml:space="preserve"> assess the power of </w:t>
      </w:r>
      <w:r>
        <w:t>alternative</w:t>
      </w:r>
      <w:r w:rsidRPr="00C43877">
        <w:t xml:space="preserve"> effect sizes</w:t>
      </w:r>
      <w:r>
        <w:t xml:space="preserve"> of </w:t>
      </w:r>
      <w:r w:rsidRPr="00C43877">
        <w:t>5%, 10% and 15%</w:t>
      </w:r>
      <w:r>
        <w:t>. The variance is difficult to assess, but we assume an overall standard deviation of 15%</w:t>
      </w:r>
      <w:r w:rsidRPr="002A38B3">
        <w:rPr>
          <w:szCs w:val="22"/>
        </w:rPr>
        <w:fldChar w:fldCharType="begin"/>
      </w:r>
      <w:r>
        <w:rPr>
          <w:szCs w:val="22"/>
        </w:rPr>
        <w:instrText xml:space="preserve"> ADDIN EN.CITE &lt;EndNote&gt;&lt;Cite&gt;&lt;Author&gt;Digernes&lt;/Author&gt;&lt;Year&gt;2015&lt;/Year&gt;&lt;RecNum&gt;611&lt;/RecNum&gt;&lt;DisplayText&gt;&lt;style face="superscript"&gt;89&lt;/style&gt;&lt;/DisplayText&gt;&lt;record&gt;&lt;rec-number&gt;611&lt;/rec-number&gt;&lt;foreign-keys&gt;&lt;key app="EN" db-id="95tarr0virst04et9pa5atzb5pv909rzvdfv" timestamp="1533652164"&gt;611&lt;/key&gt;&lt;/foreign-keys&gt;&lt;ref-type name="Journal Article"&gt;17&lt;/ref-type&gt;&lt;contributors&gt;&lt;authors&gt;&lt;author&gt;Digernes, I.&lt;/author&gt;&lt;author&gt;Courivaud, F.&lt;/author&gt;&lt;author&gt;Saxhaug, C.&lt;/author&gt;&lt;author&gt;Pinho, M.C.&lt;/author&gt;&lt;author&gt;Geier, M.O.&lt;/author&gt;&lt;author&gt;Vik-Mo, E.O.&lt;/author&gt;&lt;author&gt;Hole, K.H.&lt;/author&gt;&lt;author&gt;Lovland, G.&lt;/author&gt;&lt;author&gt;Vatnehol, S.A.&lt;/author&gt;&lt;author&gt;Meling, T.R.&lt;/author&gt;&lt;author&gt;Rapalino, O.&lt;/author&gt;&lt;author&gt;Bjornerud, A.&lt;/author&gt;&lt;author&gt;Emblem, K.E.&lt;/author&gt;&lt;/authors&gt;&lt;/contributors&gt;&lt;titles&gt;&lt;title&gt;Abnormal Tumor and Peritumor Vasculature and Metabolism Differentiate Primary from Metastatic Brain Tumors&lt;/title&gt;&lt;secondary-title&gt;Proc International Society for Magnetic Resonance in Medicine&lt;/secondary-title&gt;&lt;/titles&gt;&lt;periodical&gt;&lt;full-title&gt;Proc International Society for Magnetic Resonance in Medicine&lt;/full-title&gt;&lt;/periodical&gt;&lt;volume&gt;p73&lt;/volume&gt;&lt;reprint-edition&gt;In File&lt;/reprint-edition&gt;&lt;keywords&gt;&lt;keyword&gt;metabolism&lt;/keyword&gt;&lt;keyword&gt;Brain&lt;/keyword&gt;&lt;/keywords&gt;&lt;dates&gt;&lt;year&gt;2015&lt;/year&gt;&lt;pub-dates&gt;&lt;date&gt;2015&lt;/date&gt;&lt;/pub-dates&gt;&lt;/dates&gt;&lt;label&gt;620&lt;/label&gt;&lt;urls&gt;&lt;/urls&gt;&lt;/record&gt;&lt;/Cite&gt;&lt;/EndNote&gt;</w:instrText>
      </w:r>
      <w:r w:rsidRPr="002A38B3">
        <w:rPr>
          <w:szCs w:val="22"/>
        </w:rPr>
        <w:fldChar w:fldCharType="separate"/>
      </w:r>
      <w:r w:rsidRPr="00D80B00">
        <w:rPr>
          <w:noProof/>
          <w:szCs w:val="22"/>
          <w:vertAlign w:val="superscript"/>
        </w:rPr>
        <w:t>89</w:t>
      </w:r>
      <w:r w:rsidRPr="002A38B3">
        <w:rPr>
          <w:szCs w:val="22"/>
        </w:rPr>
        <w:fldChar w:fldCharType="end"/>
      </w:r>
      <w:r>
        <w:t>, split with a within- and between patient standard deviation of 10.6%. We used simulations to estimate the sample sizes and corresponding powers separately for each of the three indications.</w:t>
      </w:r>
    </w:p>
    <w:p w14:paraId="0EC5F85F" w14:textId="0353F329" w:rsidR="00731F45" w:rsidRPr="00A1128F" w:rsidRDefault="00731F45" w:rsidP="00731F45">
      <w:pPr>
        <w:pStyle w:val="Heading2"/>
        <w:rPr>
          <w:lang w:val="en-US"/>
        </w:rPr>
      </w:pPr>
      <w:r w:rsidRPr="00A1128F">
        <w:rPr>
          <w:lang w:val="en-US"/>
        </w:rPr>
        <w:t>Simulations</w:t>
      </w:r>
    </w:p>
    <w:p w14:paraId="5BD60CB5" w14:textId="77777777" w:rsidR="00731F45" w:rsidRDefault="00731F45" w:rsidP="00731F45">
      <w:r>
        <w:tab/>
        <w:t>A total of 1000 simulated trials were simulated for each sample size. For each simulation we estimated the parameters of interest (treatment effect) and the p-value from a mixed model. The power is calculated as the proportion of trials with significant treatment effect. For each simulated trial we simulate 6, 12 or 18 patients in each intervention group (step). In the calculations, the doses are pooled to assess the overall treatment effect of losartan.</w:t>
      </w:r>
    </w:p>
    <w:tbl>
      <w:tblPr>
        <w:tblW w:w="8496" w:type="dxa"/>
        <w:jc w:val="center"/>
        <w:tblLook w:val="04A0" w:firstRow="1" w:lastRow="0" w:firstColumn="1" w:lastColumn="0" w:noHBand="0" w:noVBand="1"/>
      </w:tblPr>
      <w:tblGrid>
        <w:gridCol w:w="2694"/>
        <w:gridCol w:w="1200"/>
        <w:gridCol w:w="2202"/>
        <w:gridCol w:w="1200"/>
        <w:gridCol w:w="1200"/>
      </w:tblGrid>
      <w:tr w:rsidR="00731F45" w:rsidRPr="00C43877" w14:paraId="050A1394" w14:textId="77777777" w:rsidTr="00652A4E">
        <w:trPr>
          <w:trHeight w:val="300"/>
          <w:jc w:val="center"/>
        </w:trPr>
        <w:tc>
          <w:tcPr>
            <w:tcW w:w="2694" w:type="dxa"/>
            <w:tcBorders>
              <w:top w:val="single" w:sz="4" w:space="0" w:color="auto"/>
              <w:left w:val="single" w:sz="4" w:space="0" w:color="auto"/>
              <w:bottom w:val="single" w:sz="4" w:space="0" w:color="auto"/>
              <w:right w:val="single" w:sz="4" w:space="0" w:color="auto"/>
            </w:tcBorders>
            <w:noWrap/>
            <w:vAlign w:val="bottom"/>
            <w:hideMark/>
          </w:tcPr>
          <w:p w14:paraId="3DB25E6F" w14:textId="77777777" w:rsidR="00731F45" w:rsidRPr="00C43877" w:rsidRDefault="00731F45" w:rsidP="00652A4E">
            <w:pPr>
              <w:jc w:val="center"/>
              <w:rPr>
                <w:rFonts w:cs="Calibri"/>
                <w:b/>
                <w:bCs/>
                <w:color w:val="000000"/>
                <w:szCs w:val="22"/>
              </w:rPr>
            </w:pPr>
            <w:r w:rsidRPr="00C43877">
              <w:rPr>
                <w:rFonts w:cs="Calibri"/>
                <w:b/>
                <w:bCs/>
                <w:color w:val="000000"/>
                <w:szCs w:val="22"/>
              </w:rPr>
              <w:t>Sample size per group</w:t>
            </w:r>
          </w:p>
        </w:tc>
        <w:tc>
          <w:tcPr>
            <w:tcW w:w="1200" w:type="dxa"/>
            <w:tcBorders>
              <w:top w:val="single" w:sz="4" w:space="0" w:color="auto"/>
              <w:left w:val="nil"/>
              <w:bottom w:val="single" w:sz="4" w:space="0" w:color="auto"/>
              <w:right w:val="single" w:sz="4" w:space="0" w:color="auto"/>
            </w:tcBorders>
            <w:noWrap/>
            <w:vAlign w:val="bottom"/>
            <w:hideMark/>
          </w:tcPr>
          <w:p w14:paraId="7EDDAAA0" w14:textId="77777777" w:rsidR="00731F45" w:rsidRPr="00C43877" w:rsidRDefault="00731F45" w:rsidP="00652A4E">
            <w:pPr>
              <w:jc w:val="center"/>
              <w:rPr>
                <w:rFonts w:cs="Calibri"/>
                <w:b/>
                <w:bCs/>
                <w:color w:val="000000"/>
                <w:szCs w:val="22"/>
              </w:rPr>
            </w:pPr>
            <w:r w:rsidRPr="00C43877">
              <w:rPr>
                <w:rFonts w:cs="Calibri"/>
                <w:b/>
                <w:bCs/>
                <w:color w:val="000000"/>
                <w:szCs w:val="22"/>
              </w:rPr>
              <w:t>Effect size</w:t>
            </w:r>
          </w:p>
        </w:tc>
        <w:tc>
          <w:tcPr>
            <w:tcW w:w="2202" w:type="dxa"/>
            <w:tcBorders>
              <w:top w:val="single" w:sz="4" w:space="0" w:color="auto"/>
              <w:left w:val="nil"/>
              <w:bottom w:val="single" w:sz="4" w:space="0" w:color="auto"/>
              <w:right w:val="single" w:sz="4" w:space="0" w:color="auto"/>
            </w:tcBorders>
            <w:noWrap/>
            <w:vAlign w:val="bottom"/>
            <w:hideMark/>
          </w:tcPr>
          <w:p w14:paraId="18E7C852" w14:textId="77777777" w:rsidR="00731F45" w:rsidRPr="00C43877" w:rsidRDefault="00731F45" w:rsidP="00652A4E">
            <w:pPr>
              <w:jc w:val="center"/>
              <w:rPr>
                <w:rFonts w:cs="Calibri"/>
                <w:b/>
                <w:bCs/>
                <w:color w:val="000000"/>
                <w:szCs w:val="22"/>
              </w:rPr>
            </w:pPr>
            <w:r w:rsidRPr="00C43877">
              <w:rPr>
                <w:rFonts w:cs="Calibri"/>
                <w:b/>
                <w:bCs/>
                <w:color w:val="000000"/>
                <w:szCs w:val="22"/>
              </w:rPr>
              <w:t>Total sample size</w:t>
            </w:r>
          </w:p>
        </w:tc>
        <w:tc>
          <w:tcPr>
            <w:tcW w:w="1200" w:type="dxa"/>
            <w:tcBorders>
              <w:top w:val="single" w:sz="4" w:space="0" w:color="auto"/>
              <w:left w:val="nil"/>
              <w:bottom w:val="single" w:sz="4" w:space="0" w:color="auto"/>
              <w:right w:val="single" w:sz="4" w:space="0" w:color="auto"/>
            </w:tcBorders>
            <w:noWrap/>
            <w:vAlign w:val="bottom"/>
            <w:hideMark/>
          </w:tcPr>
          <w:p w14:paraId="0EFC9F93" w14:textId="77777777" w:rsidR="00731F45" w:rsidRPr="00C43877" w:rsidRDefault="00731F45" w:rsidP="00652A4E">
            <w:pPr>
              <w:jc w:val="center"/>
              <w:rPr>
                <w:rFonts w:cs="Calibri"/>
                <w:b/>
                <w:bCs/>
                <w:color w:val="000000"/>
                <w:szCs w:val="22"/>
              </w:rPr>
            </w:pPr>
            <w:r w:rsidRPr="00C43877">
              <w:rPr>
                <w:rFonts w:cs="Calibri"/>
                <w:b/>
                <w:bCs/>
                <w:color w:val="000000"/>
                <w:szCs w:val="22"/>
              </w:rPr>
              <w:t xml:space="preserve">Power </w:t>
            </w:r>
          </w:p>
        </w:tc>
        <w:tc>
          <w:tcPr>
            <w:tcW w:w="1200" w:type="dxa"/>
            <w:tcBorders>
              <w:top w:val="single" w:sz="4" w:space="0" w:color="auto"/>
              <w:left w:val="nil"/>
              <w:bottom w:val="single" w:sz="4" w:space="0" w:color="auto"/>
              <w:right w:val="single" w:sz="4" w:space="0" w:color="auto"/>
            </w:tcBorders>
            <w:noWrap/>
            <w:vAlign w:val="bottom"/>
            <w:hideMark/>
          </w:tcPr>
          <w:p w14:paraId="0C827D35" w14:textId="77777777" w:rsidR="00731F45" w:rsidRPr="00C43877" w:rsidRDefault="00731F45" w:rsidP="00652A4E">
            <w:pPr>
              <w:jc w:val="center"/>
              <w:rPr>
                <w:rFonts w:cs="Calibri"/>
                <w:b/>
                <w:bCs/>
                <w:color w:val="000000"/>
                <w:szCs w:val="22"/>
              </w:rPr>
            </w:pPr>
            <w:r w:rsidRPr="00C43877">
              <w:rPr>
                <w:rFonts w:cs="Calibri"/>
                <w:b/>
                <w:bCs/>
                <w:color w:val="000000"/>
                <w:szCs w:val="22"/>
              </w:rPr>
              <w:t>Estimate</w:t>
            </w:r>
          </w:p>
        </w:tc>
      </w:tr>
      <w:tr w:rsidR="00731F45" w:rsidRPr="00C43877" w14:paraId="7EBC2BD4"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6E9DC684" w14:textId="77777777" w:rsidR="00731F45" w:rsidRPr="00C43877" w:rsidRDefault="00731F45" w:rsidP="00652A4E">
            <w:pPr>
              <w:jc w:val="center"/>
              <w:rPr>
                <w:rFonts w:cs="Calibri"/>
                <w:color w:val="000000"/>
                <w:szCs w:val="22"/>
              </w:rPr>
            </w:pPr>
            <w:r w:rsidRPr="00C43877">
              <w:rPr>
                <w:rFonts w:cs="Calibri"/>
                <w:color w:val="000000"/>
                <w:szCs w:val="22"/>
              </w:rPr>
              <w:t>6</w:t>
            </w:r>
          </w:p>
        </w:tc>
        <w:tc>
          <w:tcPr>
            <w:tcW w:w="1200" w:type="dxa"/>
            <w:tcBorders>
              <w:top w:val="nil"/>
              <w:left w:val="nil"/>
              <w:bottom w:val="single" w:sz="4" w:space="0" w:color="auto"/>
              <w:right w:val="single" w:sz="4" w:space="0" w:color="auto"/>
            </w:tcBorders>
            <w:noWrap/>
            <w:vAlign w:val="bottom"/>
            <w:hideMark/>
          </w:tcPr>
          <w:p w14:paraId="35D5A72C" w14:textId="77777777" w:rsidR="00731F45" w:rsidRPr="00C43877" w:rsidRDefault="00731F45" w:rsidP="00652A4E">
            <w:pPr>
              <w:jc w:val="center"/>
              <w:rPr>
                <w:rFonts w:cs="Calibri"/>
                <w:color w:val="000000"/>
                <w:szCs w:val="22"/>
              </w:rPr>
            </w:pPr>
            <w:r w:rsidRPr="00C43877">
              <w:rPr>
                <w:rFonts w:cs="Calibri"/>
                <w:color w:val="000000"/>
                <w:szCs w:val="22"/>
              </w:rPr>
              <w:t>5</w:t>
            </w:r>
          </w:p>
        </w:tc>
        <w:tc>
          <w:tcPr>
            <w:tcW w:w="2202" w:type="dxa"/>
            <w:tcBorders>
              <w:top w:val="nil"/>
              <w:left w:val="nil"/>
              <w:bottom w:val="single" w:sz="4" w:space="0" w:color="auto"/>
              <w:right w:val="single" w:sz="4" w:space="0" w:color="auto"/>
            </w:tcBorders>
            <w:noWrap/>
            <w:vAlign w:val="bottom"/>
            <w:hideMark/>
          </w:tcPr>
          <w:p w14:paraId="607B0824" w14:textId="77777777" w:rsidR="00731F45" w:rsidRPr="00C43877" w:rsidRDefault="00731F45" w:rsidP="00652A4E">
            <w:pPr>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6AF44004" w14:textId="77777777" w:rsidR="00731F45" w:rsidRPr="00C43877" w:rsidRDefault="00731F45" w:rsidP="00652A4E">
            <w:pPr>
              <w:jc w:val="center"/>
              <w:rPr>
                <w:rFonts w:cs="Calibri"/>
                <w:color w:val="000000"/>
                <w:szCs w:val="22"/>
              </w:rPr>
            </w:pPr>
            <w:r w:rsidRPr="00C43877">
              <w:rPr>
                <w:rFonts w:cs="Calibri"/>
                <w:color w:val="000000"/>
                <w:szCs w:val="22"/>
              </w:rPr>
              <w:t>0.187</w:t>
            </w:r>
          </w:p>
        </w:tc>
        <w:tc>
          <w:tcPr>
            <w:tcW w:w="1200" w:type="dxa"/>
            <w:tcBorders>
              <w:top w:val="nil"/>
              <w:left w:val="nil"/>
              <w:bottom w:val="single" w:sz="4" w:space="0" w:color="auto"/>
              <w:right w:val="single" w:sz="4" w:space="0" w:color="auto"/>
            </w:tcBorders>
            <w:noWrap/>
            <w:vAlign w:val="bottom"/>
            <w:hideMark/>
          </w:tcPr>
          <w:p w14:paraId="3748CBB8" w14:textId="77777777" w:rsidR="00731F45" w:rsidRPr="00C43877" w:rsidRDefault="00731F45" w:rsidP="00652A4E">
            <w:pPr>
              <w:jc w:val="center"/>
              <w:rPr>
                <w:rFonts w:cs="Calibri"/>
                <w:color w:val="000000"/>
                <w:szCs w:val="22"/>
              </w:rPr>
            </w:pPr>
            <w:r w:rsidRPr="00C43877">
              <w:rPr>
                <w:rFonts w:cs="Calibri"/>
                <w:color w:val="000000"/>
                <w:szCs w:val="22"/>
              </w:rPr>
              <w:t>4.822</w:t>
            </w:r>
          </w:p>
        </w:tc>
      </w:tr>
      <w:tr w:rsidR="00731F45" w:rsidRPr="00C43877" w14:paraId="0BC5FCA6"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13EA69FE" w14:textId="77777777" w:rsidR="00731F45" w:rsidRPr="00C43877" w:rsidRDefault="00731F45" w:rsidP="00652A4E">
            <w:pPr>
              <w:jc w:val="center"/>
              <w:rPr>
                <w:rFonts w:cs="Calibri"/>
                <w:color w:val="000000"/>
                <w:szCs w:val="22"/>
              </w:rPr>
            </w:pPr>
            <w:r w:rsidRPr="00C43877">
              <w:rPr>
                <w:rFonts w:cs="Calibri"/>
                <w:color w:val="000000"/>
                <w:szCs w:val="22"/>
              </w:rPr>
              <w:t>6</w:t>
            </w:r>
          </w:p>
        </w:tc>
        <w:tc>
          <w:tcPr>
            <w:tcW w:w="1200" w:type="dxa"/>
            <w:tcBorders>
              <w:top w:val="nil"/>
              <w:left w:val="nil"/>
              <w:bottom w:val="single" w:sz="4" w:space="0" w:color="auto"/>
              <w:right w:val="single" w:sz="4" w:space="0" w:color="auto"/>
            </w:tcBorders>
            <w:noWrap/>
            <w:vAlign w:val="bottom"/>
            <w:hideMark/>
          </w:tcPr>
          <w:p w14:paraId="22F0E00F" w14:textId="77777777" w:rsidR="00731F45" w:rsidRPr="00C43877" w:rsidRDefault="00731F45" w:rsidP="00652A4E">
            <w:pPr>
              <w:jc w:val="center"/>
              <w:rPr>
                <w:rFonts w:cs="Calibri"/>
                <w:color w:val="000000"/>
                <w:szCs w:val="22"/>
              </w:rPr>
            </w:pPr>
            <w:r w:rsidRPr="00C43877">
              <w:rPr>
                <w:rFonts w:cs="Calibri"/>
                <w:color w:val="000000"/>
                <w:szCs w:val="22"/>
              </w:rPr>
              <w:t>10</w:t>
            </w:r>
          </w:p>
        </w:tc>
        <w:tc>
          <w:tcPr>
            <w:tcW w:w="2202" w:type="dxa"/>
            <w:tcBorders>
              <w:top w:val="nil"/>
              <w:left w:val="nil"/>
              <w:bottom w:val="single" w:sz="4" w:space="0" w:color="auto"/>
              <w:right w:val="single" w:sz="4" w:space="0" w:color="auto"/>
            </w:tcBorders>
            <w:noWrap/>
            <w:vAlign w:val="bottom"/>
            <w:hideMark/>
          </w:tcPr>
          <w:p w14:paraId="0DD06E6D" w14:textId="77777777" w:rsidR="00731F45" w:rsidRPr="00C43877" w:rsidRDefault="00731F45" w:rsidP="00652A4E">
            <w:pPr>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1029104F" w14:textId="77777777" w:rsidR="00731F45" w:rsidRPr="00C43877" w:rsidRDefault="00731F45" w:rsidP="00652A4E">
            <w:pPr>
              <w:jc w:val="center"/>
              <w:rPr>
                <w:rFonts w:cs="Calibri"/>
                <w:color w:val="000000"/>
                <w:szCs w:val="22"/>
              </w:rPr>
            </w:pPr>
            <w:r w:rsidRPr="00C43877">
              <w:rPr>
                <w:rFonts w:cs="Calibri"/>
                <w:color w:val="000000"/>
                <w:szCs w:val="22"/>
              </w:rPr>
              <w:t>0.649</w:t>
            </w:r>
          </w:p>
        </w:tc>
        <w:tc>
          <w:tcPr>
            <w:tcW w:w="1200" w:type="dxa"/>
            <w:tcBorders>
              <w:top w:val="nil"/>
              <w:left w:val="nil"/>
              <w:bottom w:val="single" w:sz="4" w:space="0" w:color="auto"/>
              <w:right w:val="single" w:sz="4" w:space="0" w:color="auto"/>
            </w:tcBorders>
            <w:noWrap/>
            <w:vAlign w:val="bottom"/>
            <w:hideMark/>
          </w:tcPr>
          <w:p w14:paraId="12636FD5" w14:textId="77777777" w:rsidR="00731F45" w:rsidRPr="00C43877" w:rsidRDefault="00731F45" w:rsidP="00652A4E">
            <w:pPr>
              <w:jc w:val="center"/>
              <w:rPr>
                <w:rFonts w:cs="Calibri"/>
                <w:color w:val="000000"/>
                <w:szCs w:val="22"/>
              </w:rPr>
            </w:pPr>
            <w:r w:rsidRPr="00C43877">
              <w:rPr>
                <w:rFonts w:cs="Calibri"/>
                <w:color w:val="000000"/>
                <w:szCs w:val="22"/>
              </w:rPr>
              <w:t>10.214</w:t>
            </w:r>
          </w:p>
        </w:tc>
      </w:tr>
      <w:tr w:rsidR="00731F45" w:rsidRPr="00C43877" w14:paraId="0D1CACE1"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457A1D9C" w14:textId="77777777" w:rsidR="00731F45" w:rsidRPr="00C43877" w:rsidRDefault="00731F45" w:rsidP="00652A4E">
            <w:pPr>
              <w:jc w:val="center"/>
              <w:rPr>
                <w:rFonts w:cs="Calibri"/>
                <w:color w:val="000000"/>
                <w:szCs w:val="22"/>
              </w:rPr>
            </w:pPr>
            <w:r w:rsidRPr="00C43877">
              <w:rPr>
                <w:rFonts w:cs="Calibri"/>
                <w:color w:val="000000"/>
                <w:szCs w:val="22"/>
              </w:rPr>
              <w:t>6</w:t>
            </w:r>
          </w:p>
        </w:tc>
        <w:tc>
          <w:tcPr>
            <w:tcW w:w="1200" w:type="dxa"/>
            <w:tcBorders>
              <w:top w:val="nil"/>
              <w:left w:val="nil"/>
              <w:bottom w:val="single" w:sz="4" w:space="0" w:color="auto"/>
              <w:right w:val="single" w:sz="4" w:space="0" w:color="auto"/>
            </w:tcBorders>
            <w:noWrap/>
            <w:vAlign w:val="bottom"/>
            <w:hideMark/>
          </w:tcPr>
          <w:p w14:paraId="78CEB113" w14:textId="77777777" w:rsidR="00731F45" w:rsidRPr="00C43877" w:rsidRDefault="00731F45" w:rsidP="00652A4E">
            <w:pPr>
              <w:jc w:val="center"/>
              <w:rPr>
                <w:rFonts w:cs="Calibri"/>
                <w:color w:val="000000"/>
                <w:szCs w:val="22"/>
              </w:rPr>
            </w:pPr>
            <w:r w:rsidRPr="00C43877">
              <w:rPr>
                <w:rFonts w:cs="Calibri"/>
                <w:color w:val="000000"/>
                <w:szCs w:val="22"/>
              </w:rPr>
              <w:t>15</w:t>
            </w:r>
          </w:p>
        </w:tc>
        <w:tc>
          <w:tcPr>
            <w:tcW w:w="2202" w:type="dxa"/>
            <w:tcBorders>
              <w:top w:val="nil"/>
              <w:left w:val="nil"/>
              <w:bottom w:val="single" w:sz="4" w:space="0" w:color="auto"/>
              <w:right w:val="single" w:sz="4" w:space="0" w:color="auto"/>
            </w:tcBorders>
            <w:noWrap/>
            <w:vAlign w:val="bottom"/>
            <w:hideMark/>
          </w:tcPr>
          <w:p w14:paraId="2C6C2A14" w14:textId="77777777" w:rsidR="00731F45" w:rsidRPr="00C43877" w:rsidRDefault="00731F45" w:rsidP="00652A4E">
            <w:pPr>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4C9704A0" w14:textId="77777777" w:rsidR="00731F45" w:rsidRPr="00C43877" w:rsidRDefault="00731F45" w:rsidP="00652A4E">
            <w:pPr>
              <w:jc w:val="center"/>
              <w:rPr>
                <w:rFonts w:cs="Calibri"/>
                <w:b/>
                <w:color w:val="000000"/>
                <w:szCs w:val="22"/>
              </w:rPr>
            </w:pPr>
            <w:r w:rsidRPr="00C43877">
              <w:rPr>
                <w:rFonts w:cs="Calibri"/>
                <w:b/>
                <w:color w:val="000000"/>
                <w:szCs w:val="22"/>
              </w:rPr>
              <w:t>0.933</w:t>
            </w:r>
          </w:p>
        </w:tc>
        <w:tc>
          <w:tcPr>
            <w:tcW w:w="1200" w:type="dxa"/>
            <w:tcBorders>
              <w:top w:val="nil"/>
              <w:left w:val="nil"/>
              <w:bottom w:val="single" w:sz="4" w:space="0" w:color="auto"/>
              <w:right w:val="single" w:sz="4" w:space="0" w:color="auto"/>
            </w:tcBorders>
            <w:noWrap/>
            <w:vAlign w:val="bottom"/>
            <w:hideMark/>
          </w:tcPr>
          <w:p w14:paraId="58995347" w14:textId="77777777" w:rsidR="00731F45" w:rsidRPr="00C43877" w:rsidRDefault="00731F45" w:rsidP="00652A4E">
            <w:pPr>
              <w:jc w:val="center"/>
              <w:rPr>
                <w:rFonts w:cs="Calibri"/>
                <w:color w:val="000000"/>
                <w:szCs w:val="22"/>
              </w:rPr>
            </w:pPr>
            <w:r w:rsidRPr="00C43877">
              <w:rPr>
                <w:rFonts w:cs="Calibri"/>
                <w:color w:val="000000"/>
                <w:szCs w:val="22"/>
              </w:rPr>
              <w:t>15.028</w:t>
            </w:r>
          </w:p>
        </w:tc>
      </w:tr>
      <w:tr w:rsidR="00731F45" w:rsidRPr="00C43877" w14:paraId="3C774D0F"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2020DE4D" w14:textId="77777777" w:rsidR="00731F45" w:rsidRPr="00C43877" w:rsidRDefault="00731F45" w:rsidP="00652A4E">
            <w:pPr>
              <w:jc w:val="center"/>
              <w:rPr>
                <w:rFonts w:cs="Calibri"/>
                <w:color w:val="000000"/>
                <w:szCs w:val="22"/>
              </w:rPr>
            </w:pPr>
            <w:r w:rsidRPr="00C43877">
              <w:rPr>
                <w:rFonts w:cs="Calibri"/>
                <w:color w:val="000000"/>
                <w:szCs w:val="22"/>
              </w:rPr>
              <w:t>6</w:t>
            </w:r>
          </w:p>
        </w:tc>
        <w:tc>
          <w:tcPr>
            <w:tcW w:w="1200" w:type="dxa"/>
            <w:tcBorders>
              <w:top w:val="nil"/>
              <w:left w:val="nil"/>
              <w:bottom w:val="single" w:sz="4" w:space="0" w:color="auto"/>
              <w:right w:val="single" w:sz="4" w:space="0" w:color="auto"/>
            </w:tcBorders>
            <w:noWrap/>
            <w:vAlign w:val="bottom"/>
            <w:hideMark/>
          </w:tcPr>
          <w:p w14:paraId="27FCEA0B" w14:textId="77777777" w:rsidR="00731F45" w:rsidRPr="00C43877" w:rsidRDefault="00731F45" w:rsidP="00652A4E">
            <w:pPr>
              <w:jc w:val="center"/>
              <w:rPr>
                <w:rFonts w:cs="Calibri"/>
                <w:color w:val="000000"/>
                <w:szCs w:val="22"/>
              </w:rPr>
            </w:pPr>
            <w:r w:rsidRPr="00C43877">
              <w:rPr>
                <w:rFonts w:cs="Calibri"/>
                <w:color w:val="000000"/>
                <w:szCs w:val="22"/>
              </w:rPr>
              <w:t>20</w:t>
            </w:r>
          </w:p>
        </w:tc>
        <w:tc>
          <w:tcPr>
            <w:tcW w:w="2202" w:type="dxa"/>
            <w:tcBorders>
              <w:top w:val="nil"/>
              <w:left w:val="nil"/>
              <w:bottom w:val="single" w:sz="4" w:space="0" w:color="auto"/>
              <w:right w:val="single" w:sz="4" w:space="0" w:color="auto"/>
            </w:tcBorders>
            <w:noWrap/>
            <w:vAlign w:val="bottom"/>
            <w:hideMark/>
          </w:tcPr>
          <w:p w14:paraId="2CAB7912" w14:textId="77777777" w:rsidR="00731F45" w:rsidRPr="00C43877" w:rsidRDefault="00731F45" w:rsidP="00652A4E">
            <w:pPr>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49506F8B" w14:textId="77777777" w:rsidR="00731F45" w:rsidRPr="00C43877" w:rsidRDefault="00731F45" w:rsidP="00652A4E">
            <w:pPr>
              <w:jc w:val="center"/>
              <w:rPr>
                <w:rFonts w:cs="Calibri"/>
                <w:b/>
                <w:color w:val="000000"/>
                <w:szCs w:val="22"/>
              </w:rPr>
            </w:pPr>
            <w:r w:rsidRPr="00C43877">
              <w:rPr>
                <w:rFonts w:cs="Calibri"/>
                <w:b/>
                <w:color w:val="000000"/>
                <w:szCs w:val="22"/>
              </w:rPr>
              <w:t>0.998</w:t>
            </w:r>
          </w:p>
        </w:tc>
        <w:tc>
          <w:tcPr>
            <w:tcW w:w="1200" w:type="dxa"/>
            <w:tcBorders>
              <w:top w:val="nil"/>
              <w:left w:val="nil"/>
              <w:bottom w:val="single" w:sz="4" w:space="0" w:color="auto"/>
              <w:right w:val="single" w:sz="4" w:space="0" w:color="auto"/>
            </w:tcBorders>
            <w:noWrap/>
            <w:vAlign w:val="bottom"/>
            <w:hideMark/>
          </w:tcPr>
          <w:p w14:paraId="2DD416B1" w14:textId="77777777" w:rsidR="00731F45" w:rsidRPr="00C43877" w:rsidRDefault="00731F45" w:rsidP="00652A4E">
            <w:pPr>
              <w:jc w:val="center"/>
              <w:rPr>
                <w:rFonts w:cs="Calibri"/>
                <w:color w:val="000000"/>
                <w:szCs w:val="22"/>
              </w:rPr>
            </w:pPr>
            <w:r w:rsidRPr="00C43877">
              <w:rPr>
                <w:rFonts w:cs="Calibri"/>
                <w:color w:val="000000"/>
                <w:szCs w:val="22"/>
              </w:rPr>
              <w:t>20.225</w:t>
            </w:r>
          </w:p>
        </w:tc>
      </w:tr>
      <w:tr w:rsidR="00731F45" w:rsidRPr="00C43877" w14:paraId="0A31568C"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47D3FA3C" w14:textId="77777777" w:rsidR="00731F45" w:rsidRPr="00C43877" w:rsidRDefault="00731F45" w:rsidP="00652A4E">
            <w:pPr>
              <w:jc w:val="center"/>
              <w:rPr>
                <w:rFonts w:cs="Calibri"/>
                <w:color w:val="000000"/>
                <w:szCs w:val="22"/>
              </w:rPr>
            </w:pPr>
            <w:r w:rsidRPr="00C43877">
              <w:rPr>
                <w:rFonts w:cs="Calibri"/>
                <w:color w:val="000000"/>
                <w:szCs w:val="22"/>
              </w:rPr>
              <w:t>12</w:t>
            </w:r>
          </w:p>
        </w:tc>
        <w:tc>
          <w:tcPr>
            <w:tcW w:w="1200" w:type="dxa"/>
            <w:tcBorders>
              <w:top w:val="nil"/>
              <w:left w:val="nil"/>
              <w:bottom w:val="single" w:sz="4" w:space="0" w:color="auto"/>
              <w:right w:val="single" w:sz="4" w:space="0" w:color="auto"/>
            </w:tcBorders>
            <w:noWrap/>
            <w:vAlign w:val="bottom"/>
            <w:hideMark/>
          </w:tcPr>
          <w:p w14:paraId="2A33BC12" w14:textId="77777777" w:rsidR="00731F45" w:rsidRPr="00C43877" w:rsidRDefault="00731F45" w:rsidP="00652A4E">
            <w:pPr>
              <w:jc w:val="center"/>
              <w:rPr>
                <w:rFonts w:cs="Calibri"/>
                <w:color w:val="000000"/>
                <w:szCs w:val="22"/>
              </w:rPr>
            </w:pPr>
            <w:r w:rsidRPr="00C43877">
              <w:rPr>
                <w:rFonts w:cs="Calibri"/>
                <w:color w:val="000000"/>
                <w:szCs w:val="22"/>
              </w:rPr>
              <w:t>5</w:t>
            </w:r>
          </w:p>
        </w:tc>
        <w:tc>
          <w:tcPr>
            <w:tcW w:w="2202" w:type="dxa"/>
            <w:tcBorders>
              <w:top w:val="nil"/>
              <w:left w:val="nil"/>
              <w:bottom w:val="single" w:sz="4" w:space="0" w:color="auto"/>
              <w:right w:val="single" w:sz="4" w:space="0" w:color="auto"/>
            </w:tcBorders>
            <w:noWrap/>
            <w:vAlign w:val="bottom"/>
            <w:hideMark/>
          </w:tcPr>
          <w:p w14:paraId="1DC2C413" w14:textId="77777777" w:rsidR="00731F45" w:rsidRPr="00C43877" w:rsidRDefault="00731F45" w:rsidP="00652A4E">
            <w:pPr>
              <w:jc w:val="center"/>
              <w:rPr>
                <w:rFonts w:cs="Calibri"/>
                <w:color w:val="000000"/>
                <w:szCs w:val="22"/>
              </w:rPr>
            </w:pPr>
            <w:r w:rsidRPr="00C43877">
              <w:rPr>
                <w:rFonts w:cs="Calibri"/>
                <w:color w:val="000000"/>
                <w:szCs w:val="22"/>
              </w:rPr>
              <w:t>36</w:t>
            </w:r>
          </w:p>
        </w:tc>
        <w:tc>
          <w:tcPr>
            <w:tcW w:w="1200" w:type="dxa"/>
            <w:tcBorders>
              <w:top w:val="nil"/>
              <w:left w:val="nil"/>
              <w:bottom w:val="single" w:sz="4" w:space="0" w:color="auto"/>
              <w:right w:val="single" w:sz="4" w:space="0" w:color="auto"/>
            </w:tcBorders>
            <w:noWrap/>
            <w:vAlign w:val="bottom"/>
            <w:hideMark/>
          </w:tcPr>
          <w:p w14:paraId="53E8D5F5" w14:textId="77777777" w:rsidR="00731F45" w:rsidRPr="00C43877" w:rsidRDefault="00731F45" w:rsidP="00652A4E">
            <w:pPr>
              <w:jc w:val="center"/>
              <w:rPr>
                <w:rFonts w:cs="Calibri"/>
                <w:color w:val="000000"/>
                <w:szCs w:val="22"/>
              </w:rPr>
            </w:pPr>
            <w:r w:rsidRPr="00C43877">
              <w:rPr>
                <w:rFonts w:cs="Calibri"/>
                <w:color w:val="000000"/>
                <w:szCs w:val="22"/>
              </w:rPr>
              <w:t>0.353</w:t>
            </w:r>
          </w:p>
        </w:tc>
        <w:tc>
          <w:tcPr>
            <w:tcW w:w="1200" w:type="dxa"/>
            <w:tcBorders>
              <w:top w:val="nil"/>
              <w:left w:val="nil"/>
              <w:bottom w:val="single" w:sz="4" w:space="0" w:color="auto"/>
              <w:right w:val="single" w:sz="4" w:space="0" w:color="auto"/>
            </w:tcBorders>
            <w:noWrap/>
            <w:vAlign w:val="bottom"/>
            <w:hideMark/>
          </w:tcPr>
          <w:p w14:paraId="2664F5AB" w14:textId="77777777" w:rsidR="00731F45" w:rsidRPr="00C43877" w:rsidRDefault="00731F45" w:rsidP="00652A4E">
            <w:pPr>
              <w:jc w:val="center"/>
              <w:rPr>
                <w:rFonts w:cs="Calibri"/>
                <w:color w:val="000000"/>
                <w:szCs w:val="22"/>
              </w:rPr>
            </w:pPr>
            <w:r w:rsidRPr="00C43877">
              <w:rPr>
                <w:rFonts w:cs="Calibri"/>
                <w:color w:val="000000"/>
                <w:szCs w:val="22"/>
              </w:rPr>
              <w:t>4.917</w:t>
            </w:r>
          </w:p>
        </w:tc>
      </w:tr>
      <w:tr w:rsidR="00731F45" w:rsidRPr="00C43877" w14:paraId="1EF91F35"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21D1FFE5" w14:textId="77777777" w:rsidR="00731F45" w:rsidRPr="00C43877" w:rsidRDefault="00731F45" w:rsidP="00652A4E">
            <w:pPr>
              <w:jc w:val="center"/>
              <w:rPr>
                <w:rFonts w:cs="Calibri"/>
                <w:color w:val="000000"/>
                <w:szCs w:val="22"/>
              </w:rPr>
            </w:pPr>
            <w:r w:rsidRPr="00C43877">
              <w:rPr>
                <w:rFonts w:cs="Calibri"/>
                <w:color w:val="000000"/>
                <w:szCs w:val="22"/>
              </w:rPr>
              <w:t>12</w:t>
            </w:r>
          </w:p>
        </w:tc>
        <w:tc>
          <w:tcPr>
            <w:tcW w:w="1200" w:type="dxa"/>
            <w:tcBorders>
              <w:top w:val="nil"/>
              <w:left w:val="nil"/>
              <w:bottom w:val="single" w:sz="4" w:space="0" w:color="auto"/>
              <w:right w:val="single" w:sz="4" w:space="0" w:color="auto"/>
            </w:tcBorders>
            <w:noWrap/>
            <w:vAlign w:val="bottom"/>
            <w:hideMark/>
          </w:tcPr>
          <w:p w14:paraId="1052AF2A" w14:textId="77777777" w:rsidR="00731F45" w:rsidRPr="00C43877" w:rsidRDefault="00731F45" w:rsidP="00652A4E">
            <w:pPr>
              <w:jc w:val="center"/>
              <w:rPr>
                <w:rFonts w:cs="Calibri"/>
                <w:color w:val="000000"/>
                <w:szCs w:val="22"/>
              </w:rPr>
            </w:pPr>
            <w:r w:rsidRPr="00C43877">
              <w:rPr>
                <w:rFonts w:cs="Calibri"/>
                <w:color w:val="000000"/>
                <w:szCs w:val="22"/>
              </w:rPr>
              <w:t>10</w:t>
            </w:r>
          </w:p>
        </w:tc>
        <w:tc>
          <w:tcPr>
            <w:tcW w:w="2202" w:type="dxa"/>
            <w:tcBorders>
              <w:top w:val="nil"/>
              <w:left w:val="nil"/>
              <w:bottom w:val="single" w:sz="4" w:space="0" w:color="auto"/>
              <w:right w:val="single" w:sz="4" w:space="0" w:color="auto"/>
            </w:tcBorders>
            <w:noWrap/>
            <w:vAlign w:val="bottom"/>
            <w:hideMark/>
          </w:tcPr>
          <w:p w14:paraId="4F168FDC" w14:textId="77777777" w:rsidR="00731F45" w:rsidRPr="00C43877" w:rsidRDefault="00731F45" w:rsidP="00652A4E">
            <w:pPr>
              <w:jc w:val="center"/>
              <w:rPr>
                <w:rFonts w:cs="Calibri"/>
                <w:color w:val="000000"/>
                <w:szCs w:val="22"/>
              </w:rPr>
            </w:pPr>
            <w:r w:rsidRPr="00C43877">
              <w:rPr>
                <w:rFonts w:cs="Calibri"/>
                <w:color w:val="000000"/>
                <w:szCs w:val="22"/>
              </w:rPr>
              <w:t>36</w:t>
            </w:r>
          </w:p>
        </w:tc>
        <w:tc>
          <w:tcPr>
            <w:tcW w:w="1200" w:type="dxa"/>
            <w:tcBorders>
              <w:top w:val="nil"/>
              <w:left w:val="nil"/>
              <w:bottom w:val="single" w:sz="4" w:space="0" w:color="auto"/>
              <w:right w:val="single" w:sz="4" w:space="0" w:color="auto"/>
            </w:tcBorders>
            <w:noWrap/>
            <w:vAlign w:val="bottom"/>
            <w:hideMark/>
          </w:tcPr>
          <w:p w14:paraId="2F99CE34" w14:textId="77777777" w:rsidR="00731F45" w:rsidRPr="00C43877" w:rsidRDefault="00731F45" w:rsidP="00652A4E">
            <w:pPr>
              <w:jc w:val="center"/>
              <w:rPr>
                <w:rFonts w:cs="Calibri"/>
                <w:b/>
                <w:color w:val="000000"/>
                <w:szCs w:val="22"/>
              </w:rPr>
            </w:pPr>
            <w:r w:rsidRPr="00C43877">
              <w:rPr>
                <w:rFonts w:cs="Calibri"/>
                <w:b/>
                <w:color w:val="000000"/>
                <w:szCs w:val="22"/>
              </w:rPr>
              <w:t>0.921</w:t>
            </w:r>
          </w:p>
        </w:tc>
        <w:tc>
          <w:tcPr>
            <w:tcW w:w="1200" w:type="dxa"/>
            <w:tcBorders>
              <w:top w:val="nil"/>
              <w:left w:val="nil"/>
              <w:bottom w:val="single" w:sz="4" w:space="0" w:color="auto"/>
              <w:right w:val="single" w:sz="4" w:space="0" w:color="auto"/>
            </w:tcBorders>
            <w:noWrap/>
            <w:vAlign w:val="bottom"/>
            <w:hideMark/>
          </w:tcPr>
          <w:p w14:paraId="3A886E38" w14:textId="77777777" w:rsidR="00731F45" w:rsidRPr="00C43877" w:rsidRDefault="00731F45" w:rsidP="00652A4E">
            <w:pPr>
              <w:jc w:val="center"/>
              <w:rPr>
                <w:rFonts w:cs="Calibri"/>
                <w:color w:val="000000"/>
                <w:szCs w:val="22"/>
              </w:rPr>
            </w:pPr>
            <w:r w:rsidRPr="00C43877">
              <w:rPr>
                <w:rFonts w:cs="Calibri"/>
                <w:color w:val="000000"/>
                <w:szCs w:val="22"/>
              </w:rPr>
              <w:t>10.215</w:t>
            </w:r>
          </w:p>
        </w:tc>
      </w:tr>
      <w:tr w:rsidR="00731F45" w:rsidRPr="00C43877" w14:paraId="1E482597"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562EE4F5" w14:textId="77777777" w:rsidR="00731F45" w:rsidRPr="00C43877" w:rsidRDefault="00731F45" w:rsidP="00652A4E">
            <w:pPr>
              <w:jc w:val="center"/>
              <w:rPr>
                <w:rFonts w:cs="Calibri"/>
                <w:color w:val="000000"/>
                <w:szCs w:val="22"/>
              </w:rPr>
            </w:pPr>
            <w:r w:rsidRPr="00C43877">
              <w:rPr>
                <w:rFonts w:cs="Calibri"/>
                <w:color w:val="000000"/>
                <w:szCs w:val="22"/>
              </w:rPr>
              <w:t>12</w:t>
            </w:r>
          </w:p>
        </w:tc>
        <w:tc>
          <w:tcPr>
            <w:tcW w:w="1200" w:type="dxa"/>
            <w:tcBorders>
              <w:top w:val="nil"/>
              <w:left w:val="nil"/>
              <w:bottom w:val="single" w:sz="4" w:space="0" w:color="auto"/>
              <w:right w:val="single" w:sz="4" w:space="0" w:color="auto"/>
            </w:tcBorders>
            <w:noWrap/>
            <w:vAlign w:val="bottom"/>
            <w:hideMark/>
          </w:tcPr>
          <w:p w14:paraId="60126764" w14:textId="77777777" w:rsidR="00731F45" w:rsidRPr="00C43877" w:rsidRDefault="00731F45" w:rsidP="00652A4E">
            <w:pPr>
              <w:jc w:val="center"/>
              <w:rPr>
                <w:rFonts w:cs="Calibri"/>
                <w:color w:val="000000"/>
                <w:szCs w:val="22"/>
              </w:rPr>
            </w:pPr>
            <w:r w:rsidRPr="00C43877">
              <w:rPr>
                <w:rFonts w:cs="Calibri"/>
                <w:color w:val="000000"/>
                <w:szCs w:val="22"/>
              </w:rPr>
              <w:t>15</w:t>
            </w:r>
          </w:p>
        </w:tc>
        <w:tc>
          <w:tcPr>
            <w:tcW w:w="2202" w:type="dxa"/>
            <w:tcBorders>
              <w:top w:val="nil"/>
              <w:left w:val="nil"/>
              <w:bottom w:val="single" w:sz="4" w:space="0" w:color="auto"/>
              <w:right w:val="single" w:sz="4" w:space="0" w:color="auto"/>
            </w:tcBorders>
            <w:noWrap/>
            <w:vAlign w:val="bottom"/>
            <w:hideMark/>
          </w:tcPr>
          <w:p w14:paraId="3D153FBE" w14:textId="77777777" w:rsidR="00731F45" w:rsidRPr="00C43877" w:rsidRDefault="00731F45" w:rsidP="00652A4E">
            <w:pPr>
              <w:jc w:val="center"/>
              <w:rPr>
                <w:rFonts w:cs="Calibri"/>
                <w:color w:val="000000"/>
                <w:szCs w:val="22"/>
              </w:rPr>
            </w:pPr>
            <w:r w:rsidRPr="00C43877">
              <w:rPr>
                <w:rFonts w:cs="Calibri"/>
                <w:color w:val="000000"/>
                <w:szCs w:val="22"/>
              </w:rPr>
              <w:t>36</w:t>
            </w:r>
          </w:p>
        </w:tc>
        <w:tc>
          <w:tcPr>
            <w:tcW w:w="1200" w:type="dxa"/>
            <w:tcBorders>
              <w:top w:val="nil"/>
              <w:left w:val="nil"/>
              <w:bottom w:val="single" w:sz="4" w:space="0" w:color="auto"/>
              <w:right w:val="single" w:sz="4" w:space="0" w:color="auto"/>
            </w:tcBorders>
            <w:noWrap/>
            <w:vAlign w:val="bottom"/>
            <w:hideMark/>
          </w:tcPr>
          <w:p w14:paraId="733B42BF" w14:textId="77777777" w:rsidR="00731F45" w:rsidRPr="00C43877" w:rsidRDefault="00731F45" w:rsidP="00652A4E">
            <w:pPr>
              <w:jc w:val="center"/>
              <w:rPr>
                <w:rFonts w:cs="Calibri"/>
                <w:b/>
                <w:color w:val="000000"/>
                <w:szCs w:val="22"/>
              </w:rPr>
            </w:pPr>
            <w:r w:rsidRPr="00C43877">
              <w:rPr>
                <w:rFonts w:cs="Calibri"/>
                <w:b/>
                <w:color w:val="000000"/>
                <w:szCs w:val="22"/>
              </w:rPr>
              <w:t>0.999</w:t>
            </w:r>
          </w:p>
        </w:tc>
        <w:tc>
          <w:tcPr>
            <w:tcW w:w="1200" w:type="dxa"/>
            <w:tcBorders>
              <w:top w:val="nil"/>
              <w:left w:val="nil"/>
              <w:bottom w:val="single" w:sz="4" w:space="0" w:color="auto"/>
              <w:right w:val="single" w:sz="4" w:space="0" w:color="auto"/>
            </w:tcBorders>
            <w:noWrap/>
            <w:vAlign w:val="bottom"/>
            <w:hideMark/>
          </w:tcPr>
          <w:p w14:paraId="437C9AB7" w14:textId="77777777" w:rsidR="00731F45" w:rsidRPr="00C43877" w:rsidRDefault="00731F45" w:rsidP="00652A4E">
            <w:pPr>
              <w:jc w:val="center"/>
              <w:rPr>
                <w:rFonts w:cs="Calibri"/>
                <w:color w:val="000000"/>
                <w:szCs w:val="22"/>
              </w:rPr>
            </w:pPr>
            <w:r w:rsidRPr="00C43877">
              <w:rPr>
                <w:rFonts w:cs="Calibri"/>
                <w:color w:val="000000"/>
                <w:szCs w:val="22"/>
              </w:rPr>
              <w:t>14.973</w:t>
            </w:r>
          </w:p>
        </w:tc>
      </w:tr>
      <w:tr w:rsidR="00731F45" w:rsidRPr="00C43877" w14:paraId="36F981A4"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50D6D3CB" w14:textId="77777777" w:rsidR="00731F45" w:rsidRPr="00C43877" w:rsidRDefault="00731F45" w:rsidP="00652A4E">
            <w:pPr>
              <w:jc w:val="center"/>
              <w:rPr>
                <w:rFonts w:cs="Calibri"/>
                <w:color w:val="000000"/>
                <w:szCs w:val="22"/>
              </w:rPr>
            </w:pPr>
            <w:r w:rsidRPr="00C43877">
              <w:rPr>
                <w:rFonts w:cs="Calibri"/>
                <w:color w:val="000000"/>
                <w:szCs w:val="22"/>
              </w:rPr>
              <w:t>12</w:t>
            </w:r>
          </w:p>
        </w:tc>
        <w:tc>
          <w:tcPr>
            <w:tcW w:w="1200" w:type="dxa"/>
            <w:tcBorders>
              <w:top w:val="nil"/>
              <w:left w:val="nil"/>
              <w:bottom w:val="single" w:sz="4" w:space="0" w:color="auto"/>
              <w:right w:val="single" w:sz="4" w:space="0" w:color="auto"/>
            </w:tcBorders>
            <w:noWrap/>
            <w:vAlign w:val="bottom"/>
            <w:hideMark/>
          </w:tcPr>
          <w:p w14:paraId="5C87E697" w14:textId="77777777" w:rsidR="00731F45" w:rsidRPr="00C43877" w:rsidRDefault="00731F45" w:rsidP="00652A4E">
            <w:pPr>
              <w:jc w:val="center"/>
              <w:rPr>
                <w:rFonts w:cs="Calibri"/>
                <w:color w:val="000000"/>
                <w:szCs w:val="22"/>
              </w:rPr>
            </w:pPr>
            <w:r w:rsidRPr="00C43877">
              <w:rPr>
                <w:rFonts w:cs="Calibri"/>
                <w:color w:val="000000"/>
                <w:szCs w:val="22"/>
              </w:rPr>
              <w:t>20</w:t>
            </w:r>
          </w:p>
        </w:tc>
        <w:tc>
          <w:tcPr>
            <w:tcW w:w="2202" w:type="dxa"/>
            <w:tcBorders>
              <w:top w:val="nil"/>
              <w:left w:val="nil"/>
              <w:bottom w:val="single" w:sz="4" w:space="0" w:color="auto"/>
              <w:right w:val="single" w:sz="4" w:space="0" w:color="auto"/>
            </w:tcBorders>
            <w:noWrap/>
            <w:vAlign w:val="bottom"/>
            <w:hideMark/>
          </w:tcPr>
          <w:p w14:paraId="64A61282" w14:textId="77777777" w:rsidR="00731F45" w:rsidRPr="00C43877" w:rsidRDefault="00731F45" w:rsidP="00652A4E">
            <w:pPr>
              <w:jc w:val="center"/>
              <w:rPr>
                <w:rFonts w:cs="Calibri"/>
                <w:color w:val="000000"/>
                <w:szCs w:val="22"/>
              </w:rPr>
            </w:pPr>
            <w:r w:rsidRPr="00C43877">
              <w:rPr>
                <w:rFonts w:cs="Calibri"/>
                <w:color w:val="000000"/>
                <w:szCs w:val="22"/>
              </w:rPr>
              <w:t>36</w:t>
            </w:r>
          </w:p>
        </w:tc>
        <w:tc>
          <w:tcPr>
            <w:tcW w:w="1200" w:type="dxa"/>
            <w:tcBorders>
              <w:top w:val="nil"/>
              <w:left w:val="nil"/>
              <w:bottom w:val="single" w:sz="4" w:space="0" w:color="auto"/>
              <w:right w:val="single" w:sz="4" w:space="0" w:color="auto"/>
            </w:tcBorders>
            <w:noWrap/>
            <w:vAlign w:val="bottom"/>
            <w:hideMark/>
          </w:tcPr>
          <w:p w14:paraId="5220F565" w14:textId="77777777" w:rsidR="00731F45" w:rsidRPr="00C43877" w:rsidRDefault="00731F45" w:rsidP="00652A4E">
            <w:pPr>
              <w:jc w:val="center"/>
              <w:rPr>
                <w:rFonts w:cs="Calibri"/>
                <w:b/>
                <w:color w:val="000000"/>
                <w:szCs w:val="22"/>
              </w:rPr>
            </w:pPr>
            <w:r w:rsidRPr="00C43877">
              <w:rPr>
                <w:rFonts w:cs="Calibri"/>
                <w:b/>
                <w:color w:val="000000"/>
                <w:szCs w:val="22"/>
              </w:rPr>
              <w:t>1.000</w:t>
            </w:r>
          </w:p>
        </w:tc>
        <w:tc>
          <w:tcPr>
            <w:tcW w:w="1200" w:type="dxa"/>
            <w:tcBorders>
              <w:top w:val="nil"/>
              <w:left w:val="nil"/>
              <w:bottom w:val="single" w:sz="4" w:space="0" w:color="auto"/>
              <w:right w:val="single" w:sz="4" w:space="0" w:color="auto"/>
            </w:tcBorders>
            <w:noWrap/>
            <w:vAlign w:val="bottom"/>
            <w:hideMark/>
          </w:tcPr>
          <w:p w14:paraId="5572FA4F" w14:textId="77777777" w:rsidR="00731F45" w:rsidRPr="00C43877" w:rsidRDefault="00731F45" w:rsidP="00652A4E">
            <w:pPr>
              <w:jc w:val="center"/>
              <w:rPr>
                <w:rFonts w:cs="Calibri"/>
                <w:color w:val="000000"/>
                <w:szCs w:val="22"/>
              </w:rPr>
            </w:pPr>
            <w:r w:rsidRPr="00C43877">
              <w:rPr>
                <w:rFonts w:cs="Calibri"/>
                <w:color w:val="000000"/>
                <w:szCs w:val="22"/>
              </w:rPr>
              <w:t>19.987</w:t>
            </w:r>
          </w:p>
        </w:tc>
      </w:tr>
      <w:tr w:rsidR="00731F45" w:rsidRPr="00C43877" w14:paraId="48F9E5DE"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tcPr>
          <w:p w14:paraId="1CEF3B5C" w14:textId="77777777" w:rsidR="00731F45" w:rsidRPr="00C43877" w:rsidRDefault="00731F45" w:rsidP="00652A4E">
            <w:pPr>
              <w:jc w:val="center"/>
              <w:rPr>
                <w:rFonts w:cs="Calibri"/>
                <w:color w:val="000000"/>
                <w:szCs w:val="22"/>
              </w:rPr>
            </w:pPr>
            <w:r>
              <w:rPr>
                <w:rFonts w:cs="Calibri"/>
                <w:color w:val="000000"/>
                <w:szCs w:val="22"/>
              </w:rPr>
              <w:t>15</w:t>
            </w:r>
          </w:p>
        </w:tc>
        <w:tc>
          <w:tcPr>
            <w:tcW w:w="1200" w:type="dxa"/>
            <w:tcBorders>
              <w:top w:val="nil"/>
              <w:left w:val="nil"/>
              <w:bottom w:val="single" w:sz="4" w:space="0" w:color="auto"/>
              <w:right w:val="single" w:sz="4" w:space="0" w:color="auto"/>
            </w:tcBorders>
            <w:noWrap/>
            <w:vAlign w:val="bottom"/>
          </w:tcPr>
          <w:p w14:paraId="20C4F68A" w14:textId="77777777" w:rsidR="00731F45" w:rsidRPr="00C43877" w:rsidRDefault="00731F45" w:rsidP="00652A4E">
            <w:pPr>
              <w:jc w:val="center"/>
              <w:rPr>
                <w:rFonts w:cs="Calibri"/>
                <w:color w:val="000000"/>
                <w:szCs w:val="22"/>
              </w:rPr>
            </w:pPr>
            <w:r>
              <w:rPr>
                <w:rFonts w:cs="Calibri"/>
                <w:color w:val="000000"/>
                <w:szCs w:val="22"/>
              </w:rPr>
              <w:t>5</w:t>
            </w:r>
          </w:p>
        </w:tc>
        <w:tc>
          <w:tcPr>
            <w:tcW w:w="2202" w:type="dxa"/>
            <w:tcBorders>
              <w:top w:val="nil"/>
              <w:left w:val="nil"/>
              <w:bottom w:val="single" w:sz="4" w:space="0" w:color="auto"/>
              <w:right w:val="single" w:sz="4" w:space="0" w:color="auto"/>
            </w:tcBorders>
            <w:noWrap/>
            <w:vAlign w:val="bottom"/>
          </w:tcPr>
          <w:p w14:paraId="3F32D5DD" w14:textId="77777777" w:rsidR="00731F45" w:rsidRPr="00C43877" w:rsidRDefault="00731F45" w:rsidP="00652A4E">
            <w:pPr>
              <w:jc w:val="center"/>
              <w:rPr>
                <w:rFonts w:cs="Calibri"/>
                <w:color w:val="000000"/>
                <w:szCs w:val="22"/>
              </w:rPr>
            </w:pPr>
            <w:r>
              <w:rPr>
                <w:rFonts w:cs="Calibri"/>
                <w:color w:val="000000"/>
                <w:szCs w:val="22"/>
              </w:rPr>
              <w:t>45</w:t>
            </w:r>
          </w:p>
        </w:tc>
        <w:tc>
          <w:tcPr>
            <w:tcW w:w="1200" w:type="dxa"/>
            <w:tcBorders>
              <w:top w:val="nil"/>
              <w:left w:val="nil"/>
              <w:bottom w:val="single" w:sz="4" w:space="0" w:color="auto"/>
              <w:right w:val="single" w:sz="4" w:space="0" w:color="auto"/>
            </w:tcBorders>
            <w:noWrap/>
            <w:vAlign w:val="bottom"/>
          </w:tcPr>
          <w:p w14:paraId="1C434EF0" w14:textId="77777777" w:rsidR="00731F45" w:rsidRPr="00C43877" w:rsidRDefault="00731F45" w:rsidP="00652A4E">
            <w:pPr>
              <w:jc w:val="center"/>
              <w:rPr>
                <w:rFonts w:cs="Calibri"/>
                <w:color w:val="000000"/>
                <w:szCs w:val="22"/>
              </w:rPr>
            </w:pPr>
            <w:r>
              <w:rPr>
                <w:rFonts w:cs="Calibri"/>
                <w:b/>
                <w:color w:val="000000"/>
                <w:szCs w:val="22"/>
              </w:rPr>
              <w:t>0.437</w:t>
            </w:r>
          </w:p>
        </w:tc>
        <w:tc>
          <w:tcPr>
            <w:tcW w:w="1200" w:type="dxa"/>
            <w:tcBorders>
              <w:top w:val="nil"/>
              <w:left w:val="nil"/>
              <w:bottom w:val="single" w:sz="4" w:space="0" w:color="auto"/>
              <w:right w:val="single" w:sz="4" w:space="0" w:color="auto"/>
            </w:tcBorders>
            <w:noWrap/>
            <w:vAlign w:val="bottom"/>
          </w:tcPr>
          <w:p w14:paraId="5D3803E2" w14:textId="77777777" w:rsidR="00731F45" w:rsidRPr="00C43877" w:rsidRDefault="00731F45" w:rsidP="00652A4E">
            <w:pPr>
              <w:jc w:val="center"/>
              <w:rPr>
                <w:rFonts w:cs="Calibri"/>
                <w:color w:val="000000"/>
                <w:szCs w:val="22"/>
              </w:rPr>
            </w:pPr>
            <w:r>
              <w:rPr>
                <w:rFonts w:cs="Calibri"/>
                <w:color w:val="000000"/>
                <w:szCs w:val="22"/>
              </w:rPr>
              <w:t>5.047</w:t>
            </w:r>
          </w:p>
        </w:tc>
      </w:tr>
      <w:tr w:rsidR="00731F45" w:rsidRPr="00C43877" w14:paraId="725EBD0B"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tcPr>
          <w:p w14:paraId="35F45DA6" w14:textId="77777777" w:rsidR="00731F45" w:rsidRPr="00C43877" w:rsidRDefault="00731F45" w:rsidP="00652A4E">
            <w:pPr>
              <w:jc w:val="center"/>
              <w:rPr>
                <w:rFonts w:cs="Calibri"/>
                <w:color w:val="000000"/>
                <w:szCs w:val="22"/>
              </w:rPr>
            </w:pPr>
            <w:r>
              <w:rPr>
                <w:rFonts w:cs="Calibri"/>
                <w:color w:val="000000"/>
                <w:szCs w:val="22"/>
              </w:rPr>
              <w:t>15</w:t>
            </w:r>
          </w:p>
        </w:tc>
        <w:tc>
          <w:tcPr>
            <w:tcW w:w="1200" w:type="dxa"/>
            <w:tcBorders>
              <w:top w:val="nil"/>
              <w:left w:val="nil"/>
              <w:bottom w:val="single" w:sz="4" w:space="0" w:color="auto"/>
              <w:right w:val="single" w:sz="4" w:space="0" w:color="auto"/>
            </w:tcBorders>
            <w:noWrap/>
            <w:vAlign w:val="bottom"/>
          </w:tcPr>
          <w:p w14:paraId="7AB987A3" w14:textId="77777777" w:rsidR="00731F45" w:rsidRPr="00C43877" w:rsidRDefault="00731F45" w:rsidP="00652A4E">
            <w:pPr>
              <w:jc w:val="center"/>
              <w:rPr>
                <w:rFonts w:cs="Calibri"/>
                <w:color w:val="000000"/>
                <w:szCs w:val="22"/>
              </w:rPr>
            </w:pPr>
            <w:r>
              <w:rPr>
                <w:rFonts w:cs="Calibri"/>
                <w:color w:val="000000"/>
                <w:szCs w:val="22"/>
              </w:rPr>
              <w:t>10</w:t>
            </w:r>
          </w:p>
        </w:tc>
        <w:tc>
          <w:tcPr>
            <w:tcW w:w="2202" w:type="dxa"/>
            <w:tcBorders>
              <w:top w:val="nil"/>
              <w:left w:val="nil"/>
              <w:bottom w:val="single" w:sz="4" w:space="0" w:color="auto"/>
              <w:right w:val="single" w:sz="4" w:space="0" w:color="auto"/>
            </w:tcBorders>
            <w:noWrap/>
            <w:vAlign w:val="bottom"/>
          </w:tcPr>
          <w:p w14:paraId="3A956C5B" w14:textId="77777777" w:rsidR="00731F45" w:rsidRPr="00C43877" w:rsidRDefault="00731F45" w:rsidP="00652A4E">
            <w:pPr>
              <w:jc w:val="center"/>
              <w:rPr>
                <w:rFonts w:cs="Calibri"/>
                <w:color w:val="000000"/>
                <w:szCs w:val="22"/>
              </w:rPr>
            </w:pPr>
            <w:r>
              <w:rPr>
                <w:rFonts w:cs="Calibri"/>
                <w:color w:val="000000"/>
                <w:szCs w:val="22"/>
              </w:rPr>
              <w:t>45</w:t>
            </w:r>
          </w:p>
        </w:tc>
        <w:tc>
          <w:tcPr>
            <w:tcW w:w="1200" w:type="dxa"/>
            <w:tcBorders>
              <w:top w:val="nil"/>
              <w:left w:val="nil"/>
              <w:bottom w:val="single" w:sz="4" w:space="0" w:color="auto"/>
              <w:right w:val="single" w:sz="4" w:space="0" w:color="auto"/>
            </w:tcBorders>
            <w:noWrap/>
            <w:vAlign w:val="bottom"/>
          </w:tcPr>
          <w:p w14:paraId="116AA75E" w14:textId="77777777" w:rsidR="00731F45" w:rsidRPr="00C43877" w:rsidRDefault="00731F45" w:rsidP="00652A4E">
            <w:pPr>
              <w:jc w:val="center"/>
              <w:rPr>
                <w:rFonts w:cs="Calibri"/>
                <w:color w:val="000000"/>
                <w:szCs w:val="22"/>
              </w:rPr>
            </w:pPr>
            <w:r>
              <w:rPr>
                <w:rFonts w:cs="Calibri"/>
                <w:b/>
                <w:color w:val="000000"/>
                <w:szCs w:val="22"/>
              </w:rPr>
              <w:t>0.961</w:t>
            </w:r>
          </w:p>
        </w:tc>
        <w:tc>
          <w:tcPr>
            <w:tcW w:w="1200" w:type="dxa"/>
            <w:tcBorders>
              <w:top w:val="nil"/>
              <w:left w:val="nil"/>
              <w:bottom w:val="single" w:sz="4" w:space="0" w:color="auto"/>
              <w:right w:val="single" w:sz="4" w:space="0" w:color="auto"/>
            </w:tcBorders>
            <w:noWrap/>
            <w:vAlign w:val="bottom"/>
          </w:tcPr>
          <w:p w14:paraId="43A37F7D" w14:textId="77777777" w:rsidR="00731F45" w:rsidRPr="00C43877" w:rsidRDefault="00731F45" w:rsidP="00652A4E">
            <w:pPr>
              <w:jc w:val="center"/>
              <w:rPr>
                <w:rFonts w:cs="Calibri"/>
                <w:color w:val="000000"/>
                <w:szCs w:val="22"/>
              </w:rPr>
            </w:pPr>
            <w:r>
              <w:rPr>
                <w:rFonts w:cs="Calibri"/>
                <w:color w:val="000000"/>
                <w:szCs w:val="22"/>
              </w:rPr>
              <w:t>10.070</w:t>
            </w:r>
          </w:p>
        </w:tc>
      </w:tr>
      <w:tr w:rsidR="00731F45" w:rsidRPr="00C43877" w14:paraId="4B371061"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tcPr>
          <w:p w14:paraId="378738A5" w14:textId="77777777" w:rsidR="00731F45" w:rsidRPr="00C43877" w:rsidRDefault="00731F45" w:rsidP="00652A4E">
            <w:pPr>
              <w:jc w:val="center"/>
              <w:rPr>
                <w:rFonts w:cs="Calibri"/>
                <w:color w:val="000000"/>
                <w:szCs w:val="22"/>
              </w:rPr>
            </w:pPr>
            <w:r>
              <w:rPr>
                <w:rFonts w:cs="Calibri"/>
                <w:color w:val="000000"/>
                <w:szCs w:val="22"/>
              </w:rPr>
              <w:t>15</w:t>
            </w:r>
          </w:p>
        </w:tc>
        <w:tc>
          <w:tcPr>
            <w:tcW w:w="1200" w:type="dxa"/>
            <w:tcBorders>
              <w:top w:val="nil"/>
              <w:left w:val="nil"/>
              <w:bottom w:val="single" w:sz="4" w:space="0" w:color="auto"/>
              <w:right w:val="single" w:sz="4" w:space="0" w:color="auto"/>
            </w:tcBorders>
            <w:noWrap/>
            <w:vAlign w:val="bottom"/>
          </w:tcPr>
          <w:p w14:paraId="5994F020" w14:textId="77777777" w:rsidR="00731F45" w:rsidRPr="00C43877" w:rsidRDefault="00731F45" w:rsidP="00652A4E">
            <w:pPr>
              <w:jc w:val="center"/>
              <w:rPr>
                <w:rFonts w:cs="Calibri"/>
                <w:color w:val="000000"/>
                <w:szCs w:val="22"/>
              </w:rPr>
            </w:pPr>
            <w:r>
              <w:rPr>
                <w:rFonts w:cs="Calibri"/>
                <w:color w:val="000000"/>
                <w:szCs w:val="22"/>
              </w:rPr>
              <w:t>15</w:t>
            </w:r>
          </w:p>
        </w:tc>
        <w:tc>
          <w:tcPr>
            <w:tcW w:w="2202" w:type="dxa"/>
            <w:tcBorders>
              <w:top w:val="nil"/>
              <w:left w:val="nil"/>
              <w:bottom w:val="single" w:sz="4" w:space="0" w:color="auto"/>
              <w:right w:val="single" w:sz="4" w:space="0" w:color="auto"/>
            </w:tcBorders>
            <w:noWrap/>
            <w:vAlign w:val="bottom"/>
          </w:tcPr>
          <w:p w14:paraId="41CCE1D4" w14:textId="77777777" w:rsidR="00731F45" w:rsidRPr="00C43877" w:rsidRDefault="00731F45" w:rsidP="00652A4E">
            <w:pPr>
              <w:jc w:val="center"/>
              <w:rPr>
                <w:rFonts w:cs="Calibri"/>
                <w:color w:val="000000"/>
                <w:szCs w:val="22"/>
              </w:rPr>
            </w:pPr>
            <w:r>
              <w:rPr>
                <w:rFonts w:cs="Calibri"/>
                <w:color w:val="000000"/>
                <w:szCs w:val="22"/>
              </w:rPr>
              <w:t>45</w:t>
            </w:r>
          </w:p>
        </w:tc>
        <w:tc>
          <w:tcPr>
            <w:tcW w:w="1200" w:type="dxa"/>
            <w:tcBorders>
              <w:top w:val="nil"/>
              <w:left w:val="nil"/>
              <w:bottom w:val="single" w:sz="4" w:space="0" w:color="auto"/>
              <w:right w:val="single" w:sz="4" w:space="0" w:color="auto"/>
            </w:tcBorders>
            <w:noWrap/>
            <w:vAlign w:val="bottom"/>
          </w:tcPr>
          <w:p w14:paraId="6C005290" w14:textId="77777777" w:rsidR="00731F45" w:rsidRPr="00C43877" w:rsidRDefault="00731F45" w:rsidP="00652A4E">
            <w:pPr>
              <w:jc w:val="center"/>
              <w:rPr>
                <w:rFonts w:cs="Calibri"/>
                <w:color w:val="000000"/>
                <w:szCs w:val="22"/>
              </w:rPr>
            </w:pPr>
            <w:r>
              <w:rPr>
                <w:rFonts w:cs="Calibri"/>
                <w:b/>
                <w:color w:val="000000"/>
                <w:szCs w:val="22"/>
              </w:rPr>
              <w:t>1.000</w:t>
            </w:r>
          </w:p>
        </w:tc>
        <w:tc>
          <w:tcPr>
            <w:tcW w:w="1200" w:type="dxa"/>
            <w:tcBorders>
              <w:top w:val="nil"/>
              <w:left w:val="nil"/>
              <w:bottom w:val="single" w:sz="4" w:space="0" w:color="auto"/>
              <w:right w:val="single" w:sz="4" w:space="0" w:color="auto"/>
            </w:tcBorders>
            <w:noWrap/>
            <w:vAlign w:val="bottom"/>
          </w:tcPr>
          <w:p w14:paraId="636C4244" w14:textId="77777777" w:rsidR="00731F45" w:rsidRPr="00C43877" w:rsidRDefault="00731F45" w:rsidP="00652A4E">
            <w:pPr>
              <w:jc w:val="center"/>
              <w:rPr>
                <w:rFonts w:cs="Calibri"/>
                <w:color w:val="000000"/>
                <w:szCs w:val="22"/>
              </w:rPr>
            </w:pPr>
            <w:r>
              <w:rPr>
                <w:rFonts w:cs="Calibri"/>
                <w:color w:val="000000"/>
                <w:szCs w:val="22"/>
              </w:rPr>
              <w:t>15.007</w:t>
            </w:r>
          </w:p>
        </w:tc>
      </w:tr>
      <w:tr w:rsidR="00731F45" w:rsidRPr="00C43877" w14:paraId="4EE90239"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tcPr>
          <w:p w14:paraId="1A7C45BD" w14:textId="77777777" w:rsidR="00731F45" w:rsidRPr="00C43877" w:rsidRDefault="00731F45" w:rsidP="00652A4E">
            <w:pPr>
              <w:jc w:val="center"/>
              <w:rPr>
                <w:rFonts w:cs="Calibri"/>
                <w:color w:val="000000"/>
                <w:szCs w:val="22"/>
              </w:rPr>
            </w:pPr>
            <w:r>
              <w:rPr>
                <w:rFonts w:cs="Calibri"/>
                <w:color w:val="000000"/>
                <w:szCs w:val="22"/>
              </w:rPr>
              <w:t>15</w:t>
            </w:r>
          </w:p>
        </w:tc>
        <w:tc>
          <w:tcPr>
            <w:tcW w:w="1200" w:type="dxa"/>
            <w:tcBorders>
              <w:top w:val="nil"/>
              <w:left w:val="nil"/>
              <w:bottom w:val="single" w:sz="4" w:space="0" w:color="auto"/>
              <w:right w:val="single" w:sz="4" w:space="0" w:color="auto"/>
            </w:tcBorders>
            <w:noWrap/>
            <w:vAlign w:val="bottom"/>
          </w:tcPr>
          <w:p w14:paraId="2C8C17BD" w14:textId="77777777" w:rsidR="00731F45" w:rsidRPr="00C43877" w:rsidRDefault="00731F45" w:rsidP="00652A4E">
            <w:pPr>
              <w:jc w:val="center"/>
              <w:rPr>
                <w:rFonts w:cs="Calibri"/>
                <w:color w:val="000000"/>
                <w:szCs w:val="22"/>
              </w:rPr>
            </w:pPr>
            <w:r>
              <w:rPr>
                <w:rFonts w:cs="Calibri"/>
                <w:color w:val="000000"/>
                <w:szCs w:val="22"/>
              </w:rPr>
              <w:t>20</w:t>
            </w:r>
          </w:p>
        </w:tc>
        <w:tc>
          <w:tcPr>
            <w:tcW w:w="2202" w:type="dxa"/>
            <w:tcBorders>
              <w:top w:val="nil"/>
              <w:left w:val="nil"/>
              <w:bottom w:val="single" w:sz="4" w:space="0" w:color="auto"/>
              <w:right w:val="single" w:sz="4" w:space="0" w:color="auto"/>
            </w:tcBorders>
            <w:noWrap/>
            <w:vAlign w:val="bottom"/>
          </w:tcPr>
          <w:p w14:paraId="15776A5B" w14:textId="77777777" w:rsidR="00731F45" w:rsidRPr="00C43877" w:rsidRDefault="00731F45" w:rsidP="00652A4E">
            <w:pPr>
              <w:jc w:val="center"/>
              <w:rPr>
                <w:rFonts w:cs="Calibri"/>
                <w:color w:val="000000"/>
                <w:szCs w:val="22"/>
              </w:rPr>
            </w:pPr>
            <w:r>
              <w:rPr>
                <w:rFonts w:cs="Calibri"/>
                <w:color w:val="000000"/>
                <w:szCs w:val="22"/>
              </w:rPr>
              <w:t>45</w:t>
            </w:r>
          </w:p>
        </w:tc>
        <w:tc>
          <w:tcPr>
            <w:tcW w:w="1200" w:type="dxa"/>
            <w:tcBorders>
              <w:top w:val="nil"/>
              <w:left w:val="nil"/>
              <w:bottom w:val="single" w:sz="4" w:space="0" w:color="auto"/>
              <w:right w:val="single" w:sz="4" w:space="0" w:color="auto"/>
            </w:tcBorders>
            <w:noWrap/>
            <w:vAlign w:val="bottom"/>
          </w:tcPr>
          <w:p w14:paraId="2137DD7B" w14:textId="77777777" w:rsidR="00731F45" w:rsidRPr="00C43877" w:rsidRDefault="00731F45" w:rsidP="00652A4E">
            <w:pPr>
              <w:jc w:val="center"/>
              <w:rPr>
                <w:rFonts w:cs="Calibri"/>
                <w:color w:val="000000"/>
                <w:szCs w:val="22"/>
              </w:rPr>
            </w:pPr>
            <w:r>
              <w:rPr>
                <w:rFonts w:cs="Calibri"/>
                <w:b/>
                <w:color w:val="000000"/>
                <w:szCs w:val="22"/>
              </w:rPr>
              <w:t>1.000</w:t>
            </w:r>
          </w:p>
        </w:tc>
        <w:tc>
          <w:tcPr>
            <w:tcW w:w="1200" w:type="dxa"/>
            <w:tcBorders>
              <w:top w:val="nil"/>
              <w:left w:val="nil"/>
              <w:bottom w:val="single" w:sz="4" w:space="0" w:color="auto"/>
              <w:right w:val="single" w:sz="4" w:space="0" w:color="auto"/>
            </w:tcBorders>
            <w:noWrap/>
            <w:vAlign w:val="bottom"/>
          </w:tcPr>
          <w:p w14:paraId="773888E7" w14:textId="77777777" w:rsidR="00731F45" w:rsidRPr="00C43877" w:rsidRDefault="00731F45" w:rsidP="00652A4E">
            <w:pPr>
              <w:jc w:val="center"/>
              <w:rPr>
                <w:rFonts w:cs="Calibri"/>
                <w:color w:val="000000"/>
                <w:szCs w:val="22"/>
              </w:rPr>
            </w:pPr>
            <w:r>
              <w:rPr>
                <w:rFonts w:cs="Calibri"/>
                <w:color w:val="000000"/>
                <w:szCs w:val="22"/>
              </w:rPr>
              <w:t>19.843</w:t>
            </w:r>
          </w:p>
        </w:tc>
      </w:tr>
      <w:tr w:rsidR="00731F45" w:rsidRPr="00C43877" w14:paraId="5FD80C25"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5C072BBB" w14:textId="77777777" w:rsidR="00731F45" w:rsidRPr="00C43877" w:rsidRDefault="00731F45" w:rsidP="00652A4E">
            <w:pPr>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1A259BC6" w14:textId="77777777" w:rsidR="00731F45" w:rsidRPr="00C43877" w:rsidRDefault="00731F45" w:rsidP="00652A4E">
            <w:pPr>
              <w:jc w:val="center"/>
              <w:rPr>
                <w:rFonts w:cs="Calibri"/>
                <w:color w:val="000000"/>
                <w:szCs w:val="22"/>
              </w:rPr>
            </w:pPr>
            <w:r w:rsidRPr="00C43877">
              <w:rPr>
                <w:rFonts w:cs="Calibri"/>
                <w:color w:val="000000"/>
                <w:szCs w:val="22"/>
              </w:rPr>
              <w:t>5</w:t>
            </w:r>
          </w:p>
        </w:tc>
        <w:tc>
          <w:tcPr>
            <w:tcW w:w="2202" w:type="dxa"/>
            <w:tcBorders>
              <w:top w:val="nil"/>
              <w:left w:val="nil"/>
              <w:bottom w:val="single" w:sz="4" w:space="0" w:color="auto"/>
              <w:right w:val="single" w:sz="4" w:space="0" w:color="auto"/>
            </w:tcBorders>
            <w:noWrap/>
            <w:vAlign w:val="bottom"/>
            <w:hideMark/>
          </w:tcPr>
          <w:p w14:paraId="2FD5B18E" w14:textId="77777777" w:rsidR="00731F45" w:rsidRPr="00C43877" w:rsidRDefault="00731F45" w:rsidP="00652A4E">
            <w:pPr>
              <w:jc w:val="center"/>
              <w:rPr>
                <w:rFonts w:cs="Calibri"/>
                <w:color w:val="000000"/>
                <w:szCs w:val="22"/>
              </w:rPr>
            </w:pPr>
            <w:r w:rsidRPr="00C43877">
              <w:rPr>
                <w:rFonts w:cs="Calibri"/>
                <w:color w:val="000000"/>
                <w:szCs w:val="22"/>
              </w:rPr>
              <w:t>54</w:t>
            </w:r>
          </w:p>
        </w:tc>
        <w:tc>
          <w:tcPr>
            <w:tcW w:w="1200" w:type="dxa"/>
            <w:tcBorders>
              <w:top w:val="nil"/>
              <w:left w:val="nil"/>
              <w:bottom w:val="single" w:sz="4" w:space="0" w:color="auto"/>
              <w:right w:val="single" w:sz="4" w:space="0" w:color="auto"/>
            </w:tcBorders>
            <w:noWrap/>
            <w:vAlign w:val="bottom"/>
            <w:hideMark/>
          </w:tcPr>
          <w:p w14:paraId="34095806" w14:textId="77777777" w:rsidR="00731F45" w:rsidRPr="00C43877" w:rsidRDefault="00731F45" w:rsidP="00652A4E">
            <w:pPr>
              <w:jc w:val="center"/>
              <w:rPr>
                <w:rFonts w:cs="Calibri"/>
                <w:color w:val="000000"/>
                <w:szCs w:val="22"/>
              </w:rPr>
            </w:pPr>
            <w:r w:rsidRPr="00C43877">
              <w:rPr>
                <w:rFonts w:cs="Calibri"/>
                <w:color w:val="000000"/>
                <w:szCs w:val="22"/>
              </w:rPr>
              <w:t>0.498</w:t>
            </w:r>
          </w:p>
        </w:tc>
        <w:tc>
          <w:tcPr>
            <w:tcW w:w="1200" w:type="dxa"/>
            <w:tcBorders>
              <w:top w:val="nil"/>
              <w:left w:val="nil"/>
              <w:bottom w:val="single" w:sz="4" w:space="0" w:color="auto"/>
              <w:right w:val="single" w:sz="4" w:space="0" w:color="auto"/>
            </w:tcBorders>
            <w:noWrap/>
            <w:vAlign w:val="bottom"/>
            <w:hideMark/>
          </w:tcPr>
          <w:p w14:paraId="6582A3F0" w14:textId="77777777" w:rsidR="00731F45" w:rsidRPr="00C43877" w:rsidRDefault="00731F45" w:rsidP="00652A4E">
            <w:pPr>
              <w:jc w:val="center"/>
              <w:rPr>
                <w:rFonts w:cs="Calibri"/>
                <w:color w:val="000000"/>
                <w:szCs w:val="22"/>
              </w:rPr>
            </w:pPr>
            <w:r w:rsidRPr="00C43877">
              <w:rPr>
                <w:rFonts w:cs="Calibri"/>
                <w:color w:val="000000"/>
                <w:szCs w:val="22"/>
              </w:rPr>
              <w:t>4.931</w:t>
            </w:r>
          </w:p>
        </w:tc>
      </w:tr>
      <w:tr w:rsidR="00731F45" w:rsidRPr="00C43877" w14:paraId="3F89C96D"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7E56DF19" w14:textId="77777777" w:rsidR="00731F45" w:rsidRPr="00C43877" w:rsidRDefault="00731F45" w:rsidP="00652A4E">
            <w:pPr>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65B9C55B" w14:textId="77777777" w:rsidR="00731F45" w:rsidRPr="00C43877" w:rsidRDefault="00731F45" w:rsidP="00652A4E">
            <w:pPr>
              <w:jc w:val="center"/>
              <w:rPr>
                <w:rFonts w:cs="Calibri"/>
                <w:color w:val="000000"/>
                <w:szCs w:val="22"/>
              </w:rPr>
            </w:pPr>
            <w:r w:rsidRPr="00C43877">
              <w:rPr>
                <w:rFonts w:cs="Calibri"/>
                <w:color w:val="000000"/>
                <w:szCs w:val="22"/>
              </w:rPr>
              <w:t>10</w:t>
            </w:r>
          </w:p>
        </w:tc>
        <w:tc>
          <w:tcPr>
            <w:tcW w:w="2202" w:type="dxa"/>
            <w:tcBorders>
              <w:top w:val="nil"/>
              <w:left w:val="nil"/>
              <w:bottom w:val="single" w:sz="4" w:space="0" w:color="auto"/>
              <w:right w:val="single" w:sz="4" w:space="0" w:color="auto"/>
            </w:tcBorders>
            <w:noWrap/>
            <w:vAlign w:val="bottom"/>
            <w:hideMark/>
          </w:tcPr>
          <w:p w14:paraId="22D516E4" w14:textId="77777777" w:rsidR="00731F45" w:rsidRPr="00C43877" w:rsidRDefault="00731F45" w:rsidP="00652A4E">
            <w:pPr>
              <w:jc w:val="center"/>
              <w:rPr>
                <w:rFonts w:cs="Calibri"/>
                <w:color w:val="000000"/>
                <w:szCs w:val="22"/>
              </w:rPr>
            </w:pPr>
            <w:r w:rsidRPr="00C43877">
              <w:rPr>
                <w:rFonts w:cs="Calibri"/>
                <w:color w:val="000000"/>
                <w:szCs w:val="22"/>
              </w:rPr>
              <w:t>54</w:t>
            </w:r>
          </w:p>
        </w:tc>
        <w:tc>
          <w:tcPr>
            <w:tcW w:w="1200" w:type="dxa"/>
            <w:tcBorders>
              <w:top w:val="nil"/>
              <w:left w:val="nil"/>
              <w:bottom w:val="single" w:sz="4" w:space="0" w:color="auto"/>
              <w:right w:val="single" w:sz="4" w:space="0" w:color="auto"/>
            </w:tcBorders>
            <w:noWrap/>
            <w:vAlign w:val="bottom"/>
            <w:hideMark/>
          </w:tcPr>
          <w:p w14:paraId="63DBF2B5" w14:textId="77777777" w:rsidR="00731F45" w:rsidRPr="00C43877" w:rsidRDefault="00731F45" w:rsidP="00652A4E">
            <w:pPr>
              <w:jc w:val="center"/>
              <w:rPr>
                <w:rFonts w:cs="Calibri"/>
                <w:b/>
                <w:color w:val="000000"/>
                <w:szCs w:val="22"/>
              </w:rPr>
            </w:pPr>
            <w:r w:rsidRPr="00C43877">
              <w:rPr>
                <w:rFonts w:cs="Calibri"/>
                <w:b/>
                <w:color w:val="000000"/>
                <w:szCs w:val="22"/>
              </w:rPr>
              <w:t>0.979</w:t>
            </w:r>
          </w:p>
        </w:tc>
        <w:tc>
          <w:tcPr>
            <w:tcW w:w="1200" w:type="dxa"/>
            <w:tcBorders>
              <w:top w:val="nil"/>
              <w:left w:val="nil"/>
              <w:bottom w:val="single" w:sz="4" w:space="0" w:color="auto"/>
              <w:right w:val="single" w:sz="4" w:space="0" w:color="auto"/>
            </w:tcBorders>
            <w:noWrap/>
            <w:vAlign w:val="bottom"/>
            <w:hideMark/>
          </w:tcPr>
          <w:p w14:paraId="07FAE758" w14:textId="77777777" w:rsidR="00731F45" w:rsidRPr="00C43877" w:rsidRDefault="00731F45" w:rsidP="00652A4E">
            <w:pPr>
              <w:jc w:val="center"/>
              <w:rPr>
                <w:rFonts w:cs="Calibri"/>
                <w:color w:val="000000"/>
                <w:szCs w:val="22"/>
              </w:rPr>
            </w:pPr>
            <w:r w:rsidRPr="00C43877">
              <w:rPr>
                <w:rFonts w:cs="Calibri"/>
                <w:color w:val="000000"/>
                <w:szCs w:val="22"/>
              </w:rPr>
              <w:t>10.057</w:t>
            </w:r>
          </w:p>
        </w:tc>
      </w:tr>
      <w:tr w:rsidR="00731F45" w:rsidRPr="00C43877" w14:paraId="3AD0871B"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240125C1" w14:textId="77777777" w:rsidR="00731F45" w:rsidRPr="00C43877" w:rsidRDefault="00731F45" w:rsidP="00652A4E">
            <w:pPr>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5B1217B5" w14:textId="77777777" w:rsidR="00731F45" w:rsidRPr="00C43877" w:rsidRDefault="00731F45" w:rsidP="00652A4E">
            <w:pPr>
              <w:jc w:val="center"/>
              <w:rPr>
                <w:rFonts w:cs="Calibri"/>
                <w:color w:val="000000"/>
                <w:szCs w:val="22"/>
              </w:rPr>
            </w:pPr>
            <w:r w:rsidRPr="00C43877">
              <w:rPr>
                <w:rFonts w:cs="Calibri"/>
                <w:color w:val="000000"/>
                <w:szCs w:val="22"/>
              </w:rPr>
              <w:t>15</w:t>
            </w:r>
          </w:p>
        </w:tc>
        <w:tc>
          <w:tcPr>
            <w:tcW w:w="2202" w:type="dxa"/>
            <w:tcBorders>
              <w:top w:val="nil"/>
              <w:left w:val="nil"/>
              <w:bottom w:val="single" w:sz="4" w:space="0" w:color="auto"/>
              <w:right w:val="single" w:sz="4" w:space="0" w:color="auto"/>
            </w:tcBorders>
            <w:noWrap/>
            <w:vAlign w:val="bottom"/>
            <w:hideMark/>
          </w:tcPr>
          <w:p w14:paraId="6024563D" w14:textId="77777777" w:rsidR="00731F45" w:rsidRPr="00C43877" w:rsidRDefault="00731F45" w:rsidP="00652A4E">
            <w:pPr>
              <w:jc w:val="center"/>
              <w:rPr>
                <w:rFonts w:cs="Calibri"/>
                <w:color w:val="000000"/>
                <w:szCs w:val="22"/>
              </w:rPr>
            </w:pPr>
            <w:r w:rsidRPr="00C43877">
              <w:rPr>
                <w:rFonts w:cs="Calibri"/>
                <w:color w:val="000000"/>
                <w:szCs w:val="22"/>
              </w:rPr>
              <w:t>54</w:t>
            </w:r>
          </w:p>
        </w:tc>
        <w:tc>
          <w:tcPr>
            <w:tcW w:w="1200" w:type="dxa"/>
            <w:tcBorders>
              <w:top w:val="nil"/>
              <w:left w:val="nil"/>
              <w:bottom w:val="single" w:sz="4" w:space="0" w:color="auto"/>
              <w:right w:val="single" w:sz="4" w:space="0" w:color="auto"/>
            </w:tcBorders>
            <w:noWrap/>
            <w:vAlign w:val="bottom"/>
            <w:hideMark/>
          </w:tcPr>
          <w:p w14:paraId="6D0D5A0B" w14:textId="77777777" w:rsidR="00731F45" w:rsidRPr="00C43877" w:rsidRDefault="00731F45" w:rsidP="00652A4E">
            <w:pPr>
              <w:jc w:val="center"/>
              <w:rPr>
                <w:rFonts w:cs="Calibri"/>
                <w:b/>
                <w:color w:val="000000"/>
                <w:szCs w:val="22"/>
              </w:rPr>
            </w:pPr>
            <w:r w:rsidRPr="00C43877">
              <w:rPr>
                <w:rFonts w:cs="Calibri"/>
                <w:b/>
                <w:color w:val="000000"/>
                <w:szCs w:val="22"/>
              </w:rPr>
              <w:t>1.000</w:t>
            </w:r>
          </w:p>
        </w:tc>
        <w:tc>
          <w:tcPr>
            <w:tcW w:w="1200" w:type="dxa"/>
            <w:tcBorders>
              <w:top w:val="nil"/>
              <w:left w:val="nil"/>
              <w:bottom w:val="single" w:sz="4" w:space="0" w:color="auto"/>
              <w:right w:val="single" w:sz="4" w:space="0" w:color="auto"/>
            </w:tcBorders>
            <w:noWrap/>
            <w:vAlign w:val="bottom"/>
            <w:hideMark/>
          </w:tcPr>
          <w:p w14:paraId="344449D0" w14:textId="77777777" w:rsidR="00731F45" w:rsidRPr="00C43877" w:rsidRDefault="00731F45" w:rsidP="00652A4E">
            <w:pPr>
              <w:jc w:val="center"/>
              <w:rPr>
                <w:rFonts w:cs="Calibri"/>
                <w:color w:val="000000"/>
                <w:szCs w:val="22"/>
              </w:rPr>
            </w:pPr>
            <w:r w:rsidRPr="00C43877">
              <w:rPr>
                <w:rFonts w:cs="Calibri"/>
                <w:color w:val="000000"/>
                <w:szCs w:val="22"/>
              </w:rPr>
              <w:t>14.968</w:t>
            </w:r>
          </w:p>
        </w:tc>
      </w:tr>
      <w:tr w:rsidR="00731F45" w:rsidRPr="00C43877" w14:paraId="31E285B6" w14:textId="77777777" w:rsidTr="00652A4E">
        <w:trPr>
          <w:trHeight w:val="300"/>
          <w:jc w:val="center"/>
        </w:trPr>
        <w:tc>
          <w:tcPr>
            <w:tcW w:w="2694" w:type="dxa"/>
            <w:tcBorders>
              <w:top w:val="nil"/>
              <w:left w:val="single" w:sz="4" w:space="0" w:color="auto"/>
              <w:bottom w:val="single" w:sz="4" w:space="0" w:color="auto"/>
              <w:right w:val="single" w:sz="4" w:space="0" w:color="auto"/>
            </w:tcBorders>
            <w:noWrap/>
            <w:vAlign w:val="bottom"/>
            <w:hideMark/>
          </w:tcPr>
          <w:p w14:paraId="6CDBE8C7" w14:textId="77777777" w:rsidR="00731F45" w:rsidRPr="00C43877" w:rsidRDefault="00731F45" w:rsidP="00652A4E">
            <w:pPr>
              <w:jc w:val="center"/>
              <w:rPr>
                <w:rFonts w:cs="Calibri"/>
                <w:color w:val="000000"/>
                <w:szCs w:val="22"/>
              </w:rPr>
            </w:pPr>
            <w:r w:rsidRPr="00C43877">
              <w:rPr>
                <w:rFonts w:cs="Calibri"/>
                <w:color w:val="000000"/>
                <w:szCs w:val="22"/>
              </w:rPr>
              <w:t>18</w:t>
            </w:r>
          </w:p>
        </w:tc>
        <w:tc>
          <w:tcPr>
            <w:tcW w:w="1200" w:type="dxa"/>
            <w:tcBorders>
              <w:top w:val="nil"/>
              <w:left w:val="nil"/>
              <w:bottom w:val="single" w:sz="4" w:space="0" w:color="auto"/>
              <w:right w:val="single" w:sz="4" w:space="0" w:color="auto"/>
            </w:tcBorders>
            <w:noWrap/>
            <w:vAlign w:val="bottom"/>
            <w:hideMark/>
          </w:tcPr>
          <w:p w14:paraId="4B7E0F8E" w14:textId="77777777" w:rsidR="00731F45" w:rsidRPr="00C43877" w:rsidRDefault="00731F45" w:rsidP="00652A4E">
            <w:pPr>
              <w:jc w:val="center"/>
              <w:rPr>
                <w:rFonts w:cs="Calibri"/>
                <w:color w:val="000000"/>
                <w:szCs w:val="22"/>
              </w:rPr>
            </w:pPr>
            <w:r w:rsidRPr="00C43877">
              <w:rPr>
                <w:rFonts w:cs="Calibri"/>
                <w:color w:val="000000"/>
                <w:szCs w:val="22"/>
              </w:rPr>
              <w:t>20</w:t>
            </w:r>
          </w:p>
        </w:tc>
        <w:tc>
          <w:tcPr>
            <w:tcW w:w="2202" w:type="dxa"/>
            <w:tcBorders>
              <w:top w:val="nil"/>
              <w:left w:val="nil"/>
              <w:bottom w:val="single" w:sz="4" w:space="0" w:color="auto"/>
              <w:right w:val="single" w:sz="4" w:space="0" w:color="auto"/>
            </w:tcBorders>
            <w:noWrap/>
            <w:vAlign w:val="bottom"/>
            <w:hideMark/>
          </w:tcPr>
          <w:p w14:paraId="3E279EC4" w14:textId="77777777" w:rsidR="00731F45" w:rsidRPr="00C43877" w:rsidRDefault="00731F45" w:rsidP="00652A4E">
            <w:pPr>
              <w:jc w:val="center"/>
              <w:rPr>
                <w:rFonts w:cs="Calibri"/>
                <w:color w:val="000000"/>
                <w:szCs w:val="22"/>
              </w:rPr>
            </w:pPr>
            <w:r w:rsidRPr="00C43877">
              <w:rPr>
                <w:rFonts w:cs="Calibri"/>
                <w:color w:val="000000"/>
                <w:szCs w:val="22"/>
              </w:rPr>
              <w:t>54</w:t>
            </w:r>
          </w:p>
        </w:tc>
        <w:tc>
          <w:tcPr>
            <w:tcW w:w="1200" w:type="dxa"/>
            <w:tcBorders>
              <w:top w:val="nil"/>
              <w:left w:val="nil"/>
              <w:bottom w:val="single" w:sz="4" w:space="0" w:color="auto"/>
              <w:right w:val="single" w:sz="4" w:space="0" w:color="auto"/>
            </w:tcBorders>
            <w:noWrap/>
            <w:vAlign w:val="bottom"/>
            <w:hideMark/>
          </w:tcPr>
          <w:p w14:paraId="1102996D" w14:textId="77777777" w:rsidR="00731F45" w:rsidRPr="00C43877" w:rsidRDefault="00731F45" w:rsidP="00652A4E">
            <w:pPr>
              <w:jc w:val="center"/>
              <w:rPr>
                <w:rFonts w:cs="Calibri"/>
                <w:b/>
                <w:color w:val="000000"/>
                <w:szCs w:val="22"/>
              </w:rPr>
            </w:pPr>
            <w:r w:rsidRPr="00C43877">
              <w:rPr>
                <w:rFonts w:cs="Calibri"/>
                <w:b/>
                <w:color w:val="000000"/>
                <w:szCs w:val="22"/>
              </w:rPr>
              <w:t>1.000</w:t>
            </w:r>
          </w:p>
        </w:tc>
        <w:tc>
          <w:tcPr>
            <w:tcW w:w="1200" w:type="dxa"/>
            <w:tcBorders>
              <w:top w:val="nil"/>
              <w:left w:val="nil"/>
              <w:bottom w:val="single" w:sz="4" w:space="0" w:color="auto"/>
              <w:right w:val="single" w:sz="4" w:space="0" w:color="auto"/>
            </w:tcBorders>
            <w:noWrap/>
            <w:vAlign w:val="bottom"/>
            <w:hideMark/>
          </w:tcPr>
          <w:p w14:paraId="2BC4A45E" w14:textId="77777777" w:rsidR="00731F45" w:rsidRPr="00C43877" w:rsidRDefault="00731F45" w:rsidP="00652A4E">
            <w:pPr>
              <w:jc w:val="center"/>
              <w:rPr>
                <w:rFonts w:cs="Calibri"/>
                <w:color w:val="000000"/>
                <w:szCs w:val="22"/>
              </w:rPr>
            </w:pPr>
            <w:r w:rsidRPr="00C43877">
              <w:rPr>
                <w:rFonts w:cs="Calibri"/>
                <w:color w:val="000000"/>
                <w:szCs w:val="22"/>
              </w:rPr>
              <w:t>19.995</w:t>
            </w:r>
          </w:p>
        </w:tc>
      </w:tr>
    </w:tbl>
    <w:p w14:paraId="5A306F9B" w14:textId="77777777" w:rsidR="00731F45" w:rsidRPr="00D83097" w:rsidRDefault="00731F45" w:rsidP="00731F45">
      <w:pPr>
        <w:rPr>
          <w:i/>
          <w:lang w:eastAsia="x-none"/>
        </w:rPr>
      </w:pPr>
      <w:r w:rsidRPr="00D83097">
        <w:rPr>
          <w:i/>
          <w:lang w:eastAsia="x-none"/>
        </w:rPr>
        <w:t>* Power calculations shown in bold font are assumed of sufficient magnitude.</w:t>
      </w:r>
    </w:p>
    <w:p w14:paraId="0F367B02" w14:textId="77777777" w:rsidR="00731F45" w:rsidRDefault="00731F45" w:rsidP="00731F45">
      <w:pPr>
        <w:rPr>
          <w:lang w:eastAsia="x-none"/>
        </w:rPr>
      </w:pPr>
      <w:r>
        <w:rPr>
          <w:lang w:eastAsia="x-none"/>
        </w:rPr>
        <w:t>Following the simulations, we see that with an effect size of 20% we have very high power for all sample sizes. With 15 patients in each of the indications, we see that we gain a sufficient power even when the effect size is as low as 10%.</w:t>
      </w:r>
    </w:p>
    <w:p w14:paraId="3819AC35" w14:textId="77777777" w:rsidR="00731F45" w:rsidRDefault="00731F45" w:rsidP="00731F45">
      <w:pPr>
        <w:rPr>
          <w:lang w:eastAsia="x-none"/>
        </w:rPr>
      </w:pPr>
      <w:r>
        <w:rPr>
          <w:lang w:eastAsia="x-none"/>
        </w:rPr>
        <w:lastRenderedPageBreak/>
        <w:t>As a result, we need 45 completed patients in each of the two glioblastoma indications, and 36 with brain metastases. To adjust for a possible 15-20% drop-out (non-compliance and mortality), we need to randomize 54 patients in each of the glioblastoma indications and 45 with brain metastases, to a total of 153 patients.</w:t>
      </w:r>
    </w:p>
    <w:p w14:paraId="4BF034BC" w14:textId="77777777" w:rsidR="00731F45" w:rsidRDefault="00731F45" w:rsidP="00731F45">
      <w:pPr>
        <w:rPr>
          <w:lang w:eastAsia="x-none"/>
        </w:rPr>
      </w:pPr>
      <w:r>
        <w:rPr>
          <w:lang w:eastAsia="x-none"/>
        </w:rPr>
        <w:t xml:space="preserve">In addition to looking at the primary biomarker endpoint, we want to assess the long-term effect of the intervention on clinical endpoints. The purpose of this long-term follow-up is exploratory (hypothesis generating), as a properly powered hypothesis testing trial on e.g. overall survival would require a lot more patients. However, to have any power to generate hypotheses on clinical endpoints we will randomize half of the patients on 25 mg and 50 mg to either continued or discontinued losartan treatment (same dose), while patients on 100 mg will all continue losartan treatment until day 168 (Study AR) or 238 (Study AN). Following this design, we will end up with a distribution of 18:9:9:18 with no treatment, 25 mg, 50 mg and 100 mg, respectively. The 2:1:1:2 distribution has more power to show a dose-response relationship compared to a standard 1:1:1:1 distribution. </w:t>
      </w:r>
    </w:p>
    <w:p w14:paraId="16E82A5F" w14:textId="77777777" w:rsidR="00731F45" w:rsidRPr="00731F45" w:rsidRDefault="00731F45" w:rsidP="00071BE6"/>
    <w:p w14:paraId="00A5D91F" w14:textId="1307D1C0" w:rsidR="00EA3E2B" w:rsidRDefault="00EA3E2B" w:rsidP="00850EB9">
      <w:pPr>
        <w:pStyle w:val="Heading1"/>
        <w:rPr>
          <w:lang w:val="en-GB"/>
        </w:rPr>
      </w:pPr>
      <w:bookmarkStart w:id="130" w:name="_Toc154052389"/>
      <w:r w:rsidRPr="00BD51BF">
        <w:rPr>
          <w:lang w:val="en-GB"/>
        </w:rPr>
        <w:lastRenderedPageBreak/>
        <w:t>Supporting Documentation</w:t>
      </w:r>
      <w:bookmarkEnd w:id="130"/>
    </w:p>
    <w:p w14:paraId="132E0FBD" w14:textId="77777777" w:rsidR="00385090" w:rsidRDefault="00385090" w:rsidP="00385090">
      <w:pPr>
        <w:pStyle w:val="NormalWeb"/>
      </w:pPr>
      <w:r>
        <w:t>The following documents and resources support the implementation, transparency, and reproducibility of the statistical analyses described in this SAP.</w:t>
      </w:r>
    </w:p>
    <w:p w14:paraId="691E9322" w14:textId="2E55E06B" w:rsidR="00385090" w:rsidRDefault="00385090" w:rsidP="00385090">
      <w:pPr>
        <w:pStyle w:val="Heading2"/>
      </w:pPr>
      <w:r>
        <w:rPr>
          <w:rStyle w:val="Strong"/>
          <w:b/>
          <w:bCs w:val="0"/>
        </w:rPr>
        <w:t>Mock-up Statistical Report</w:t>
      </w:r>
    </w:p>
    <w:p w14:paraId="54FF7882" w14:textId="77777777" w:rsidR="00385090" w:rsidRDefault="00385090" w:rsidP="00385090">
      <w:pPr>
        <w:pStyle w:val="NormalWeb"/>
      </w:pPr>
      <w:r>
        <w:t>A mock-up statistical report has been prepared to illustrate the planned tables, figures, and listings for the primary and secondary analyses. The mock-up report is generated using simulated or sham-randomised data to avoid disclosure of treatment effects prior to database lock and unblinding.</w:t>
      </w:r>
    </w:p>
    <w:p w14:paraId="67BF086A" w14:textId="77777777" w:rsidR="00385090" w:rsidRDefault="00385090" w:rsidP="00385090">
      <w:pPr>
        <w:pStyle w:val="NormalWeb"/>
      </w:pPr>
      <w:r>
        <w:t>The mock-up report is intended solely to demonstrate the structure, content, and presentation of the final statistical outputs and does not represent results from the actual trial data.</w:t>
      </w:r>
    </w:p>
    <w:p w14:paraId="2ED63651" w14:textId="2F8F3CCB" w:rsidR="00385090" w:rsidRDefault="00385090" w:rsidP="00385090">
      <w:pPr>
        <w:pStyle w:val="Heading2"/>
      </w:pPr>
      <w:r>
        <w:rPr>
          <w:rStyle w:val="Strong"/>
          <w:b/>
          <w:bCs w:val="0"/>
        </w:rPr>
        <w:t>Statistical Programming Code</w:t>
      </w:r>
    </w:p>
    <w:p w14:paraId="6AEE7EF1" w14:textId="77777777" w:rsidR="00385090" w:rsidRDefault="00385090" w:rsidP="00385090">
      <w:pPr>
        <w:pStyle w:val="NormalWeb"/>
      </w:pPr>
      <w:r>
        <w:t>The statistical analyses described in this SAP are implemented using reproducible statistical code maintained in a version-controlled repository:</w:t>
      </w:r>
    </w:p>
    <w:p w14:paraId="5A88C242" w14:textId="77777777" w:rsidR="00385090" w:rsidRDefault="00385090" w:rsidP="00385090">
      <w:pPr>
        <w:pStyle w:val="NormalWeb"/>
      </w:pPr>
      <w:hyperlink r:id="rId17" w:tgtFrame="_new" w:history="1">
        <w:r>
          <w:rPr>
            <w:rStyle w:val="Hyperlink"/>
            <w:rFonts w:eastAsia="MS Gothic"/>
          </w:rPr>
          <w:t>https://github.com/ocbe-uio/impress</w:t>
        </w:r>
      </w:hyperlink>
    </w:p>
    <w:p w14:paraId="4B914E98" w14:textId="77777777" w:rsidR="00385090" w:rsidRDefault="00385090" w:rsidP="00385090">
      <w:pPr>
        <w:pStyle w:val="NormalWeb"/>
      </w:pPr>
      <w:r>
        <w:t>The repository contains scripts for data preparation, analysis, and generation of tables and figures, as well as configuration files supporting reproducible execution of the analyses.</w:t>
      </w:r>
    </w:p>
    <w:p w14:paraId="2080F749" w14:textId="77777777" w:rsidR="00385090" w:rsidRDefault="00385090" w:rsidP="00385090">
      <w:pPr>
        <w:pStyle w:val="NormalWeb"/>
      </w:pPr>
      <w:r>
        <w:t xml:space="preserve">All main components of the statistical analysis code relevant to the primary and secondary analyses will be </w:t>
      </w:r>
      <w:r>
        <w:rPr>
          <w:rStyle w:val="Strong"/>
          <w:rFonts w:eastAsia="MS Gothic"/>
        </w:rPr>
        <w:t>finalised, reviewed, and version-locked prior to database lock</w:t>
      </w:r>
      <w:r>
        <w:t>. Any changes to the analysis code after database lock will be documented, justified, and traceable.</w:t>
      </w:r>
    </w:p>
    <w:p w14:paraId="7B80D852" w14:textId="1D68C618" w:rsidR="00385090" w:rsidRDefault="00385090" w:rsidP="00C2790E">
      <w:pPr>
        <w:pStyle w:val="Heading2"/>
      </w:pPr>
      <w:r>
        <w:rPr>
          <w:rStyle w:val="Strong"/>
          <w:b/>
          <w:bCs w:val="0"/>
        </w:rPr>
        <w:t>Use of Sham Randomisation</w:t>
      </w:r>
    </w:p>
    <w:p w14:paraId="18F7B781" w14:textId="77777777" w:rsidR="00385090" w:rsidRDefault="00385090" w:rsidP="00385090">
      <w:pPr>
        <w:pStyle w:val="NormalWeb"/>
      </w:pPr>
      <w:r>
        <w:t>During development and validation of the statistical analysis code and mock-up report, analyses are performed using sham randomisation or simulated treatment assignments. This ensures that the analysis pipeline, model specifications, and output structure are fully validated without revealing results based on the true randomised treatment allocation.</w:t>
      </w:r>
    </w:p>
    <w:p w14:paraId="72479120" w14:textId="77777777" w:rsidR="00385090" w:rsidRDefault="00385090" w:rsidP="00385090">
      <w:pPr>
        <w:pStyle w:val="NormalWeb"/>
      </w:pPr>
      <w:r>
        <w:t>Final analyses will be conducted only after database lock, using the true randomisation, and strictly according to the methods specified in this SAP.</w:t>
      </w:r>
    </w:p>
    <w:p w14:paraId="4F770310" w14:textId="4C9DB098" w:rsidR="00385090" w:rsidRDefault="00385090" w:rsidP="00C2790E">
      <w:pPr>
        <w:pStyle w:val="Heading2"/>
      </w:pPr>
      <w:r>
        <w:rPr>
          <w:rStyle w:val="Strong"/>
          <w:b/>
          <w:bCs w:val="0"/>
        </w:rPr>
        <w:t>Reproducibility and Open Science Framework Repository</w:t>
      </w:r>
    </w:p>
    <w:p w14:paraId="23BD699C" w14:textId="77777777" w:rsidR="00385090" w:rsidRDefault="00385090" w:rsidP="00385090">
      <w:pPr>
        <w:pStyle w:val="NormalWeb"/>
      </w:pPr>
      <w:r>
        <w:t xml:space="preserve">To support transparency, reproducibility, and long-term accessibility of study documentation, an independent project repository will be established on the </w:t>
      </w:r>
      <w:r>
        <w:rPr>
          <w:rStyle w:val="whitespace-normal"/>
          <w:rFonts w:eastAsia="MS Gothic"/>
          <w:b/>
          <w:bCs/>
        </w:rPr>
        <w:t>Open Science Framework</w:t>
      </w:r>
      <w:r>
        <w:rPr>
          <w:rStyle w:val="Strong"/>
          <w:rFonts w:eastAsia="MS Gothic"/>
        </w:rPr>
        <w:t xml:space="preserve"> (OSF)</w:t>
      </w:r>
      <w:r>
        <w:t>.</w:t>
      </w:r>
    </w:p>
    <w:p w14:paraId="3489559F" w14:textId="77777777" w:rsidR="00385090" w:rsidRDefault="00385090" w:rsidP="00385090">
      <w:pPr>
        <w:pStyle w:val="NormalWeb"/>
      </w:pPr>
      <w:r>
        <w:t>The OSF repository will serve as a curated entry point and will include, or reference, the following materials:</w:t>
      </w:r>
    </w:p>
    <w:p w14:paraId="13A68756" w14:textId="77777777" w:rsidR="00385090" w:rsidRDefault="00385090" w:rsidP="00385090">
      <w:pPr>
        <w:pStyle w:val="NormalWeb"/>
        <w:numPr>
          <w:ilvl w:val="0"/>
          <w:numId w:val="69"/>
        </w:numPr>
        <w:spacing w:before="100" w:beforeAutospacing="1" w:after="100" w:afterAutospacing="1"/>
      </w:pPr>
      <w:r>
        <w:t>The final study protocol and protocol amendments</w:t>
      </w:r>
    </w:p>
    <w:p w14:paraId="76A2A829" w14:textId="77777777" w:rsidR="00385090" w:rsidRDefault="00385090" w:rsidP="00385090">
      <w:pPr>
        <w:pStyle w:val="NormalWeb"/>
        <w:numPr>
          <w:ilvl w:val="0"/>
          <w:numId w:val="69"/>
        </w:numPr>
        <w:spacing w:before="100" w:beforeAutospacing="1" w:after="100" w:afterAutospacing="1"/>
      </w:pPr>
      <w:r>
        <w:t>This Statistical Analysis Plan and subsequent SAP versions</w:t>
      </w:r>
    </w:p>
    <w:p w14:paraId="591A1664" w14:textId="77777777" w:rsidR="00385090" w:rsidRDefault="00385090" w:rsidP="00385090">
      <w:pPr>
        <w:pStyle w:val="NormalWeb"/>
        <w:numPr>
          <w:ilvl w:val="0"/>
          <w:numId w:val="69"/>
        </w:numPr>
        <w:spacing w:before="100" w:beforeAutospacing="1" w:after="100" w:afterAutospacing="1"/>
      </w:pPr>
      <w:r>
        <w:t>The mock-up statistical report</w:t>
      </w:r>
    </w:p>
    <w:p w14:paraId="58D9F0F0" w14:textId="77777777" w:rsidR="00385090" w:rsidRDefault="00385090" w:rsidP="00385090">
      <w:pPr>
        <w:pStyle w:val="NormalWeb"/>
        <w:numPr>
          <w:ilvl w:val="0"/>
          <w:numId w:val="69"/>
        </w:numPr>
        <w:spacing w:before="100" w:beforeAutospacing="1" w:after="100" w:afterAutospacing="1"/>
      </w:pPr>
      <w:r>
        <w:t>Links to the version-controlled statistical code repository</w:t>
      </w:r>
    </w:p>
    <w:p w14:paraId="3BFD15A2" w14:textId="77777777" w:rsidR="00385090" w:rsidRDefault="00385090" w:rsidP="00385090">
      <w:pPr>
        <w:pStyle w:val="NormalWeb"/>
        <w:numPr>
          <w:ilvl w:val="0"/>
          <w:numId w:val="69"/>
        </w:numPr>
        <w:spacing w:before="100" w:beforeAutospacing="1" w:after="100" w:afterAutospacing="1"/>
      </w:pPr>
      <w:r>
        <w:t>Additional supporting documentation relevant to the statistical analyses</w:t>
      </w:r>
    </w:p>
    <w:p w14:paraId="7733B7A6" w14:textId="77777777" w:rsidR="00385090" w:rsidRDefault="00385090" w:rsidP="00385090">
      <w:pPr>
        <w:pStyle w:val="NormalWeb"/>
      </w:pPr>
      <w:r>
        <w:t>The OSF repository will not supersede the SAP as the governing document for the statistical analyses, but will provide a transparent and traceable framework for accessing supporting materials.</w:t>
      </w:r>
    </w:p>
    <w:p w14:paraId="1619464E" w14:textId="77777777" w:rsidR="00385090" w:rsidRDefault="00B947CF" w:rsidP="00385090">
      <w:r>
        <w:rPr>
          <w:noProof/>
        </w:rPr>
        <w:pict w14:anchorId="05F5205A">
          <v:rect id="_x0000_i1025" alt="" style="width:451.3pt;height:.05pt;mso-width-percent:0;mso-height-percent:0;mso-width-percent:0;mso-height-percent:0" o:hralign="center" o:hrstd="t" o:hr="t" fillcolor="#a0a0a0" stroked="f"/>
        </w:pict>
      </w:r>
    </w:p>
    <w:p w14:paraId="62AAE07F" w14:textId="02E08B60" w:rsidR="00385090" w:rsidRDefault="00385090" w:rsidP="00C2790E">
      <w:pPr>
        <w:pStyle w:val="Heading2"/>
      </w:pPr>
      <w:r>
        <w:rPr>
          <w:rStyle w:val="Strong"/>
          <w:b/>
          <w:bCs w:val="0"/>
        </w:rPr>
        <w:lastRenderedPageBreak/>
        <w:t>Compliance with Clinical Trials Unit Procedures</w:t>
      </w:r>
    </w:p>
    <w:p w14:paraId="507350E3" w14:textId="77777777" w:rsidR="00385090" w:rsidRDefault="00385090" w:rsidP="00385090">
      <w:pPr>
        <w:pStyle w:val="NormalWeb"/>
      </w:pPr>
      <w:r>
        <w:t>All statistical analyses will be performed in accordance with the procedures and quality standards of the Oslo University Hospital Clinical Trials Unit (CTU), as described in the institutional quality handbook:</w:t>
      </w:r>
    </w:p>
    <w:p w14:paraId="72F2EBC1" w14:textId="77777777" w:rsidR="00385090" w:rsidRDefault="00385090" w:rsidP="00385090">
      <w:pPr>
        <w:pStyle w:val="NormalWeb"/>
      </w:pPr>
      <w:hyperlink r:id="rId18" w:tgtFrame="_new" w:history="1">
        <w:r>
          <w:rPr>
            <w:rStyle w:val="Hyperlink"/>
            <w:rFonts w:eastAsia="MS Gothic"/>
          </w:rPr>
          <w:t>https://ehandboken.ous-hf.no/document/131441</w:t>
        </w:r>
      </w:hyperlink>
    </w:p>
    <w:p w14:paraId="6C4B3C67" w14:textId="77777777" w:rsidR="00385090" w:rsidRDefault="00385090" w:rsidP="00385090">
      <w:pPr>
        <w:pStyle w:val="NormalWeb"/>
      </w:pPr>
      <w:r>
        <w:t>These procedures cover data handling, version control, quality assurance, documentation, and traceability of statistical analyses.</w:t>
      </w:r>
    </w:p>
    <w:p w14:paraId="78E82742" w14:textId="77777777" w:rsidR="00385090" w:rsidRPr="00385090" w:rsidRDefault="00385090" w:rsidP="00385090">
      <w:pPr>
        <w:rPr>
          <w:lang w:eastAsia="ja-JP"/>
        </w:rPr>
      </w:pPr>
    </w:p>
    <w:p w14:paraId="4AC8D6B7" w14:textId="0119C012" w:rsidR="00EA3E2B" w:rsidRPr="00BD51BF" w:rsidRDefault="00EA3E2B" w:rsidP="00850EB9">
      <w:pPr>
        <w:pStyle w:val="Heading1"/>
        <w:rPr>
          <w:lang w:val="en-GB"/>
        </w:rPr>
      </w:pPr>
      <w:bookmarkStart w:id="131" w:name="_Toc154052390"/>
      <w:r w:rsidRPr="00BD51BF">
        <w:rPr>
          <w:lang w:val="en-GB"/>
        </w:rPr>
        <w:lastRenderedPageBreak/>
        <w:t>References</w:t>
      </w:r>
      <w:bookmarkEnd w:id="131"/>
    </w:p>
    <w:p w14:paraId="15E205F9" w14:textId="48B17B1C" w:rsidR="00EA3E2B" w:rsidRPr="00BD51BF" w:rsidRDefault="00EA3E2B" w:rsidP="00046E10">
      <w:pPr>
        <w:pStyle w:val="CPTInstructional"/>
        <w:numPr>
          <w:ilvl w:val="0"/>
          <w:numId w:val="3"/>
        </w:numPr>
        <w:spacing w:after="200" w:line="276" w:lineRule="auto"/>
        <w:rPr>
          <w:lang w:val="en-GB"/>
        </w:rPr>
      </w:pPr>
      <w:r w:rsidRPr="00BD51BF">
        <w:rPr>
          <w:lang w:val="en-GB"/>
        </w:rPr>
        <w:t>See therapeutic libraries for key references to include.</w:t>
      </w:r>
    </w:p>
    <w:p w14:paraId="1B0BCC9E" w14:textId="77777777" w:rsidR="00EA3E2B" w:rsidRPr="00BD51BF" w:rsidRDefault="00EA3E2B" w:rsidP="00046E10">
      <w:pPr>
        <w:pStyle w:val="CPTInstructional"/>
        <w:numPr>
          <w:ilvl w:val="0"/>
          <w:numId w:val="3"/>
        </w:numPr>
        <w:spacing w:after="200" w:line="276" w:lineRule="auto"/>
        <w:rPr>
          <w:lang w:val="en-GB"/>
        </w:rPr>
      </w:pPr>
      <w:r w:rsidRPr="00BD51BF">
        <w:rPr>
          <w:lang w:val="en-GB"/>
        </w:rPr>
        <w:t>References to both internal and external documents and publications should be listed in alphabetical order. Do not reference internal reports in preparation.</w:t>
      </w:r>
    </w:p>
    <w:p w14:paraId="44A0DE4F" w14:textId="7D1560A5" w:rsidR="00071BE6" w:rsidRPr="00BD51BF" w:rsidRDefault="00071BE6" w:rsidP="00046E10">
      <w:pPr>
        <w:pStyle w:val="CPTInstructional"/>
        <w:numPr>
          <w:ilvl w:val="0"/>
          <w:numId w:val="3"/>
        </w:numPr>
        <w:rPr>
          <w:lang w:val="en-GB"/>
        </w:rPr>
      </w:pPr>
      <w:r w:rsidRPr="00BD51BF">
        <w:rPr>
          <w:lang w:val="en-GB"/>
        </w:rPr>
        <w:t xml:space="preserve">In the reference list, use the style and format published by the International Committee of Medical Journal Editors (ICMJE 2019). Citations to external documents and publications should be indicated in the text by citing the author and year within parentheses. For example, the in-text citation for the reference included would be (Hatcher 2007). </w:t>
      </w:r>
    </w:p>
    <w:p w14:paraId="4DD6A318" w14:textId="1C88E4AF" w:rsidR="007E6E93" w:rsidRPr="00BD51BF" w:rsidRDefault="00850BCB" w:rsidP="007E6E93">
      <w:pPr>
        <w:pStyle w:val="CPTExample"/>
        <w:rPr>
          <w:lang w:val="en-GB"/>
        </w:rPr>
      </w:pPr>
      <w:r w:rsidRPr="00BD51BF">
        <w:rPr>
          <w:lang w:val="en-GB"/>
        </w:rPr>
        <w:t>&lt;Start of e</w:t>
      </w:r>
      <w:r w:rsidR="007E6E93" w:rsidRPr="00BD51BF">
        <w:rPr>
          <w:lang w:val="en-GB"/>
        </w:rPr>
        <w:t xml:space="preserve">xample </w:t>
      </w:r>
      <w:r w:rsidRPr="00BD51BF">
        <w:rPr>
          <w:lang w:val="en-GB"/>
        </w:rPr>
        <w:t>text&gt;</w:t>
      </w:r>
    </w:p>
    <w:p w14:paraId="3E3BBB8A" w14:textId="77777777" w:rsidR="007E6E93" w:rsidRPr="00BD51BF" w:rsidRDefault="007E6E93" w:rsidP="007E6E93">
      <w:pPr>
        <w:pStyle w:val="CPTExample"/>
        <w:rPr>
          <w:lang w:val="en-GB" w:eastAsia="ja-JP"/>
        </w:rPr>
      </w:pPr>
      <w:r w:rsidRPr="00BD51BF">
        <w:rPr>
          <w:lang w:val="en-GB"/>
        </w:rPr>
        <w:t>Hatcher RA, Trussell J, Nelson AL, Cates W Jr, Stewart F, Kowal D, eds. Contraceptive technology. 19th edition. New York: Ardent Media, 2007(a): 24. Table 3-2.</w:t>
      </w:r>
    </w:p>
    <w:p w14:paraId="6F081829" w14:textId="0B949B2A" w:rsidR="001F700E" w:rsidRPr="00BD51BF" w:rsidRDefault="00444F04" w:rsidP="00EE1F99">
      <w:pPr>
        <w:pStyle w:val="CPTExample"/>
        <w:rPr>
          <w:lang w:val="en-GB"/>
        </w:rPr>
      </w:pPr>
      <w:r w:rsidRPr="00BD51BF">
        <w:rPr>
          <w:lang w:val="en-GB"/>
        </w:rPr>
        <w:t>&lt;</w:t>
      </w:r>
      <w:r w:rsidR="007E6E93" w:rsidRPr="00BD51BF">
        <w:rPr>
          <w:lang w:val="en-GB"/>
        </w:rPr>
        <w:t>End of example text</w:t>
      </w:r>
      <w:r w:rsidRPr="00BD51BF">
        <w:rPr>
          <w:lang w:val="en-GB"/>
        </w:rPr>
        <w:t>&gt;</w:t>
      </w:r>
    </w:p>
    <w:p w14:paraId="566AA340" w14:textId="77777777" w:rsidR="00461AA9" w:rsidRPr="00BD51BF" w:rsidRDefault="00461AA9">
      <w:pPr>
        <w:pStyle w:val="CPTExample"/>
        <w:rPr>
          <w:lang w:val="en-GB"/>
        </w:rPr>
      </w:pPr>
    </w:p>
    <w:sectPr w:rsidR="00461AA9" w:rsidRPr="00BD51BF" w:rsidSect="0003485A">
      <w:headerReference w:type="default" r:id="rId19"/>
      <w:footerReference w:type="default" r:id="rId20"/>
      <w:pgSz w:w="12240" w:h="15840" w:code="1"/>
      <w:pgMar w:top="1440" w:right="1440" w:bottom="1440" w:left="1440" w:header="720" w:footer="720" w:gutter="0"/>
      <w:paperSrc w:first="15" w:other="15"/>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Inge Christoffer Olsen" w:date="2026-01-22T16:12:00Z" w:initials="ICO">
    <w:p w14:paraId="4C651679" w14:textId="77777777" w:rsidR="00EB5ED8" w:rsidRDefault="00EB5ED8" w:rsidP="00EB5ED8">
      <w:r>
        <w:rPr>
          <w:rStyle w:val="CommentReference"/>
        </w:rPr>
        <w:annotationRef/>
      </w:r>
      <w:r>
        <w:rPr>
          <w:sz w:val="20"/>
          <w:szCs w:val="20"/>
        </w:rPr>
        <w:t>Not sure where to include the blood/serum biomarkers. Somehow they do not belong in the clinical/PROM objective...</w:t>
      </w:r>
    </w:p>
  </w:comment>
  <w:comment w:id="34" w:author="Inge Christoffer Olsen" w:date="2026-01-22T16:47:00Z" w:initials="ICO">
    <w:p w14:paraId="74966565" w14:textId="77777777" w:rsidR="00472BD6" w:rsidRDefault="00472BD6" w:rsidP="00472BD6">
      <w:r>
        <w:rPr>
          <w:rStyle w:val="CommentReference"/>
        </w:rPr>
        <w:annotationRef/>
      </w:r>
      <w:r>
        <w:rPr>
          <w:sz w:val="20"/>
          <w:szCs w:val="20"/>
        </w:rPr>
        <w:t>Only creatinine?</w:t>
      </w:r>
    </w:p>
  </w:comment>
  <w:comment w:id="35" w:author="Inge Christoffer Olsen" w:date="2026-01-22T16:51:00Z" w:initials="ICO">
    <w:p w14:paraId="7C7CA46C" w14:textId="77777777" w:rsidR="00472BD6" w:rsidRDefault="00472BD6" w:rsidP="00472BD6">
      <w:r>
        <w:rPr>
          <w:rStyle w:val="CommentReference"/>
        </w:rPr>
        <w:annotationRef/>
      </w:r>
      <w:r>
        <w:rPr>
          <w:sz w:val="20"/>
          <w:szCs w:val="20"/>
        </w:rPr>
        <w:t>Any other population-level summaries relevant?</w:t>
      </w:r>
    </w:p>
  </w:comment>
  <w:comment w:id="120" w:author="Inge Christoffer Olsen" w:date="2026-01-23T14:20:00Z" w:initials="ICO">
    <w:p w14:paraId="374F47BF" w14:textId="77777777" w:rsidR="008C37C6" w:rsidRDefault="008C37C6" w:rsidP="008C37C6">
      <w:r>
        <w:rPr>
          <w:rStyle w:val="CommentReference"/>
        </w:rPr>
        <w:annotationRef/>
      </w:r>
      <w:r>
        <w:rPr>
          <w:sz w:val="20"/>
          <w:szCs w:val="20"/>
        </w:rPr>
        <w:t>Could be used if there are some addtional analyses to be specified</w:t>
      </w:r>
    </w:p>
  </w:comment>
  <w:comment w:id="122" w:author="Inge Christoffer Olsen" w:date="2026-01-23T14:23:00Z" w:initials="ICO">
    <w:p w14:paraId="5CCB6301" w14:textId="77777777" w:rsidR="00731F45" w:rsidRDefault="00731F45" w:rsidP="00731F45">
      <w:r>
        <w:rPr>
          <w:rStyle w:val="CommentReference"/>
        </w:rPr>
        <w:annotationRef/>
      </w:r>
      <w:r>
        <w:rPr>
          <w:sz w:val="20"/>
          <w:szCs w:val="20"/>
        </w:rPr>
        <w:t xml:space="preserve">I am not sure we are able to do this, we have so few participants, and then trying to divide into subgroup analyses is very challenging. Suggest to postpone for now, and then to explore later if there are any interesting findings.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651679" w15:done="0"/>
  <w15:commentEx w15:paraId="74966565" w15:done="0"/>
  <w15:commentEx w15:paraId="7C7CA46C" w15:done="0"/>
  <w15:commentEx w15:paraId="374F47BF" w15:done="0"/>
  <w15:commentEx w15:paraId="5CCB63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39FEF7" w16cex:dateUtc="2026-01-22T15:12:00Z"/>
  <w16cex:commentExtensible w16cex:durableId="51FF9A90" w16cex:dateUtc="2026-01-22T15:47:00Z"/>
  <w16cex:commentExtensible w16cex:durableId="1D5963B3" w16cex:dateUtc="2026-01-22T15:51:00Z"/>
  <w16cex:commentExtensible w16cex:durableId="34C2BE26" w16cex:dateUtc="2026-01-23T13:20:00Z"/>
  <w16cex:commentExtensible w16cex:durableId="618A7880" w16cex:dateUtc="2026-01-23T13: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651679" w16cid:durableId="5B39FEF7"/>
  <w16cid:commentId w16cid:paraId="74966565" w16cid:durableId="51FF9A90"/>
  <w16cid:commentId w16cid:paraId="7C7CA46C" w16cid:durableId="1D5963B3"/>
  <w16cid:commentId w16cid:paraId="374F47BF" w16cid:durableId="34C2BE26"/>
  <w16cid:commentId w16cid:paraId="5CCB6301" w16cid:durableId="618A78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BD86A" w14:textId="77777777" w:rsidR="00B947CF" w:rsidRDefault="00B947CF" w:rsidP="006157B8">
      <w:r>
        <w:separator/>
      </w:r>
    </w:p>
    <w:p w14:paraId="62BA4D72" w14:textId="77777777" w:rsidR="00B947CF" w:rsidRDefault="00B947CF"/>
    <w:p w14:paraId="203A00AF" w14:textId="77777777" w:rsidR="00B947CF" w:rsidRDefault="00B947CF"/>
    <w:p w14:paraId="6C38ED1F" w14:textId="77777777" w:rsidR="00B947CF" w:rsidRDefault="00B947CF"/>
    <w:p w14:paraId="5EEDBD43" w14:textId="77777777" w:rsidR="00B947CF" w:rsidRDefault="00B947CF"/>
  </w:endnote>
  <w:endnote w:type="continuationSeparator" w:id="0">
    <w:p w14:paraId="6D8234ED" w14:textId="77777777" w:rsidR="00B947CF" w:rsidRDefault="00B947CF" w:rsidP="006157B8">
      <w:r>
        <w:continuationSeparator/>
      </w:r>
    </w:p>
    <w:p w14:paraId="37355292" w14:textId="77777777" w:rsidR="00B947CF" w:rsidRDefault="00B947CF"/>
    <w:p w14:paraId="13AD893A" w14:textId="77777777" w:rsidR="00B947CF" w:rsidRDefault="00B947CF"/>
    <w:p w14:paraId="037635EA" w14:textId="77777777" w:rsidR="00B947CF" w:rsidRDefault="00B947CF"/>
    <w:p w14:paraId="68FEFC31" w14:textId="77777777" w:rsidR="00B947CF" w:rsidRDefault="00B947CF"/>
  </w:endnote>
  <w:endnote w:type="continuationNotice" w:id="1">
    <w:p w14:paraId="26851CCB" w14:textId="77777777" w:rsidR="00B947CF" w:rsidRDefault="00B947CF" w:rsidP="006157B8"/>
    <w:p w14:paraId="5BAE5DE1" w14:textId="77777777" w:rsidR="00B947CF" w:rsidRDefault="00B947CF"/>
    <w:p w14:paraId="4B545B2D" w14:textId="77777777" w:rsidR="00B947CF" w:rsidRDefault="00B947CF"/>
    <w:p w14:paraId="7E3AB066" w14:textId="77777777" w:rsidR="00B947CF" w:rsidRDefault="00B947CF"/>
    <w:p w14:paraId="2C8E3E34" w14:textId="77777777" w:rsidR="00B947CF" w:rsidRDefault="00B947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349E2" w14:textId="038DB71A" w:rsidR="00A363F4" w:rsidRDefault="00A363F4" w:rsidP="006627E2">
    <w:pPr>
      <w:tabs>
        <w:tab w:val="center" w:pos="4680"/>
        <w:tab w:val="right" w:pos="12960"/>
      </w:tabs>
    </w:pPr>
    <w:r w:rsidRPr="008B6766">
      <w:rPr>
        <w:sz w:val="20"/>
      </w:rPr>
      <w:t>©</w:t>
    </w:r>
    <w:r w:rsidR="00CB1F1E">
      <w:rPr>
        <w:sz w:val="20"/>
      </w:rPr>
      <w:t xml:space="preserve"> </w:t>
    </w:r>
    <w:r w:rsidRPr="008B6766">
      <w:rPr>
        <w:sz w:val="20"/>
      </w:rPr>
      <w:t>201</w:t>
    </w:r>
    <w:r>
      <w:rPr>
        <w:sz w:val="20"/>
      </w:rPr>
      <w:t>8-202</w:t>
    </w:r>
    <w:r w:rsidR="00782BB5">
      <w:rPr>
        <w:sz w:val="20"/>
      </w:rPr>
      <w:t>3</w:t>
    </w:r>
    <w:r w:rsidRPr="008B6766">
      <w:rPr>
        <w:sz w:val="20"/>
      </w:rPr>
      <w:t xml:space="preserve"> TransCelerate BioPharma</w:t>
    </w:r>
    <w:r>
      <w:rPr>
        <w:sz w:val="20"/>
      </w:rPr>
      <w:tab/>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AEB33" w14:textId="77777777" w:rsidR="00B947CF" w:rsidRDefault="00B947CF" w:rsidP="006157B8">
      <w:r>
        <w:separator/>
      </w:r>
    </w:p>
    <w:p w14:paraId="747DCA1B" w14:textId="77777777" w:rsidR="00B947CF" w:rsidRDefault="00B947CF"/>
    <w:p w14:paraId="18BF720F" w14:textId="77777777" w:rsidR="00B947CF" w:rsidRDefault="00B947CF"/>
    <w:p w14:paraId="038773DB" w14:textId="77777777" w:rsidR="00B947CF" w:rsidRDefault="00B947CF"/>
    <w:p w14:paraId="7E745A31" w14:textId="77777777" w:rsidR="00B947CF" w:rsidRDefault="00B947CF"/>
  </w:footnote>
  <w:footnote w:type="continuationSeparator" w:id="0">
    <w:p w14:paraId="4CFA125A" w14:textId="77777777" w:rsidR="00B947CF" w:rsidRDefault="00B947CF" w:rsidP="006157B8">
      <w:r>
        <w:continuationSeparator/>
      </w:r>
    </w:p>
    <w:p w14:paraId="309ED5F9" w14:textId="77777777" w:rsidR="00B947CF" w:rsidRDefault="00B947CF"/>
    <w:p w14:paraId="58836BAD" w14:textId="77777777" w:rsidR="00B947CF" w:rsidRDefault="00B947CF"/>
    <w:p w14:paraId="44C6AADB" w14:textId="77777777" w:rsidR="00B947CF" w:rsidRDefault="00B947CF"/>
    <w:p w14:paraId="149579B0" w14:textId="77777777" w:rsidR="00B947CF" w:rsidRDefault="00B947CF"/>
  </w:footnote>
  <w:footnote w:type="continuationNotice" w:id="1">
    <w:p w14:paraId="13219608" w14:textId="77777777" w:rsidR="00B947CF" w:rsidRDefault="00B947CF" w:rsidP="006157B8"/>
    <w:p w14:paraId="0A856FD9" w14:textId="77777777" w:rsidR="00B947CF" w:rsidRDefault="00B947CF"/>
    <w:p w14:paraId="3C20A17D" w14:textId="77777777" w:rsidR="00B947CF" w:rsidRDefault="00B947CF"/>
    <w:p w14:paraId="4AE00117" w14:textId="77777777" w:rsidR="00B947CF" w:rsidRDefault="00B947CF"/>
    <w:p w14:paraId="0E96B08A" w14:textId="77777777" w:rsidR="00B947CF" w:rsidRDefault="00B947C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08" w:type="dxa"/>
      <w:tblLook w:val="04A0" w:firstRow="1" w:lastRow="0" w:firstColumn="1" w:lastColumn="0" w:noHBand="0" w:noVBand="1"/>
    </w:tblPr>
    <w:tblGrid>
      <w:gridCol w:w="2019"/>
      <w:gridCol w:w="7233"/>
    </w:tblGrid>
    <w:tr w:rsidR="00A363F4" w14:paraId="3B91B6C3" w14:textId="77777777" w:rsidTr="000C4F9E">
      <w:trPr>
        <w:trHeight w:val="288"/>
      </w:trPr>
      <w:tc>
        <w:tcPr>
          <w:tcW w:w="2019" w:type="dxa"/>
          <w:tcBorders>
            <w:top w:val="nil"/>
            <w:left w:val="nil"/>
            <w:bottom w:val="nil"/>
            <w:right w:val="nil"/>
          </w:tcBorders>
        </w:tcPr>
        <w:p w14:paraId="7E78D062" w14:textId="6648B81C" w:rsidR="00A363F4" w:rsidRDefault="00A363F4" w:rsidP="25265610">
          <w:pPr>
            <w:tabs>
              <w:tab w:val="center" w:pos="6660"/>
              <w:tab w:val="right" w:pos="13230"/>
            </w:tabs>
            <w:spacing w:before="0" w:after="0" w:line="240" w:lineRule="auto"/>
            <w:rPr>
              <w:bCs/>
            </w:rPr>
          </w:pPr>
          <w:r>
            <w:t>CONFIDENTIAL</w:t>
          </w:r>
        </w:p>
      </w:tc>
      <w:tc>
        <w:tcPr>
          <w:tcW w:w="7233" w:type="dxa"/>
          <w:tcBorders>
            <w:top w:val="nil"/>
            <w:left w:val="nil"/>
            <w:bottom w:val="nil"/>
            <w:right w:val="nil"/>
          </w:tcBorders>
        </w:tcPr>
        <w:p w14:paraId="7BDF2B6C" w14:textId="48D0A213" w:rsidR="00A363F4" w:rsidRDefault="003E1C53" w:rsidP="25265610">
          <w:pPr>
            <w:tabs>
              <w:tab w:val="right" w:pos="13230"/>
            </w:tabs>
            <w:spacing w:before="0" w:after="0" w:line="240" w:lineRule="auto"/>
            <w:jc w:val="right"/>
            <w:rPr>
              <w:bCs/>
            </w:rPr>
          </w:pPr>
          <w:r>
            <w:t xml:space="preserve">ImPRESS </w:t>
          </w:r>
          <w:r w:rsidR="000C4F9E">
            <w:t xml:space="preserve">Newly diagnosed glioblastoma </w:t>
          </w:r>
          <w:r w:rsidR="00A363F4">
            <w:t>Statistical Analysis Plan</w:t>
          </w:r>
          <w:r>
            <w:t xml:space="preserve"> v0.1</w:t>
          </w:r>
          <w:r w:rsidR="00A363F4">
            <w:t xml:space="preserve"> </w:t>
          </w:r>
        </w:p>
      </w:tc>
    </w:tr>
  </w:tbl>
  <w:p w14:paraId="721747D3" w14:textId="77777777" w:rsidR="00A363F4" w:rsidRPr="006627E2" w:rsidRDefault="00A363F4" w:rsidP="006627E2">
    <w:pPr>
      <w:tabs>
        <w:tab w:val="center" w:pos="6660"/>
        <w:tab w:val="right" w:pos="13230"/>
      </w:tabs>
      <w:rPr>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99CEC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1FA2F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6AE029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E94ECA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ED67F0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4C2BE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DFA49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AC4EB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6222968"/>
    <w:lvl w:ilvl="0">
      <w:start w:val="1"/>
      <w:numFmt w:val="decimal"/>
      <w:pStyle w:val="ListNumber"/>
      <w:lvlText w:val="%1."/>
      <w:lvlJc w:val="left"/>
      <w:pPr>
        <w:tabs>
          <w:tab w:val="num" w:pos="360"/>
        </w:tabs>
        <w:ind w:left="360" w:hanging="360"/>
      </w:pPr>
    </w:lvl>
  </w:abstractNum>
  <w:abstractNum w:abstractNumId="9" w15:restartNumberingAfterBreak="0">
    <w:nsid w:val="00B24F4A"/>
    <w:multiLevelType w:val="multilevel"/>
    <w:tmpl w:val="E49CC518"/>
    <w:lvl w:ilvl="0">
      <w:start w:val="1"/>
      <w:numFmt w:val="decimal"/>
      <w:lvlText w:val="%1."/>
      <w:lvlJc w:val="left"/>
      <w:pPr>
        <w:ind w:left="3338" w:hanging="360"/>
      </w:pPr>
      <w:rPr>
        <w:rFonts w:ascii="Times New Roman" w:hAnsi="Times New Roman" w:hint="default"/>
        <w:b/>
        <w:i w:val="0"/>
        <w:caps w:val="0"/>
        <w:strike w:val="0"/>
        <w:dstrike w:val="0"/>
        <w:snapToGrid w:val="0"/>
        <w:vanish w:val="0"/>
        <w:color w:val="auto"/>
        <w:spacing w:val="0"/>
        <w:w w:val="100"/>
        <w:kern w:val="0"/>
        <w:position w:val="0"/>
        <w:sz w:val="32"/>
        <w:u w:val="none"/>
        <w:vertAlign w:val="baseline"/>
      </w:rPr>
    </w:lvl>
    <w:lvl w:ilvl="1">
      <w:start w:val="1"/>
      <w:numFmt w:val="decimal"/>
      <w:lvlText w:val="%1.%2."/>
      <w:lvlJc w:val="left"/>
      <w:pPr>
        <w:tabs>
          <w:tab w:val="num" w:pos="720"/>
        </w:tabs>
        <w:ind w:left="720" w:hanging="720"/>
      </w:pPr>
      <w:rPr>
        <w:rFonts w:ascii="Arial" w:eastAsia="MS Gothic" w:hAnsi="Arial" w:cs="Times New Roman" w:hint="default"/>
        <w:b/>
        <w:i w:val="0"/>
        <w:caps w:val="0"/>
        <w:strike w:val="0"/>
        <w:dstrike w:val="0"/>
        <w:snapToGrid w:val="0"/>
        <w:vanish w:val="0"/>
        <w:color w:val="auto"/>
        <w:spacing w:val="0"/>
        <w:w w:val="100"/>
        <w:kern w:val="0"/>
        <w:position w:val="0"/>
        <w:sz w:val="24"/>
        <w:u w:val="none"/>
        <w:effect w:val="none"/>
        <w:vertAlign w:val="baseline"/>
      </w:rPr>
    </w:lvl>
    <w:lvl w:ilvl="2">
      <w:start w:val="1"/>
      <w:numFmt w:val="decimal"/>
      <w:lvlText w:val="%1.%2.%3."/>
      <w:lvlJc w:val="left"/>
      <w:pPr>
        <w:tabs>
          <w:tab w:val="num" w:pos="3738"/>
        </w:tabs>
        <w:ind w:left="3738" w:hanging="902"/>
      </w:pPr>
      <w:rPr>
        <w:rFonts w:ascii="Arial" w:eastAsia="MS Gothic" w:hAnsi="Arial" w:cs="Times New Roman" w:hint="default"/>
        <w:b/>
        <w:i/>
        <w:caps w:val="0"/>
        <w:strike w:val="0"/>
        <w:dstrike w:val="0"/>
        <w:snapToGrid w:val="0"/>
        <w:vanish w:val="0"/>
        <w:color w:val="auto"/>
        <w:spacing w:val="0"/>
        <w:w w:val="100"/>
        <w:kern w:val="0"/>
        <w:position w:val="0"/>
        <w:sz w:val="28"/>
        <w:u w:val="none"/>
        <w:vertAlign w:val="baseline"/>
      </w:rPr>
    </w:lvl>
    <w:lvl w:ilvl="3">
      <w:start w:val="1"/>
      <w:numFmt w:val="decimal"/>
      <w:lvlText w:val="%1.%2.%3.%4."/>
      <w:lvlJc w:val="left"/>
      <w:pPr>
        <w:tabs>
          <w:tab w:val="num" w:pos="1009"/>
        </w:tabs>
        <w:ind w:left="1009" w:hanging="1009"/>
      </w:pPr>
      <w:rPr>
        <w:rFonts w:ascii="Arial" w:eastAsia="MS Gothic" w:hAnsi="Arial" w:cs="Times New Roman" w:hint="default"/>
        <w:b/>
        <w:i w:val="0"/>
        <w:caps w:val="0"/>
        <w:strike w:val="0"/>
        <w:dstrike w:val="0"/>
        <w:snapToGrid w:val="0"/>
        <w:vanish w:val="0"/>
        <w:color w:val="auto"/>
        <w:spacing w:val="0"/>
        <w:w w:val="100"/>
        <w:kern w:val="0"/>
        <w:position w:val="0"/>
        <w:sz w:val="24"/>
        <w:u w:val="none"/>
        <w:vertAlign w:val="baseline"/>
      </w:rPr>
    </w:lvl>
    <w:lvl w:ilvl="4">
      <w:start w:val="1"/>
      <w:numFmt w:val="decimal"/>
      <w:lvlText w:val="%1.%2.%3.%4.%5."/>
      <w:lvlJc w:val="left"/>
      <w:pPr>
        <w:tabs>
          <w:tab w:val="num" w:pos="1168"/>
        </w:tabs>
        <w:ind w:left="1168" w:hanging="1168"/>
      </w:pPr>
      <w:rPr>
        <w:rFonts w:ascii="Arial" w:eastAsia="MS Gothic" w:hAnsi="Arial" w:cs="Times New Roman" w:hint="default"/>
        <w:b/>
        <w:i/>
        <w:caps w:val="0"/>
        <w:strike w:val="0"/>
        <w:dstrike w:val="0"/>
        <w:snapToGrid w:val="0"/>
        <w:vanish w:val="0"/>
        <w:color w:val="auto"/>
        <w:spacing w:val="0"/>
        <w:w w:val="100"/>
        <w:kern w:val="0"/>
        <w:position w:val="0"/>
        <w:sz w:val="24"/>
        <w:u w:val="none"/>
        <w:vertAlign w:val="baseline"/>
      </w:rPr>
    </w:lvl>
    <w:lvl w:ilvl="5">
      <w:start w:val="1"/>
      <w:numFmt w:val="decimal"/>
      <w:lvlText w:val="%1.%2.%3.%4.%5.%6."/>
      <w:lvlJc w:val="left"/>
      <w:pPr>
        <w:tabs>
          <w:tab w:val="num" w:pos="1355"/>
        </w:tabs>
        <w:ind w:left="1355" w:hanging="1355"/>
      </w:pPr>
      <w:rPr>
        <w:rFonts w:ascii="Arial" w:eastAsia="MS Gothic" w:hAnsi="Arial" w:cs="Times New Roman" w:hint="default"/>
        <w:b/>
        <w:i w:val="0"/>
        <w:caps w:val="0"/>
        <w:strike w:val="0"/>
        <w:dstrike w:val="0"/>
        <w:snapToGrid w:val="0"/>
        <w:vanish w:val="0"/>
        <w:color w:val="auto"/>
        <w:spacing w:val="0"/>
        <w:w w:val="100"/>
        <w:kern w:val="0"/>
        <w:position w:val="0"/>
        <w:sz w:val="22"/>
        <w:u w:val="none"/>
        <w:vertAlign w:val="baseline"/>
      </w:rPr>
    </w:lvl>
    <w:lvl w:ilvl="6">
      <w:start w:val="1"/>
      <w:numFmt w:val="decimal"/>
      <w:pStyle w:val="Heading7"/>
      <w:lvlText w:val="%1.%2.%3.%4.%5.%6.%7."/>
      <w:lvlJc w:val="left"/>
      <w:pPr>
        <w:tabs>
          <w:tab w:val="num" w:pos="1531"/>
        </w:tabs>
        <w:ind w:left="1531" w:hanging="1531"/>
      </w:pPr>
      <w:rPr>
        <w:rFonts w:ascii="Arial" w:eastAsia="MS Gothic" w:hAnsi="Arial" w:cs="Times New Roman" w:hint="default"/>
        <w:b/>
        <w:i/>
        <w:caps w:val="0"/>
        <w:strike w:val="0"/>
        <w:dstrike w:val="0"/>
        <w:snapToGrid w:val="0"/>
        <w:vanish w:val="0"/>
        <w:color w:val="auto"/>
        <w:spacing w:val="0"/>
        <w:w w:val="100"/>
        <w:kern w:val="0"/>
        <w:position w:val="0"/>
        <w:sz w:val="22"/>
        <w:u w:val="none"/>
        <w:vertAlign w:val="baseline"/>
      </w:rPr>
    </w:lvl>
    <w:lvl w:ilvl="7">
      <w:start w:val="1"/>
      <w:numFmt w:val="decimal"/>
      <w:pStyle w:val="Heading8"/>
      <w:lvlText w:val="%1.%2.%3.%4.%5.%6.%7.%8."/>
      <w:lvlJc w:val="left"/>
      <w:pPr>
        <w:tabs>
          <w:tab w:val="num" w:pos="1758"/>
        </w:tabs>
        <w:ind w:left="1758" w:hanging="1758"/>
      </w:pPr>
      <w:rPr>
        <w:rFonts w:ascii="Arial" w:eastAsia="MS Gothic" w:hAnsi="Arial" w:cs="Times New Roman" w:hint="default"/>
        <w:b/>
        <w:i w:val="0"/>
        <w:caps w:val="0"/>
        <w:strike w:val="0"/>
        <w:dstrike w:val="0"/>
        <w:snapToGrid w:val="0"/>
        <w:vanish w:val="0"/>
        <w:color w:val="auto"/>
        <w:spacing w:val="0"/>
        <w:w w:val="100"/>
        <w:kern w:val="0"/>
        <w:position w:val="0"/>
        <w:sz w:val="21"/>
        <w:u w:val="none"/>
        <w:vertAlign w:val="baseline"/>
      </w:rPr>
    </w:lvl>
    <w:lvl w:ilvl="8">
      <w:start w:val="1"/>
      <w:numFmt w:val="decimal"/>
      <w:pStyle w:val="Heading9"/>
      <w:lvlText w:val="%1.%2.%3.%4.%5.%6.%7.%8.%9."/>
      <w:lvlJc w:val="left"/>
      <w:pPr>
        <w:tabs>
          <w:tab w:val="num" w:pos="1985"/>
        </w:tabs>
        <w:ind w:left="1985" w:hanging="1985"/>
      </w:pPr>
      <w:rPr>
        <w:rFonts w:ascii="Arial" w:eastAsia="MS Gothic" w:hAnsi="Arial" w:cs="Times New Roman" w:hint="default"/>
        <w:b/>
        <w:i/>
        <w:caps w:val="0"/>
        <w:strike w:val="0"/>
        <w:dstrike w:val="0"/>
        <w:snapToGrid w:val="0"/>
        <w:vanish w:val="0"/>
        <w:color w:val="auto"/>
        <w:spacing w:val="0"/>
        <w:w w:val="100"/>
        <w:kern w:val="0"/>
        <w:position w:val="0"/>
        <w:sz w:val="21"/>
        <w:u w:val="none"/>
        <w:vertAlign w:val="baseline"/>
      </w:rPr>
    </w:lvl>
  </w:abstractNum>
  <w:abstractNum w:abstractNumId="10" w15:restartNumberingAfterBreak="0">
    <w:nsid w:val="093853D5"/>
    <w:multiLevelType w:val="multilevel"/>
    <w:tmpl w:val="B55A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FC1AB3"/>
    <w:multiLevelType w:val="hybridMultilevel"/>
    <w:tmpl w:val="D5FEF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34E4DA5"/>
    <w:multiLevelType w:val="multilevel"/>
    <w:tmpl w:val="2184087E"/>
    <w:numStyleLink w:val="CPTB"/>
  </w:abstractNum>
  <w:abstractNum w:abstractNumId="13" w15:restartNumberingAfterBreak="0">
    <w:nsid w:val="13915908"/>
    <w:multiLevelType w:val="multilevel"/>
    <w:tmpl w:val="8F7626A6"/>
    <w:numStyleLink w:val="CPTN"/>
  </w:abstractNum>
  <w:abstractNum w:abstractNumId="14" w15:restartNumberingAfterBreak="0">
    <w:nsid w:val="13F13CDC"/>
    <w:multiLevelType w:val="hybridMultilevel"/>
    <w:tmpl w:val="E4120D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16074AE3"/>
    <w:multiLevelType w:val="hybridMultilevel"/>
    <w:tmpl w:val="F8D480B2"/>
    <w:lvl w:ilvl="0" w:tplc="C62C034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6DF0B03"/>
    <w:multiLevelType w:val="multilevel"/>
    <w:tmpl w:val="2340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373829"/>
    <w:multiLevelType w:val="multilevel"/>
    <w:tmpl w:val="740A2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EC2DF5"/>
    <w:multiLevelType w:val="hybridMultilevel"/>
    <w:tmpl w:val="5FC2EF46"/>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1AF60527"/>
    <w:multiLevelType w:val="hybridMultilevel"/>
    <w:tmpl w:val="CC846F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1E3E62BC"/>
    <w:multiLevelType w:val="multilevel"/>
    <w:tmpl w:val="03EA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C845CD"/>
    <w:multiLevelType w:val="hybridMultilevel"/>
    <w:tmpl w:val="FDE6EC1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2" w15:restartNumberingAfterBreak="0">
    <w:nsid w:val="24883C00"/>
    <w:multiLevelType w:val="hybridMultilevel"/>
    <w:tmpl w:val="0B3E8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00604E"/>
    <w:multiLevelType w:val="hybridMultilevel"/>
    <w:tmpl w:val="15C6D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99043E5"/>
    <w:multiLevelType w:val="hybridMultilevel"/>
    <w:tmpl w:val="3356B8F2"/>
    <w:lvl w:ilvl="0" w:tplc="1D4A00F6">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B2B5085"/>
    <w:multiLevelType w:val="hybridMultilevel"/>
    <w:tmpl w:val="A4EEE6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DBE0276"/>
    <w:multiLevelType w:val="multilevel"/>
    <w:tmpl w:val="8F7626A6"/>
    <w:styleLink w:val="CPTN"/>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27" w15:restartNumberingAfterBreak="0">
    <w:nsid w:val="337D10AA"/>
    <w:multiLevelType w:val="hybridMultilevel"/>
    <w:tmpl w:val="1DEC55F8"/>
    <w:lvl w:ilvl="0" w:tplc="70280948">
      <w:start w:val="1"/>
      <w:numFmt w:val="bullet"/>
      <w:lvlText w:val=""/>
      <w:lvlJc w:val="left"/>
      <w:pPr>
        <w:ind w:left="720" w:hanging="360"/>
      </w:pPr>
      <w:rPr>
        <w:rFonts w:ascii="Symbol" w:hAnsi="Symbol" w:hint="default"/>
      </w:rPr>
    </w:lvl>
    <w:lvl w:ilvl="1" w:tplc="4B7073DA">
      <w:start w:val="1"/>
      <w:numFmt w:val="bullet"/>
      <w:lvlText w:val="o"/>
      <w:lvlJc w:val="left"/>
      <w:pPr>
        <w:ind w:left="1440" w:hanging="360"/>
      </w:pPr>
      <w:rPr>
        <w:rFonts w:ascii="Courier New" w:hAnsi="Courier New" w:hint="default"/>
      </w:rPr>
    </w:lvl>
    <w:lvl w:ilvl="2" w:tplc="FF504102">
      <w:start w:val="1"/>
      <w:numFmt w:val="bullet"/>
      <w:lvlText w:val=""/>
      <w:lvlJc w:val="left"/>
      <w:pPr>
        <w:ind w:left="2160" w:hanging="360"/>
      </w:pPr>
      <w:rPr>
        <w:rFonts w:ascii="Wingdings" w:hAnsi="Wingdings" w:hint="default"/>
      </w:rPr>
    </w:lvl>
    <w:lvl w:ilvl="3" w:tplc="5F00FAAC">
      <w:start w:val="1"/>
      <w:numFmt w:val="bullet"/>
      <w:lvlText w:val=""/>
      <w:lvlJc w:val="left"/>
      <w:pPr>
        <w:ind w:left="2880" w:hanging="360"/>
      </w:pPr>
      <w:rPr>
        <w:rFonts w:ascii="Symbol" w:hAnsi="Symbol" w:hint="default"/>
      </w:rPr>
    </w:lvl>
    <w:lvl w:ilvl="4" w:tplc="2DB00792">
      <w:start w:val="1"/>
      <w:numFmt w:val="bullet"/>
      <w:lvlText w:val="o"/>
      <w:lvlJc w:val="left"/>
      <w:pPr>
        <w:ind w:left="3600" w:hanging="360"/>
      </w:pPr>
      <w:rPr>
        <w:rFonts w:ascii="Courier New" w:hAnsi="Courier New" w:hint="default"/>
      </w:rPr>
    </w:lvl>
    <w:lvl w:ilvl="5" w:tplc="DD3A9C36">
      <w:start w:val="1"/>
      <w:numFmt w:val="bullet"/>
      <w:lvlText w:val=""/>
      <w:lvlJc w:val="left"/>
      <w:pPr>
        <w:ind w:left="4320" w:hanging="360"/>
      </w:pPr>
      <w:rPr>
        <w:rFonts w:ascii="Wingdings" w:hAnsi="Wingdings" w:hint="default"/>
      </w:rPr>
    </w:lvl>
    <w:lvl w:ilvl="6" w:tplc="3B4C49D0">
      <w:start w:val="1"/>
      <w:numFmt w:val="bullet"/>
      <w:lvlText w:val=""/>
      <w:lvlJc w:val="left"/>
      <w:pPr>
        <w:ind w:left="5040" w:hanging="360"/>
      </w:pPr>
      <w:rPr>
        <w:rFonts w:ascii="Symbol" w:hAnsi="Symbol" w:hint="default"/>
      </w:rPr>
    </w:lvl>
    <w:lvl w:ilvl="7" w:tplc="3E662EFC">
      <w:start w:val="1"/>
      <w:numFmt w:val="bullet"/>
      <w:lvlText w:val="o"/>
      <w:lvlJc w:val="left"/>
      <w:pPr>
        <w:ind w:left="5760" w:hanging="360"/>
      </w:pPr>
      <w:rPr>
        <w:rFonts w:ascii="Courier New" w:hAnsi="Courier New" w:hint="default"/>
      </w:rPr>
    </w:lvl>
    <w:lvl w:ilvl="8" w:tplc="D5941D86">
      <w:start w:val="1"/>
      <w:numFmt w:val="bullet"/>
      <w:lvlText w:val=""/>
      <w:lvlJc w:val="left"/>
      <w:pPr>
        <w:ind w:left="6480" w:hanging="360"/>
      </w:pPr>
      <w:rPr>
        <w:rFonts w:ascii="Wingdings" w:hAnsi="Wingdings" w:hint="default"/>
      </w:rPr>
    </w:lvl>
  </w:abstractNum>
  <w:abstractNum w:abstractNumId="28" w15:restartNumberingAfterBreak="0">
    <w:nsid w:val="346F4415"/>
    <w:multiLevelType w:val="hybridMultilevel"/>
    <w:tmpl w:val="6340F2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60C29AA"/>
    <w:multiLevelType w:val="multilevel"/>
    <w:tmpl w:val="FAC0465C"/>
    <w:lvl w:ilvl="0">
      <w:start w:val="3"/>
      <w:numFmt w:val="decimal"/>
      <w:lvlText w:val="%1"/>
      <w:lvlJc w:val="left"/>
      <w:pPr>
        <w:ind w:left="375" w:hanging="375"/>
      </w:pPr>
      <w:rPr>
        <w:rFonts w:hint="default"/>
      </w:rPr>
    </w:lvl>
    <w:lvl w:ilvl="1">
      <w:start w:val="1"/>
      <w:numFmt w:val="decimal"/>
      <w:lvlText w:val="%1.%2"/>
      <w:lvlJc w:val="left"/>
      <w:pPr>
        <w:ind w:left="735" w:hanging="375"/>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3A1D1A4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DFC3BE7"/>
    <w:multiLevelType w:val="hybridMultilevel"/>
    <w:tmpl w:val="FFC865A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0623D26"/>
    <w:multiLevelType w:val="multilevel"/>
    <w:tmpl w:val="4C06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7E5D3B"/>
    <w:multiLevelType w:val="hybridMultilevel"/>
    <w:tmpl w:val="DC3EDD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408C6C6C"/>
    <w:multiLevelType w:val="hybridMultilevel"/>
    <w:tmpl w:val="80D84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2120153"/>
    <w:multiLevelType w:val="hybridMultilevel"/>
    <w:tmpl w:val="E5F204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6" w15:restartNumberingAfterBreak="0">
    <w:nsid w:val="42B557A9"/>
    <w:multiLevelType w:val="multilevel"/>
    <w:tmpl w:val="2184087E"/>
    <w:styleLink w:val="CPTB"/>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437C35ED"/>
    <w:multiLevelType w:val="hybridMultilevel"/>
    <w:tmpl w:val="1C22BFA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5F16734"/>
    <w:multiLevelType w:val="hybridMultilevel"/>
    <w:tmpl w:val="250232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7A12AB3"/>
    <w:multiLevelType w:val="hybridMultilevel"/>
    <w:tmpl w:val="83A85B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0" w15:restartNumberingAfterBreak="0">
    <w:nsid w:val="4D1B4F5D"/>
    <w:multiLevelType w:val="hybridMultilevel"/>
    <w:tmpl w:val="E1180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F3B5C63"/>
    <w:multiLevelType w:val="hybridMultilevel"/>
    <w:tmpl w:val="1C22BF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F4C635E"/>
    <w:multiLevelType w:val="hybridMultilevel"/>
    <w:tmpl w:val="CDD63D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1AC7A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4" w15:restartNumberingAfterBreak="0">
    <w:nsid w:val="5884165F"/>
    <w:multiLevelType w:val="hybridMultilevel"/>
    <w:tmpl w:val="FFFFFFFF"/>
    <w:lvl w:ilvl="0" w:tplc="CAE8B076">
      <w:start w:val="1"/>
      <w:numFmt w:val="bullet"/>
      <w:lvlText w:val=""/>
      <w:lvlJc w:val="left"/>
      <w:pPr>
        <w:ind w:left="720" w:hanging="360"/>
      </w:pPr>
      <w:rPr>
        <w:rFonts w:ascii="Symbol" w:hAnsi="Symbol" w:hint="default"/>
      </w:rPr>
    </w:lvl>
    <w:lvl w:ilvl="1" w:tplc="3E42D65E">
      <w:start w:val="1"/>
      <w:numFmt w:val="bullet"/>
      <w:lvlText w:val="o"/>
      <w:lvlJc w:val="left"/>
      <w:pPr>
        <w:ind w:left="1440" w:hanging="360"/>
      </w:pPr>
      <w:rPr>
        <w:rFonts w:ascii="Courier New" w:hAnsi="Courier New" w:cs="Times New Roman" w:hint="default"/>
      </w:rPr>
    </w:lvl>
    <w:lvl w:ilvl="2" w:tplc="4F803D14">
      <w:start w:val="1"/>
      <w:numFmt w:val="bullet"/>
      <w:lvlText w:val=""/>
      <w:lvlJc w:val="left"/>
      <w:pPr>
        <w:ind w:left="2160" w:hanging="360"/>
      </w:pPr>
      <w:rPr>
        <w:rFonts w:ascii="Wingdings" w:hAnsi="Wingdings" w:hint="default"/>
      </w:rPr>
    </w:lvl>
    <w:lvl w:ilvl="3" w:tplc="AEBAA826">
      <w:start w:val="1"/>
      <w:numFmt w:val="bullet"/>
      <w:lvlText w:val=""/>
      <w:lvlJc w:val="left"/>
      <w:pPr>
        <w:ind w:left="2880" w:hanging="360"/>
      </w:pPr>
      <w:rPr>
        <w:rFonts w:ascii="Symbol" w:hAnsi="Symbol" w:hint="default"/>
      </w:rPr>
    </w:lvl>
    <w:lvl w:ilvl="4" w:tplc="6852983E">
      <w:start w:val="1"/>
      <w:numFmt w:val="bullet"/>
      <w:lvlText w:val="o"/>
      <w:lvlJc w:val="left"/>
      <w:pPr>
        <w:ind w:left="3600" w:hanging="360"/>
      </w:pPr>
      <w:rPr>
        <w:rFonts w:ascii="Courier New" w:hAnsi="Courier New" w:cs="Times New Roman" w:hint="default"/>
      </w:rPr>
    </w:lvl>
    <w:lvl w:ilvl="5" w:tplc="2522FD98">
      <w:start w:val="1"/>
      <w:numFmt w:val="bullet"/>
      <w:lvlText w:val=""/>
      <w:lvlJc w:val="left"/>
      <w:pPr>
        <w:ind w:left="4320" w:hanging="360"/>
      </w:pPr>
      <w:rPr>
        <w:rFonts w:ascii="Wingdings" w:hAnsi="Wingdings" w:hint="default"/>
      </w:rPr>
    </w:lvl>
    <w:lvl w:ilvl="6" w:tplc="3258BD04">
      <w:start w:val="1"/>
      <w:numFmt w:val="bullet"/>
      <w:lvlText w:val=""/>
      <w:lvlJc w:val="left"/>
      <w:pPr>
        <w:ind w:left="5040" w:hanging="360"/>
      </w:pPr>
      <w:rPr>
        <w:rFonts w:ascii="Symbol" w:hAnsi="Symbol" w:hint="default"/>
      </w:rPr>
    </w:lvl>
    <w:lvl w:ilvl="7" w:tplc="B72CC03A">
      <w:start w:val="1"/>
      <w:numFmt w:val="bullet"/>
      <w:lvlText w:val="o"/>
      <w:lvlJc w:val="left"/>
      <w:pPr>
        <w:ind w:left="5760" w:hanging="360"/>
      </w:pPr>
      <w:rPr>
        <w:rFonts w:ascii="Courier New" w:hAnsi="Courier New" w:cs="Times New Roman" w:hint="default"/>
      </w:rPr>
    </w:lvl>
    <w:lvl w:ilvl="8" w:tplc="29FC2AB8">
      <w:start w:val="1"/>
      <w:numFmt w:val="bullet"/>
      <w:lvlText w:val=""/>
      <w:lvlJc w:val="left"/>
      <w:pPr>
        <w:ind w:left="6480" w:hanging="360"/>
      </w:pPr>
      <w:rPr>
        <w:rFonts w:ascii="Wingdings" w:hAnsi="Wingdings" w:hint="default"/>
      </w:rPr>
    </w:lvl>
  </w:abstractNum>
  <w:abstractNum w:abstractNumId="45" w15:restartNumberingAfterBreak="0">
    <w:nsid w:val="593641C7"/>
    <w:multiLevelType w:val="hybridMultilevel"/>
    <w:tmpl w:val="55503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9CE7641"/>
    <w:multiLevelType w:val="hybridMultilevel"/>
    <w:tmpl w:val="1C22BF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C4C0D08"/>
    <w:multiLevelType w:val="hybridMultilevel"/>
    <w:tmpl w:val="D2CA15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DB11386"/>
    <w:multiLevelType w:val="hybridMultilevel"/>
    <w:tmpl w:val="7FE4E5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9" w15:restartNumberingAfterBreak="0">
    <w:nsid w:val="5DB95DBC"/>
    <w:multiLevelType w:val="multilevel"/>
    <w:tmpl w:val="630E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C04D77"/>
    <w:multiLevelType w:val="hybridMultilevel"/>
    <w:tmpl w:val="07A24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12D425C"/>
    <w:multiLevelType w:val="multilevel"/>
    <w:tmpl w:val="160E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FD5896"/>
    <w:multiLevelType w:val="hybridMultilevel"/>
    <w:tmpl w:val="6F6AA1EA"/>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3114768"/>
    <w:multiLevelType w:val="hybridMultilevel"/>
    <w:tmpl w:val="57E202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56C3793"/>
    <w:multiLevelType w:val="multilevel"/>
    <w:tmpl w:val="FC68BD5E"/>
    <w:lvl w:ilvl="0">
      <w:start w:val="1"/>
      <w:numFmt w:val="decimal"/>
      <w:pStyle w:val="Heading1"/>
      <w:lvlText w:val="%1."/>
      <w:lvlJc w:val="left"/>
      <w:pPr>
        <w:ind w:left="108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Heading2"/>
      <w:lvlText w:val="%1.%2."/>
      <w:lvlJc w:val="left"/>
      <w:pPr>
        <w:ind w:left="126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lvlText w:val="%1.%2.%3."/>
      <w:lvlJc w:val="left"/>
      <w:pPr>
        <w:ind w:left="1080" w:hanging="108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tabs>
          <w:tab w:val="num" w:pos="1080"/>
        </w:tabs>
        <w:ind w:left="1080" w:hanging="1080"/>
      </w:pPr>
      <w:rPr>
        <w:rFonts w:hint="default"/>
      </w:rPr>
    </w:lvl>
    <w:lvl w:ilvl="5">
      <w:start w:val="1"/>
      <w:numFmt w:val="decimal"/>
      <w:pStyle w:val="Heading6"/>
      <w:lvlText w:val="%1.%2.%3.%4.%5.%6."/>
      <w:lvlJc w:val="left"/>
      <w:pPr>
        <w:tabs>
          <w:tab w:val="num" w:pos="1080"/>
        </w:tabs>
        <w:ind w:left="10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66AB05D7"/>
    <w:multiLevelType w:val="hybridMultilevel"/>
    <w:tmpl w:val="52061CD6"/>
    <w:lvl w:ilvl="0" w:tplc="97EEFBAE">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7532020"/>
    <w:multiLevelType w:val="multilevel"/>
    <w:tmpl w:val="6B52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7D5C4F"/>
    <w:multiLevelType w:val="hybridMultilevel"/>
    <w:tmpl w:val="241C9E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AB90546"/>
    <w:multiLevelType w:val="multilevel"/>
    <w:tmpl w:val="E6B0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F17F6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0" w15:restartNumberingAfterBreak="0">
    <w:nsid w:val="6EAE61D7"/>
    <w:multiLevelType w:val="hybridMultilevel"/>
    <w:tmpl w:val="60760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FA96982"/>
    <w:multiLevelType w:val="hybridMultilevel"/>
    <w:tmpl w:val="2688B502"/>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3CD5F9C"/>
    <w:multiLevelType w:val="hybridMultilevel"/>
    <w:tmpl w:val="59FEEC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3" w15:restartNumberingAfterBreak="0">
    <w:nsid w:val="7B6A6B2F"/>
    <w:multiLevelType w:val="multilevel"/>
    <w:tmpl w:val="898C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138612">
    <w:abstractNumId w:val="9"/>
  </w:num>
  <w:num w:numId="2" w16cid:durableId="726031371">
    <w:abstractNumId w:val="54"/>
  </w:num>
  <w:num w:numId="3" w16cid:durableId="1876039558">
    <w:abstractNumId w:val="40"/>
  </w:num>
  <w:num w:numId="4" w16cid:durableId="127360002">
    <w:abstractNumId w:val="30"/>
  </w:num>
  <w:num w:numId="5" w16cid:durableId="1136214339">
    <w:abstractNumId w:val="59"/>
  </w:num>
  <w:num w:numId="6" w16cid:durableId="305474895">
    <w:abstractNumId w:val="43"/>
  </w:num>
  <w:num w:numId="7" w16cid:durableId="243495310">
    <w:abstractNumId w:val="6"/>
  </w:num>
  <w:num w:numId="8" w16cid:durableId="1548685020">
    <w:abstractNumId w:val="5"/>
  </w:num>
  <w:num w:numId="9" w16cid:durableId="106312677">
    <w:abstractNumId w:val="4"/>
  </w:num>
  <w:num w:numId="10" w16cid:durableId="1151407869">
    <w:abstractNumId w:val="8"/>
  </w:num>
  <w:num w:numId="11" w16cid:durableId="847401683">
    <w:abstractNumId w:val="3"/>
  </w:num>
  <w:num w:numId="12" w16cid:durableId="1641570355">
    <w:abstractNumId w:val="2"/>
  </w:num>
  <w:num w:numId="13" w16cid:durableId="2136753753">
    <w:abstractNumId w:val="1"/>
  </w:num>
  <w:num w:numId="14" w16cid:durableId="1624267822">
    <w:abstractNumId w:val="0"/>
  </w:num>
  <w:num w:numId="15" w16cid:durableId="681392737">
    <w:abstractNumId w:val="28"/>
  </w:num>
  <w:num w:numId="16" w16cid:durableId="727999802">
    <w:abstractNumId w:val="47"/>
  </w:num>
  <w:num w:numId="17" w16cid:durableId="501942779">
    <w:abstractNumId w:val="61"/>
  </w:num>
  <w:num w:numId="18" w16cid:durableId="285894879">
    <w:abstractNumId w:val="18"/>
  </w:num>
  <w:num w:numId="19" w16cid:durableId="1836140568">
    <w:abstractNumId w:val="7"/>
  </w:num>
  <w:num w:numId="20" w16cid:durableId="984503606">
    <w:abstractNumId w:val="55"/>
  </w:num>
  <w:num w:numId="21" w16cid:durableId="189144711">
    <w:abstractNumId w:val="36"/>
  </w:num>
  <w:num w:numId="22" w16cid:durableId="1961109835">
    <w:abstractNumId w:val="12"/>
  </w:num>
  <w:num w:numId="23" w16cid:durableId="1492675870">
    <w:abstractNumId w:val="26"/>
  </w:num>
  <w:num w:numId="24" w16cid:durableId="461270433">
    <w:abstractNumId w:val="47"/>
  </w:num>
  <w:num w:numId="25" w16cid:durableId="283387334">
    <w:abstractNumId w:val="52"/>
  </w:num>
  <w:num w:numId="26" w16cid:durableId="300230720">
    <w:abstractNumId w:val="22"/>
  </w:num>
  <w:num w:numId="27" w16cid:durableId="1804225028">
    <w:abstractNumId w:val="44"/>
  </w:num>
  <w:num w:numId="28" w16cid:durableId="1076829044">
    <w:abstractNumId w:val="21"/>
  </w:num>
  <w:num w:numId="29" w16cid:durableId="1308896810">
    <w:abstractNumId w:val="14"/>
  </w:num>
  <w:num w:numId="30" w16cid:durableId="703213273">
    <w:abstractNumId w:val="39"/>
  </w:num>
  <w:num w:numId="31" w16cid:durableId="995567269">
    <w:abstractNumId w:val="19"/>
  </w:num>
  <w:num w:numId="32" w16cid:durableId="593127885">
    <w:abstractNumId w:val="35"/>
  </w:num>
  <w:num w:numId="33" w16cid:durableId="1456948145">
    <w:abstractNumId w:val="62"/>
  </w:num>
  <w:num w:numId="34" w16cid:durableId="2027291495">
    <w:abstractNumId w:val="45"/>
  </w:num>
  <w:num w:numId="35" w16cid:durableId="85614759">
    <w:abstractNumId w:val="61"/>
  </w:num>
  <w:num w:numId="36" w16cid:durableId="188030727">
    <w:abstractNumId w:val="57"/>
  </w:num>
  <w:num w:numId="37" w16cid:durableId="721831541">
    <w:abstractNumId w:val="34"/>
  </w:num>
  <w:num w:numId="38" w16cid:durableId="179466743">
    <w:abstractNumId w:val="60"/>
  </w:num>
  <w:num w:numId="39" w16cid:durableId="1911580129">
    <w:abstractNumId w:val="11"/>
  </w:num>
  <w:num w:numId="40" w16cid:durableId="948507100">
    <w:abstractNumId w:val="48"/>
  </w:num>
  <w:num w:numId="41" w16cid:durableId="1424375508">
    <w:abstractNumId w:val="27"/>
  </w:num>
  <w:num w:numId="42" w16cid:durableId="178353493">
    <w:abstractNumId w:val="25"/>
  </w:num>
  <w:num w:numId="43" w16cid:durableId="1228229882">
    <w:abstractNumId w:val="12"/>
  </w:num>
  <w:num w:numId="44" w16cid:durableId="2053460542">
    <w:abstractNumId w:val="13"/>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45" w16cid:durableId="1780954928">
    <w:abstractNumId w:val="12"/>
  </w:num>
  <w:num w:numId="46" w16cid:durableId="18238561">
    <w:abstractNumId w:val="13"/>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47" w16cid:durableId="287972551">
    <w:abstractNumId w:val="50"/>
  </w:num>
  <w:num w:numId="48" w16cid:durableId="1059985089">
    <w:abstractNumId w:val="33"/>
  </w:num>
  <w:num w:numId="49" w16cid:durableId="1997223714">
    <w:abstractNumId w:val="53"/>
  </w:num>
  <w:num w:numId="50" w16cid:durableId="1225142554">
    <w:abstractNumId w:val="38"/>
  </w:num>
  <w:num w:numId="51" w16cid:durableId="1501383263">
    <w:abstractNumId w:val="42"/>
  </w:num>
  <w:num w:numId="52" w16cid:durableId="1872650329">
    <w:abstractNumId w:val="37"/>
  </w:num>
  <w:num w:numId="53" w16cid:durableId="1062019971">
    <w:abstractNumId w:val="29"/>
  </w:num>
  <w:num w:numId="54" w16cid:durableId="824587848">
    <w:abstractNumId w:val="23"/>
  </w:num>
  <w:num w:numId="55" w16cid:durableId="884830859">
    <w:abstractNumId w:val="15"/>
  </w:num>
  <w:num w:numId="56" w16cid:durableId="1528058508">
    <w:abstractNumId w:val="46"/>
  </w:num>
  <w:num w:numId="57" w16cid:durableId="390278160">
    <w:abstractNumId w:val="24"/>
  </w:num>
  <w:num w:numId="58" w16cid:durableId="113408032">
    <w:abstractNumId w:val="41"/>
  </w:num>
  <w:num w:numId="59" w16cid:durableId="1867984821">
    <w:abstractNumId w:val="31"/>
  </w:num>
  <w:num w:numId="60" w16cid:durableId="1789859913">
    <w:abstractNumId w:val="16"/>
  </w:num>
  <w:num w:numId="61" w16cid:durableId="1192034495">
    <w:abstractNumId w:val="17"/>
  </w:num>
  <w:num w:numId="62" w16cid:durableId="1846508413">
    <w:abstractNumId w:val="49"/>
  </w:num>
  <w:num w:numId="63" w16cid:durableId="1759135657">
    <w:abstractNumId w:val="63"/>
  </w:num>
  <w:num w:numId="64" w16cid:durableId="224725742">
    <w:abstractNumId w:val="51"/>
  </w:num>
  <w:num w:numId="65" w16cid:durableId="978070566">
    <w:abstractNumId w:val="10"/>
  </w:num>
  <w:num w:numId="66" w16cid:durableId="76558599">
    <w:abstractNumId w:val="20"/>
  </w:num>
  <w:num w:numId="67" w16cid:durableId="1035691367">
    <w:abstractNumId w:val="32"/>
  </w:num>
  <w:num w:numId="68" w16cid:durableId="1989167128">
    <w:abstractNumId w:val="58"/>
  </w:num>
  <w:num w:numId="69" w16cid:durableId="1762146111">
    <w:abstractNumId w:val="56"/>
  </w:num>
  <w:numIdMacAtCleanup w:val="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nge Christoffer Olsen">
    <w15:presenceInfo w15:providerId="None" w15:userId="Inge Christoffer Ols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DateAndTime/>
  <w:bordersDoNotSurroundHeader/>
  <w:bordersDoNotSurroundFooter/>
  <w:gutterAtTop/>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ocumentProtection w:edit="readOnly" w:enforcement="0"/>
  <w:defaultTabStop w:val="720"/>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ptId" w:val="3c388c55-179c-4f64-8616-7310bfd42665"/>
    <w:docVar w:name="LibraryFilter" w:val="|||"/>
    <w:docVar w:name="Warning" w:val="False"/>
    <w:docVar w:name="WordDocUniqueId" w:val="f377090c-8bfd-414f-996a-d24eab559a9e"/>
  </w:docVars>
  <w:rsids>
    <w:rsidRoot w:val="00433693"/>
    <w:rsid w:val="00000155"/>
    <w:rsid w:val="00000742"/>
    <w:rsid w:val="00000749"/>
    <w:rsid w:val="000008AB"/>
    <w:rsid w:val="00000A78"/>
    <w:rsid w:val="00000BEC"/>
    <w:rsid w:val="00000E0A"/>
    <w:rsid w:val="00000E43"/>
    <w:rsid w:val="00001047"/>
    <w:rsid w:val="0000119A"/>
    <w:rsid w:val="0000170B"/>
    <w:rsid w:val="0000193F"/>
    <w:rsid w:val="00001C91"/>
    <w:rsid w:val="00001DD2"/>
    <w:rsid w:val="000023BB"/>
    <w:rsid w:val="000024F8"/>
    <w:rsid w:val="00002B07"/>
    <w:rsid w:val="00002FA4"/>
    <w:rsid w:val="00002FFA"/>
    <w:rsid w:val="00003272"/>
    <w:rsid w:val="000036CA"/>
    <w:rsid w:val="00004415"/>
    <w:rsid w:val="000061B5"/>
    <w:rsid w:val="000066CB"/>
    <w:rsid w:val="00006AFB"/>
    <w:rsid w:val="00006F50"/>
    <w:rsid w:val="000079FD"/>
    <w:rsid w:val="00010607"/>
    <w:rsid w:val="00010CC8"/>
    <w:rsid w:val="00011544"/>
    <w:rsid w:val="000124F7"/>
    <w:rsid w:val="000125CB"/>
    <w:rsid w:val="000125D2"/>
    <w:rsid w:val="0001272E"/>
    <w:rsid w:val="000128CE"/>
    <w:rsid w:val="000133C6"/>
    <w:rsid w:val="00013405"/>
    <w:rsid w:val="000137C8"/>
    <w:rsid w:val="0001382C"/>
    <w:rsid w:val="000138CE"/>
    <w:rsid w:val="000139FB"/>
    <w:rsid w:val="000144A7"/>
    <w:rsid w:val="00014674"/>
    <w:rsid w:val="0001472E"/>
    <w:rsid w:val="00014915"/>
    <w:rsid w:val="00014A11"/>
    <w:rsid w:val="00014AEC"/>
    <w:rsid w:val="00015A2F"/>
    <w:rsid w:val="00016318"/>
    <w:rsid w:val="000163B5"/>
    <w:rsid w:val="00016439"/>
    <w:rsid w:val="0001652C"/>
    <w:rsid w:val="00016D1E"/>
    <w:rsid w:val="00017D40"/>
    <w:rsid w:val="00020259"/>
    <w:rsid w:val="00020C34"/>
    <w:rsid w:val="00021201"/>
    <w:rsid w:val="000212F4"/>
    <w:rsid w:val="000217E9"/>
    <w:rsid w:val="00021A70"/>
    <w:rsid w:val="00021C30"/>
    <w:rsid w:val="00021D50"/>
    <w:rsid w:val="00022B67"/>
    <w:rsid w:val="0002352F"/>
    <w:rsid w:val="00023DB9"/>
    <w:rsid w:val="00023F6D"/>
    <w:rsid w:val="0002402D"/>
    <w:rsid w:val="00024993"/>
    <w:rsid w:val="00024C3C"/>
    <w:rsid w:val="00024F3A"/>
    <w:rsid w:val="000251E3"/>
    <w:rsid w:val="000255AA"/>
    <w:rsid w:val="000259BE"/>
    <w:rsid w:val="00025A3A"/>
    <w:rsid w:val="00026A64"/>
    <w:rsid w:val="00026A8A"/>
    <w:rsid w:val="00027386"/>
    <w:rsid w:val="000277E7"/>
    <w:rsid w:val="0002792F"/>
    <w:rsid w:val="000303D1"/>
    <w:rsid w:val="000304DC"/>
    <w:rsid w:val="000305E4"/>
    <w:rsid w:val="0003061F"/>
    <w:rsid w:val="000316B6"/>
    <w:rsid w:val="00031796"/>
    <w:rsid w:val="00031B99"/>
    <w:rsid w:val="00032132"/>
    <w:rsid w:val="00032290"/>
    <w:rsid w:val="000325E4"/>
    <w:rsid w:val="00032634"/>
    <w:rsid w:val="00033C65"/>
    <w:rsid w:val="00033F2C"/>
    <w:rsid w:val="00033F83"/>
    <w:rsid w:val="0003445C"/>
    <w:rsid w:val="000346C1"/>
    <w:rsid w:val="0003485A"/>
    <w:rsid w:val="00034F51"/>
    <w:rsid w:val="00035052"/>
    <w:rsid w:val="00035468"/>
    <w:rsid w:val="000357D7"/>
    <w:rsid w:val="00035D34"/>
    <w:rsid w:val="000361D0"/>
    <w:rsid w:val="000366A9"/>
    <w:rsid w:val="00036CB6"/>
    <w:rsid w:val="0004034E"/>
    <w:rsid w:val="00040576"/>
    <w:rsid w:val="000405D4"/>
    <w:rsid w:val="00040E8A"/>
    <w:rsid w:val="00041127"/>
    <w:rsid w:val="000413B7"/>
    <w:rsid w:val="00041531"/>
    <w:rsid w:val="00041FA6"/>
    <w:rsid w:val="00041FAF"/>
    <w:rsid w:val="00041FDA"/>
    <w:rsid w:val="000432FC"/>
    <w:rsid w:val="000433CD"/>
    <w:rsid w:val="00043A71"/>
    <w:rsid w:val="00044E01"/>
    <w:rsid w:val="00044E35"/>
    <w:rsid w:val="000457C1"/>
    <w:rsid w:val="00045A86"/>
    <w:rsid w:val="00045B6D"/>
    <w:rsid w:val="00045C0A"/>
    <w:rsid w:val="00045E7F"/>
    <w:rsid w:val="000466DA"/>
    <w:rsid w:val="000467E5"/>
    <w:rsid w:val="00046B60"/>
    <w:rsid w:val="00046E10"/>
    <w:rsid w:val="000476FF"/>
    <w:rsid w:val="00047713"/>
    <w:rsid w:val="00047EA2"/>
    <w:rsid w:val="00050287"/>
    <w:rsid w:val="00050565"/>
    <w:rsid w:val="00050BC9"/>
    <w:rsid w:val="0005136D"/>
    <w:rsid w:val="0005263D"/>
    <w:rsid w:val="00052711"/>
    <w:rsid w:val="000528BB"/>
    <w:rsid w:val="00052D53"/>
    <w:rsid w:val="0005308E"/>
    <w:rsid w:val="00053393"/>
    <w:rsid w:val="00053EC9"/>
    <w:rsid w:val="00054996"/>
    <w:rsid w:val="00054D78"/>
    <w:rsid w:val="00054E84"/>
    <w:rsid w:val="00055525"/>
    <w:rsid w:val="00055A89"/>
    <w:rsid w:val="00055D4A"/>
    <w:rsid w:val="0005610C"/>
    <w:rsid w:val="0005733F"/>
    <w:rsid w:val="000575E8"/>
    <w:rsid w:val="00057CEA"/>
    <w:rsid w:val="00060269"/>
    <w:rsid w:val="00060436"/>
    <w:rsid w:val="0006081D"/>
    <w:rsid w:val="000608A0"/>
    <w:rsid w:val="00060B18"/>
    <w:rsid w:val="00061864"/>
    <w:rsid w:val="000627DB"/>
    <w:rsid w:val="00062BEE"/>
    <w:rsid w:val="0006315D"/>
    <w:rsid w:val="0006369D"/>
    <w:rsid w:val="00063BAF"/>
    <w:rsid w:val="00063E29"/>
    <w:rsid w:val="000653AE"/>
    <w:rsid w:val="00065A0B"/>
    <w:rsid w:val="00066399"/>
    <w:rsid w:val="000667AB"/>
    <w:rsid w:val="00066B94"/>
    <w:rsid w:val="00066C7C"/>
    <w:rsid w:val="00066F3F"/>
    <w:rsid w:val="00066F4E"/>
    <w:rsid w:val="00067F46"/>
    <w:rsid w:val="0007023C"/>
    <w:rsid w:val="00070825"/>
    <w:rsid w:val="00070A64"/>
    <w:rsid w:val="00070ED4"/>
    <w:rsid w:val="00071BE6"/>
    <w:rsid w:val="000720CD"/>
    <w:rsid w:val="000722F7"/>
    <w:rsid w:val="000725B6"/>
    <w:rsid w:val="00072643"/>
    <w:rsid w:val="000726CD"/>
    <w:rsid w:val="000729C1"/>
    <w:rsid w:val="00073057"/>
    <w:rsid w:val="00074115"/>
    <w:rsid w:val="000746A5"/>
    <w:rsid w:val="00074CC2"/>
    <w:rsid w:val="00074E43"/>
    <w:rsid w:val="00074F45"/>
    <w:rsid w:val="000752EB"/>
    <w:rsid w:val="000753D5"/>
    <w:rsid w:val="000756CC"/>
    <w:rsid w:val="00075991"/>
    <w:rsid w:val="00075AC3"/>
    <w:rsid w:val="00075EAC"/>
    <w:rsid w:val="00075F93"/>
    <w:rsid w:val="000764E9"/>
    <w:rsid w:val="00076587"/>
    <w:rsid w:val="00076785"/>
    <w:rsid w:val="00076979"/>
    <w:rsid w:val="00076B96"/>
    <w:rsid w:val="00077003"/>
    <w:rsid w:val="00077203"/>
    <w:rsid w:val="00077267"/>
    <w:rsid w:val="0007759C"/>
    <w:rsid w:val="00077747"/>
    <w:rsid w:val="00077C72"/>
    <w:rsid w:val="000805F4"/>
    <w:rsid w:val="00080F10"/>
    <w:rsid w:val="000817B6"/>
    <w:rsid w:val="00081CFF"/>
    <w:rsid w:val="00082965"/>
    <w:rsid w:val="00082CC9"/>
    <w:rsid w:val="00082DEC"/>
    <w:rsid w:val="00083C2A"/>
    <w:rsid w:val="00084623"/>
    <w:rsid w:val="00084B12"/>
    <w:rsid w:val="00084F7C"/>
    <w:rsid w:val="000851EB"/>
    <w:rsid w:val="00085220"/>
    <w:rsid w:val="000852DD"/>
    <w:rsid w:val="0008580A"/>
    <w:rsid w:val="00085E99"/>
    <w:rsid w:val="00086F45"/>
    <w:rsid w:val="000875F6"/>
    <w:rsid w:val="000878AB"/>
    <w:rsid w:val="00087DA1"/>
    <w:rsid w:val="000906DE"/>
    <w:rsid w:val="00090B86"/>
    <w:rsid w:val="000919FF"/>
    <w:rsid w:val="00091CBF"/>
    <w:rsid w:val="00092139"/>
    <w:rsid w:val="000922D4"/>
    <w:rsid w:val="00092594"/>
    <w:rsid w:val="0009283F"/>
    <w:rsid w:val="000928FA"/>
    <w:rsid w:val="0009368F"/>
    <w:rsid w:val="0009409F"/>
    <w:rsid w:val="00094260"/>
    <w:rsid w:val="0009429D"/>
    <w:rsid w:val="00094403"/>
    <w:rsid w:val="00095F68"/>
    <w:rsid w:val="00097378"/>
    <w:rsid w:val="000975CE"/>
    <w:rsid w:val="000976A7"/>
    <w:rsid w:val="000979B3"/>
    <w:rsid w:val="00097AB5"/>
    <w:rsid w:val="00097ADA"/>
    <w:rsid w:val="000A03DE"/>
    <w:rsid w:val="000A06F1"/>
    <w:rsid w:val="000A09CA"/>
    <w:rsid w:val="000A0A85"/>
    <w:rsid w:val="000A1C5C"/>
    <w:rsid w:val="000A223C"/>
    <w:rsid w:val="000A22F0"/>
    <w:rsid w:val="000A24B5"/>
    <w:rsid w:val="000A28A3"/>
    <w:rsid w:val="000A2B29"/>
    <w:rsid w:val="000A3397"/>
    <w:rsid w:val="000A3419"/>
    <w:rsid w:val="000A3421"/>
    <w:rsid w:val="000A39FE"/>
    <w:rsid w:val="000A4B0B"/>
    <w:rsid w:val="000A4BD0"/>
    <w:rsid w:val="000A6303"/>
    <w:rsid w:val="000A6643"/>
    <w:rsid w:val="000A6B12"/>
    <w:rsid w:val="000A7235"/>
    <w:rsid w:val="000A73E7"/>
    <w:rsid w:val="000A76B2"/>
    <w:rsid w:val="000A7C45"/>
    <w:rsid w:val="000A7F13"/>
    <w:rsid w:val="000B01B1"/>
    <w:rsid w:val="000B0265"/>
    <w:rsid w:val="000B093F"/>
    <w:rsid w:val="000B123E"/>
    <w:rsid w:val="000B13A3"/>
    <w:rsid w:val="000B152A"/>
    <w:rsid w:val="000B15AA"/>
    <w:rsid w:val="000B1630"/>
    <w:rsid w:val="000B20D7"/>
    <w:rsid w:val="000B2207"/>
    <w:rsid w:val="000B238F"/>
    <w:rsid w:val="000B2617"/>
    <w:rsid w:val="000B30AA"/>
    <w:rsid w:val="000B3987"/>
    <w:rsid w:val="000B3D9B"/>
    <w:rsid w:val="000B3F11"/>
    <w:rsid w:val="000B466E"/>
    <w:rsid w:val="000B47CA"/>
    <w:rsid w:val="000B4845"/>
    <w:rsid w:val="000B49ED"/>
    <w:rsid w:val="000B5478"/>
    <w:rsid w:val="000B561B"/>
    <w:rsid w:val="000B58D3"/>
    <w:rsid w:val="000B593F"/>
    <w:rsid w:val="000B5AD0"/>
    <w:rsid w:val="000B6769"/>
    <w:rsid w:val="000B67E9"/>
    <w:rsid w:val="000B7159"/>
    <w:rsid w:val="000B7A79"/>
    <w:rsid w:val="000B7E76"/>
    <w:rsid w:val="000C024D"/>
    <w:rsid w:val="000C2EA1"/>
    <w:rsid w:val="000C31A8"/>
    <w:rsid w:val="000C325A"/>
    <w:rsid w:val="000C3718"/>
    <w:rsid w:val="000C3F8D"/>
    <w:rsid w:val="000C46C6"/>
    <w:rsid w:val="000C4F03"/>
    <w:rsid w:val="000C4F9E"/>
    <w:rsid w:val="000C50BB"/>
    <w:rsid w:val="000C50ED"/>
    <w:rsid w:val="000C53B5"/>
    <w:rsid w:val="000C5468"/>
    <w:rsid w:val="000C5563"/>
    <w:rsid w:val="000C589A"/>
    <w:rsid w:val="000C5A3B"/>
    <w:rsid w:val="000C5D4A"/>
    <w:rsid w:val="000C5F57"/>
    <w:rsid w:val="000C5FD9"/>
    <w:rsid w:val="000C6596"/>
    <w:rsid w:val="000C6702"/>
    <w:rsid w:val="000C6F47"/>
    <w:rsid w:val="000C71DC"/>
    <w:rsid w:val="000C730E"/>
    <w:rsid w:val="000D03ED"/>
    <w:rsid w:val="000D05FE"/>
    <w:rsid w:val="000D080F"/>
    <w:rsid w:val="000D08A2"/>
    <w:rsid w:val="000D1749"/>
    <w:rsid w:val="000D1A2C"/>
    <w:rsid w:val="000D1ABD"/>
    <w:rsid w:val="000D25B5"/>
    <w:rsid w:val="000D26F9"/>
    <w:rsid w:val="000D2DA7"/>
    <w:rsid w:val="000D35A9"/>
    <w:rsid w:val="000D35F2"/>
    <w:rsid w:val="000D37C9"/>
    <w:rsid w:val="000D4280"/>
    <w:rsid w:val="000D48C1"/>
    <w:rsid w:val="000D6381"/>
    <w:rsid w:val="000D6A70"/>
    <w:rsid w:val="000D6BEA"/>
    <w:rsid w:val="000D768E"/>
    <w:rsid w:val="000D7987"/>
    <w:rsid w:val="000D7FC8"/>
    <w:rsid w:val="000E07EA"/>
    <w:rsid w:val="000E09F8"/>
    <w:rsid w:val="000E0ECF"/>
    <w:rsid w:val="000E10A2"/>
    <w:rsid w:val="000E118E"/>
    <w:rsid w:val="000E13A7"/>
    <w:rsid w:val="000E14E3"/>
    <w:rsid w:val="000E18FA"/>
    <w:rsid w:val="000E1AA1"/>
    <w:rsid w:val="000E1AB4"/>
    <w:rsid w:val="000E1DEB"/>
    <w:rsid w:val="000E224B"/>
    <w:rsid w:val="000E2303"/>
    <w:rsid w:val="000E231B"/>
    <w:rsid w:val="000E2F08"/>
    <w:rsid w:val="000E34FF"/>
    <w:rsid w:val="000E3E2F"/>
    <w:rsid w:val="000E49BC"/>
    <w:rsid w:val="000E4C3E"/>
    <w:rsid w:val="000E5120"/>
    <w:rsid w:val="000E5662"/>
    <w:rsid w:val="000E5D86"/>
    <w:rsid w:val="000E5F0E"/>
    <w:rsid w:val="000E65C9"/>
    <w:rsid w:val="000E6B0C"/>
    <w:rsid w:val="000E7249"/>
    <w:rsid w:val="000E7A2D"/>
    <w:rsid w:val="000E7BF2"/>
    <w:rsid w:val="000E7D19"/>
    <w:rsid w:val="000E7D27"/>
    <w:rsid w:val="000E7E2D"/>
    <w:rsid w:val="000F0189"/>
    <w:rsid w:val="000F0459"/>
    <w:rsid w:val="000F0FCE"/>
    <w:rsid w:val="000F144D"/>
    <w:rsid w:val="000F170B"/>
    <w:rsid w:val="000F194D"/>
    <w:rsid w:val="000F1F68"/>
    <w:rsid w:val="000F2156"/>
    <w:rsid w:val="000F2AB6"/>
    <w:rsid w:val="000F2F25"/>
    <w:rsid w:val="000F41AE"/>
    <w:rsid w:val="000F5031"/>
    <w:rsid w:val="000F54F2"/>
    <w:rsid w:val="000F5A45"/>
    <w:rsid w:val="000F6C7E"/>
    <w:rsid w:val="000F6CB8"/>
    <w:rsid w:val="000F6D8D"/>
    <w:rsid w:val="000F6EBD"/>
    <w:rsid w:val="000F731F"/>
    <w:rsid w:val="000F7329"/>
    <w:rsid w:val="000F7402"/>
    <w:rsid w:val="000F745D"/>
    <w:rsid w:val="000F78E8"/>
    <w:rsid w:val="000F7C29"/>
    <w:rsid w:val="000F7C76"/>
    <w:rsid w:val="000F7CBD"/>
    <w:rsid w:val="00100147"/>
    <w:rsid w:val="0010028C"/>
    <w:rsid w:val="0010044A"/>
    <w:rsid w:val="00100FC5"/>
    <w:rsid w:val="00101023"/>
    <w:rsid w:val="001010FD"/>
    <w:rsid w:val="00101229"/>
    <w:rsid w:val="0010145A"/>
    <w:rsid w:val="00101E04"/>
    <w:rsid w:val="0010247D"/>
    <w:rsid w:val="00103229"/>
    <w:rsid w:val="00103427"/>
    <w:rsid w:val="00103A3A"/>
    <w:rsid w:val="00103BC4"/>
    <w:rsid w:val="00104BB2"/>
    <w:rsid w:val="00104EAC"/>
    <w:rsid w:val="00105458"/>
    <w:rsid w:val="0010577A"/>
    <w:rsid w:val="00105BAC"/>
    <w:rsid w:val="00106268"/>
    <w:rsid w:val="00106752"/>
    <w:rsid w:val="00106AA2"/>
    <w:rsid w:val="00107010"/>
    <w:rsid w:val="001070E8"/>
    <w:rsid w:val="00107C0F"/>
    <w:rsid w:val="0011024C"/>
    <w:rsid w:val="00110737"/>
    <w:rsid w:val="00110F84"/>
    <w:rsid w:val="00111A11"/>
    <w:rsid w:val="00111BD2"/>
    <w:rsid w:val="00112617"/>
    <w:rsid w:val="0011357F"/>
    <w:rsid w:val="00114261"/>
    <w:rsid w:val="001157D0"/>
    <w:rsid w:val="001157F2"/>
    <w:rsid w:val="00115964"/>
    <w:rsid w:val="0011750D"/>
    <w:rsid w:val="00117C51"/>
    <w:rsid w:val="00117F2D"/>
    <w:rsid w:val="0012038C"/>
    <w:rsid w:val="001206D0"/>
    <w:rsid w:val="00120718"/>
    <w:rsid w:val="00120732"/>
    <w:rsid w:val="00120C7C"/>
    <w:rsid w:val="00121412"/>
    <w:rsid w:val="0012161D"/>
    <w:rsid w:val="00121745"/>
    <w:rsid w:val="0012188A"/>
    <w:rsid w:val="00121E43"/>
    <w:rsid w:val="001228C7"/>
    <w:rsid w:val="00122957"/>
    <w:rsid w:val="001229FE"/>
    <w:rsid w:val="00122CC6"/>
    <w:rsid w:val="00122D9D"/>
    <w:rsid w:val="001234FD"/>
    <w:rsid w:val="001238E1"/>
    <w:rsid w:val="00123BF8"/>
    <w:rsid w:val="0012426D"/>
    <w:rsid w:val="00124373"/>
    <w:rsid w:val="0012477D"/>
    <w:rsid w:val="00124891"/>
    <w:rsid w:val="00125B19"/>
    <w:rsid w:val="00125CEC"/>
    <w:rsid w:val="00126A7E"/>
    <w:rsid w:val="00126A97"/>
    <w:rsid w:val="00126B8A"/>
    <w:rsid w:val="0012707B"/>
    <w:rsid w:val="0012711C"/>
    <w:rsid w:val="001277CB"/>
    <w:rsid w:val="00127935"/>
    <w:rsid w:val="00130066"/>
    <w:rsid w:val="001304D3"/>
    <w:rsid w:val="00130999"/>
    <w:rsid w:val="001309BC"/>
    <w:rsid w:val="00130ADF"/>
    <w:rsid w:val="00130AE9"/>
    <w:rsid w:val="00130F72"/>
    <w:rsid w:val="00133355"/>
    <w:rsid w:val="0013352E"/>
    <w:rsid w:val="001345B3"/>
    <w:rsid w:val="001346C1"/>
    <w:rsid w:val="001351C9"/>
    <w:rsid w:val="0013520A"/>
    <w:rsid w:val="00135A9C"/>
    <w:rsid w:val="0013632F"/>
    <w:rsid w:val="0013638F"/>
    <w:rsid w:val="0013639F"/>
    <w:rsid w:val="00136995"/>
    <w:rsid w:val="001369D5"/>
    <w:rsid w:val="00136BE8"/>
    <w:rsid w:val="00136C95"/>
    <w:rsid w:val="0013707D"/>
    <w:rsid w:val="001372D8"/>
    <w:rsid w:val="00137556"/>
    <w:rsid w:val="00137981"/>
    <w:rsid w:val="00137A10"/>
    <w:rsid w:val="00140333"/>
    <w:rsid w:val="00140451"/>
    <w:rsid w:val="0014073B"/>
    <w:rsid w:val="00140964"/>
    <w:rsid w:val="00140BCB"/>
    <w:rsid w:val="00141073"/>
    <w:rsid w:val="0014125D"/>
    <w:rsid w:val="00141313"/>
    <w:rsid w:val="00141A16"/>
    <w:rsid w:val="00141C58"/>
    <w:rsid w:val="00142130"/>
    <w:rsid w:val="0014238F"/>
    <w:rsid w:val="0014240F"/>
    <w:rsid w:val="001426F3"/>
    <w:rsid w:val="001427BE"/>
    <w:rsid w:val="0014280A"/>
    <w:rsid w:val="001434A9"/>
    <w:rsid w:val="00143BA5"/>
    <w:rsid w:val="001445A8"/>
    <w:rsid w:val="00144622"/>
    <w:rsid w:val="00144F92"/>
    <w:rsid w:val="001450E9"/>
    <w:rsid w:val="00145B02"/>
    <w:rsid w:val="00145FAD"/>
    <w:rsid w:val="001461FC"/>
    <w:rsid w:val="001463DC"/>
    <w:rsid w:val="00146BFE"/>
    <w:rsid w:val="00146D6E"/>
    <w:rsid w:val="00146D9F"/>
    <w:rsid w:val="00146E41"/>
    <w:rsid w:val="001472B3"/>
    <w:rsid w:val="00147527"/>
    <w:rsid w:val="001476F4"/>
    <w:rsid w:val="0014775C"/>
    <w:rsid w:val="00147F1D"/>
    <w:rsid w:val="0015090A"/>
    <w:rsid w:val="00150F71"/>
    <w:rsid w:val="00151328"/>
    <w:rsid w:val="00151A6D"/>
    <w:rsid w:val="00151C19"/>
    <w:rsid w:val="00151FE3"/>
    <w:rsid w:val="00152197"/>
    <w:rsid w:val="00152383"/>
    <w:rsid w:val="001529FB"/>
    <w:rsid w:val="0015345D"/>
    <w:rsid w:val="0015437A"/>
    <w:rsid w:val="00154D9F"/>
    <w:rsid w:val="00155143"/>
    <w:rsid w:val="001552F5"/>
    <w:rsid w:val="001554DF"/>
    <w:rsid w:val="00155EB7"/>
    <w:rsid w:val="00155F92"/>
    <w:rsid w:val="001563A2"/>
    <w:rsid w:val="00156C88"/>
    <w:rsid w:val="0015713E"/>
    <w:rsid w:val="001571DF"/>
    <w:rsid w:val="00157252"/>
    <w:rsid w:val="00157859"/>
    <w:rsid w:val="00157962"/>
    <w:rsid w:val="00157A28"/>
    <w:rsid w:val="00160253"/>
    <w:rsid w:val="001605CD"/>
    <w:rsid w:val="0016067A"/>
    <w:rsid w:val="00160B4A"/>
    <w:rsid w:val="00160B6A"/>
    <w:rsid w:val="00160D99"/>
    <w:rsid w:val="001610D2"/>
    <w:rsid w:val="001615BB"/>
    <w:rsid w:val="001624AB"/>
    <w:rsid w:val="001624FC"/>
    <w:rsid w:val="00162714"/>
    <w:rsid w:val="00162AE0"/>
    <w:rsid w:val="00162B89"/>
    <w:rsid w:val="00163066"/>
    <w:rsid w:val="001638F5"/>
    <w:rsid w:val="00163EB6"/>
    <w:rsid w:val="001640C7"/>
    <w:rsid w:val="001640F0"/>
    <w:rsid w:val="00164873"/>
    <w:rsid w:val="00164A3B"/>
    <w:rsid w:val="00164DA0"/>
    <w:rsid w:val="001658C5"/>
    <w:rsid w:val="0016590D"/>
    <w:rsid w:val="00165CAB"/>
    <w:rsid w:val="00166048"/>
    <w:rsid w:val="00166794"/>
    <w:rsid w:val="00166A27"/>
    <w:rsid w:val="00166FC9"/>
    <w:rsid w:val="00167759"/>
    <w:rsid w:val="001703FB"/>
    <w:rsid w:val="001708EE"/>
    <w:rsid w:val="00170B37"/>
    <w:rsid w:val="00170BDA"/>
    <w:rsid w:val="00170DA3"/>
    <w:rsid w:val="00171E37"/>
    <w:rsid w:val="00172564"/>
    <w:rsid w:val="00173E9F"/>
    <w:rsid w:val="00174320"/>
    <w:rsid w:val="00174505"/>
    <w:rsid w:val="001745B8"/>
    <w:rsid w:val="001747AF"/>
    <w:rsid w:val="00174936"/>
    <w:rsid w:val="00174E12"/>
    <w:rsid w:val="001759C5"/>
    <w:rsid w:val="00175A15"/>
    <w:rsid w:val="00175C9F"/>
    <w:rsid w:val="00176E3E"/>
    <w:rsid w:val="00176F24"/>
    <w:rsid w:val="00177739"/>
    <w:rsid w:val="001779DC"/>
    <w:rsid w:val="00177BF5"/>
    <w:rsid w:val="00177E64"/>
    <w:rsid w:val="00177F7B"/>
    <w:rsid w:val="001807D1"/>
    <w:rsid w:val="00180AE6"/>
    <w:rsid w:val="001811A5"/>
    <w:rsid w:val="0018156E"/>
    <w:rsid w:val="001818BF"/>
    <w:rsid w:val="00181A48"/>
    <w:rsid w:val="00182318"/>
    <w:rsid w:val="001831B3"/>
    <w:rsid w:val="001832B8"/>
    <w:rsid w:val="001839A9"/>
    <w:rsid w:val="00183EC8"/>
    <w:rsid w:val="00184EE3"/>
    <w:rsid w:val="001850E1"/>
    <w:rsid w:val="001854C8"/>
    <w:rsid w:val="001854F2"/>
    <w:rsid w:val="00185535"/>
    <w:rsid w:val="00186264"/>
    <w:rsid w:val="001868C4"/>
    <w:rsid w:val="001868DE"/>
    <w:rsid w:val="00186B89"/>
    <w:rsid w:val="00186D18"/>
    <w:rsid w:val="00187C99"/>
    <w:rsid w:val="00187DFE"/>
    <w:rsid w:val="00187F47"/>
    <w:rsid w:val="001908BD"/>
    <w:rsid w:val="00190A9E"/>
    <w:rsid w:val="00190BBC"/>
    <w:rsid w:val="00190F4D"/>
    <w:rsid w:val="0019134A"/>
    <w:rsid w:val="00191685"/>
    <w:rsid w:val="001916BF"/>
    <w:rsid w:val="00191EF7"/>
    <w:rsid w:val="00192021"/>
    <w:rsid w:val="00192237"/>
    <w:rsid w:val="00192977"/>
    <w:rsid w:val="00192B99"/>
    <w:rsid w:val="00192BE3"/>
    <w:rsid w:val="00193526"/>
    <w:rsid w:val="00193CCE"/>
    <w:rsid w:val="0019445E"/>
    <w:rsid w:val="00195C34"/>
    <w:rsid w:val="00196355"/>
    <w:rsid w:val="0019694E"/>
    <w:rsid w:val="00196AD7"/>
    <w:rsid w:val="00196B39"/>
    <w:rsid w:val="00197202"/>
    <w:rsid w:val="001A03E0"/>
    <w:rsid w:val="001A068B"/>
    <w:rsid w:val="001A06E3"/>
    <w:rsid w:val="001A0E81"/>
    <w:rsid w:val="001A116D"/>
    <w:rsid w:val="001A1F83"/>
    <w:rsid w:val="001A241B"/>
    <w:rsid w:val="001A24DD"/>
    <w:rsid w:val="001A256C"/>
    <w:rsid w:val="001A2C6B"/>
    <w:rsid w:val="001A316B"/>
    <w:rsid w:val="001A4525"/>
    <w:rsid w:val="001A4870"/>
    <w:rsid w:val="001A48AF"/>
    <w:rsid w:val="001A4992"/>
    <w:rsid w:val="001A52B1"/>
    <w:rsid w:val="001A5F8E"/>
    <w:rsid w:val="001A7431"/>
    <w:rsid w:val="001A763A"/>
    <w:rsid w:val="001A77ED"/>
    <w:rsid w:val="001A7A36"/>
    <w:rsid w:val="001B0C6E"/>
    <w:rsid w:val="001B0E72"/>
    <w:rsid w:val="001B1448"/>
    <w:rsid w:val="001B14BF"/>
    <w:rsid w:val="001B1796"/>
    <w:rsid w:val="001B17AB"/>
    <w:rsid w:val="001B1D24"/>
    <w:rsid w:val="001B236B"/>
    <w:rsid w:val="001B26AF"/>
    <w:rsid w:val="001B2DB8"/>
    <w:rsid w:val="001B333F"/>
    <w:rsid w:val="001B4454"/>
    <w:rsid w:val="001B47C6"/>
    <w:rsid w:val="001B4807"/>
    <w:rsid w:val="001B4C47"/>
    <w:rsid w:val="001B4F24"/>
    <w:rsid w:val="001B5780"/>
    <w:rsid w:val="001B596B"/>
    <w:rsid w:val="001B6B46"/>
    <w:rsid w:val="001B7398"/>
    <w:rsid w:val="001B7646"/>
    <w:rsid w:val="001B76B4"/>
    <w:rsid w:val="001B7920"/>
    <w:rsid w:val="001B7DF0"/>
    <w:rsid w:val="001B7F38"/>
    <w:rsid w:val="001B7F5D"/>
    <w:rsid w:val="001C02A8"/>
    <w:rsid w:val="001C15A2"/>
    <w:rsid w:val="001C1610"/>
    <w:rsid w:val="001C1668"/>
    <w:rsid w:val="001C1898"/>
    <w:rsid w:val="001C23BF"/>
    <w:rsid w:val="001C2987"/>
    <w:rsid w:val="001C2FF2"/>
    <w:rsid w:val="001C4432"/>
    <w:rsid w:val="001C44C1"/>
    <w:rsid w:val="001C480E"/>
    <w:rsid w:val="001C4FF7"/>
    <w:rsid w:val="001C5829"/>
    <w:rsid w:val="001C610E"/>
    <w:rsid w:val="001C614A"/>
    <w:rsid w:val="001C64C6"/>
    <w:rsid w:val="001C6584"/>
    <w:rsid w:val="001C6867"/>
    <w:rsid w:val="001C6CE6"/>
    <w:rsid w:val="001C74FC"/>
    <w:rsid w:val="001C77A5"/>
    <w:rsid w:val="001C7BFE"/>
    <w:rsid w:val="001C7C60"/>
    <w:rsid w:val="001D06FF"/>
    <w:rsid w:val="001D09F7"/>
    <w:rsid w:val="001D0DCA"/>
    <w:rsid w:val="001D10D0"/>
    <w:rsid w:val="001D125F"/>
    <w:rsid w:val="001D1326"/>
    <w:rsid w:val="001D1D7F"/>
    <w:rsid w:val="001D2028"/>
    <w:rsid w:val="001D2056"/>
    <w:rsid w:val="001D221B"/>
    <w:rsid w:val="001D2436"/>
    <w:rsid w:val="001D2922"/>
    <w:rsid w:val="001D2D4C"/>
    <w:rsid w:val="001D2FA6"/>
    <w:rsid w:val="001D3234"/>
    <w:rsid w:val="001D32C5"/>
    <w:rsid w:val="001D3453"/>
    <w:rsid w:val="001D38F1"/>
    <w:rsid w:val="001D3A0A"/>
    <w:rsid w:val="001D3B0D"/>
    <w:rsid w:val="001D3DC3"/>
    <w:rsid w:val="001D3E73"/>
    <w:rsid w:val="001D43C8"/>
    <w:rsid w:val="001D4672"/>
    <w:rsid w:val="001D478D"/>
    <w:rsid w:val="001D4873"/>
    <w:rsid w:val="001D53E2"/>
    <w:rsid w:val="001D541C"/>
    <w:rsid w:val="001D5886"/>
    <w:rsid w:val="001D59F7"/>
    <w:rsid w:val="001D637B"/>
    <w:rsid w:val="001D648A"/>
    <w:rsid w:val="001D6809"/>
    <w:rsid w:val="001D6DB2"/>
    <w:rsid w:val="001D70A3"/>
    <w:rsid w:val="001D73DE"/>
    <w:rsid w:val="001D7A30"/>
    <w:rsid w:val="001D7E1B"/>
    <w:rsid w:val="001E00C6"/>
    <w:rsid w:val="001E02D6"/>
    <w:rsid w:val="001E03BB"/>
    <w:rsid w:val="001E093A"/>
    <w:rsid w:val="001E199C"/>
    <w:rsid w:val="001E1C16"/>
    <w:rsid w:val="001E1D76"/>
    <w:rsid w:val="001E1F21"/>
    <w:rsid w:val="001E23C8"/>
    <w:rsid w:val="001E2DDA"/>
    <w:rsid w:val="001E2FAF"/>
    <w:rsid w:val="001E2FD4"/>
    <w:rsid w:val="001E304C"/>
    <w:rsid w:val="001E3071"/>
    <w:rsid w:val="001E3091"/>
    <w:rsid w:val="001E3383"/>
    <w:rsid w:val="001E4525"/>
    <w:rsid w:val="001E4550"/>
    <w:rsid w:val="001E46BD"/>
    <w:rsid w:val="001E4B8B"/>
    <w:rsid w:val="001E4D2D"/>
    <w:rsid w:val="001E51ED"/>
    <w:rsid w:val="001E52DB"/>
    <w:rsid w:val="001E5D70"/>
    <w:rsid w:val="001E5EDF"/>
    <w:rsid w:val="001E6F46"/>
    <w:rsid w:val="001E7044"/>
    <w:rsid w:val="001E7381"/>
    <w:rsid w:val="001E7D14"/>
    <w:rsid w:val="001F04BB"/>
    <w:rsid w:val="001F04D7"/>
    <w:rsid w:val="001F0721"/>
    <w:rsid w:val="001F083E"/>
    <w:rsid w:val="001F093F"/>
    <w:rsid w:val="001F0B7D"/>
    <w:rsid w:val="001F0DBA"/>
    <w:rsid w:val="001F0FC1"/>
    <w:rsid w:val="001F0FD7"/>
    <w:rsid w:val="001F1159"/>
    <w:rsid w:val="001F126A"/>
    <w:rsid w:val="001F154A"/>
    <w:rsid w:val="001F167B"/>
    <w:rsid w:val="001F1B1E"/>
    <w:rsid w:val="001F1D9E"/>
    <w:rsid w:val="001F2418"/>
    <w:rsid w:val="001F2BF3"/>
    <w:rsid w:val="001F301F"/>
    <w:rsid w:val="001F376E"/>
    <w:rsid w:val="001F3B57"/>
    <w:rsid w:val="001F3C33"/>
    <w:rsid w:val="001F3D93"/>
    <w:rsid w:val="001F42FB"/>
    <w:rsid w:val="001F45DF"/>
    <w:rsid w:val="001F472F"/>
    <w:rsid w:val="001F4C3B"/>
    <w:rsid w:val="001F4D7C"/>
    <w:rsid w:val="001F4E6E"/>
    <w:rsid w:val="001F4F36"/>
    <w:rsid w:val="001F4FE4"/>
    <w:rsid w:val="001F59CB"/>
    <w:rsid w:val="001F5CAD"/>
    <w:rsid w:val="001F5DEB"/>
    <w:rsid w:val="001F6094"/>
    <w:rsid w:val="001F6359"/>
    <w:rsid w:val="001F682C"/>
    <w:rsid w:val="001F6CD2"/>
    <w:rsid w:val="001F6CD8"/>
    <w:rsid w:val="001F700E"/>
    <w:rsid w:val="001F7410"/>
    <w:rsid w:val="001F75C6"/>
    <w:rsid w:val="001F7A8C"/>
    <w:rsid w:val="001F7B89"/>
    <w:rsid w:val="0020032D"/>
    <w:rsid w:val="00200350"/>
    <w:rsid w:val="002008E2"/>
    <w:rsid w:val="00200BD1"/>
    <w:rsid w:val="0020101E"/>
    <w:rsid w:val="002027B5"/>
    <w:rsid w:val="00202991"/>
    <w:rsid w:val="00203021"/>
    <w:rsid w:val="002034FA"/>
    <w:rsid w:val="00203607"/>
    <w:rsid w:val="0020376C"/>
    <w:rsid w:val="002037C9"/>
    <w:rsid w:val="00204187"/>
    <w:rsid w:val="002046AD"/>
    <w:rsid w:val="00204B35"/>
    <w:rsid w:val="00204C85"/>
    <w:rsid w:val="0020549B"/>
    <w:rsid w:val="00205520"/>
    <w:rsid w:val="00205C04"/>
    <w:rsid w:val="0020627E"/>
    <w:rsid w:val="00206908"/>
    <w:rsid w:val="00206F6F"/>
    <w:rsid w:val="002071AA"/>
    <w:rsid w:val="00207494"/>
    <w:rsid w:val="0020788A"/>
    <w:rsid w:val="00207E73"/>
    <w:rsid w:val="00207F46"/>
    <w:rsid w:val="00210144"/>
    <w:rsid w:val="00210C95"/>
    <w:rsid w:val="00210CE4"/>
    <w:rsid w:val="00210D94"/>
    <w:rsid w:val="00211AE3"/>
    <w:rsid w:val="00212200"/>
    <w:rsid w:val="00212509"/>
    <w:rsid w:val="00212AA5"/>
    <w:rsid w:val="00212C01"/>
    <w:rsid w:val="00213459"/>
    <w:rsid w:val="0021345E"/>
    <w:rsid w:val="002136F6"/>
    <w:rsid w:val="002137C8"/>
    <w:rsid w:val="00213B2E"/>
    <w:rsid w:val="00214EC2"/>
    <w:rsid w:val="0021512A"/>
    <w:rsid w:val="002157BF"/>
    <w:rsid w:val="00216349"/>
    <w:rsid w:val="00216CBE"/>
    <w:rsid w:val="00216F4B"/>
    <w:rsid w:val="002172A6"/>
    <w:rsid w:val="002178C2"/>
    <w:rsid w:val="00217A65"/>
    <w:rsid w:val="00220063"/>
    <w:rsid w:val="002209A0"/>
    <w:rsid w:val="00221298"/>
    <w:rsid w:val="00221CE5"/>
    <w:rsid w:val="00222055"/>
    <w:rsid w:val="0022272F"/>
    <w:rsid w:val="002230CB"/>
    <w:rsid w:val="00223382"/>
    <w:rsid w:val="0022380B"/>
    <w:rsid w:val="00223F28"/>
    <w:rsid w:val="002240CE"/>
    <w:rsid w:val="002246AA"/>
    <w:rsid w:val="00224984"/>
    <w:rsid w:val="0022499B"/>
    <w:rsid w:val="00224BCB"/>
    <w:rsid w:val="00224D21"/>
    <w:rsid w:val="00226402"/>
    <w:rsid w:val="00226663"/>
    <w:rsid w:val="00227330"/>
    <w:rsid w:val="00227543"/>
    <w:rsid w:val="00230229"/>
    <w:rsid w:val="00230242"/>
    <w:rsid w:val="002319E5"/>
    <w:rsid w:val="00231FAB"/>
    <w:rsid w:val="002327A1"/>
    <w:rsid w:val="00232A71"/>
    <w:rsid w:val="00232AF6"/>
    <w:rsid w:val="00232D28"/>
    <w:rsid w:val="00232F05"/>
    <w:rsid w:val="00233110"/>
    <w:rsid w:val="002336E1"/>
    <w:rsid w:val="002337CF"/>
    <w:rsid w:val="0023388C"/>
    <w:rsid w:val="00233A57"/>
    <w:rsid w:val="00233B86"/>
    <w:rsid w:val="002341FE"/>
    <w:rsid w:val="0023473C"/>
    <w:rsid w:val="00234B3A"/>
    <w:rsid w:val="00234D21"/>
    <w:rsid w:val="00234E68"/>
    <w:rsid w:val="0023541F"/>
    <w:rsid w:val="0023558E"/>
    <w:rsid w:val="00235666"/>
    <w:rsid w:val="00235723"/>
    <w:rsid w:val="00236464"/>
    <w:rsid w:val="0023683F"/>
    <w:rsid w:val="00236D6D"/>
    <w:rsid w:val="002377F9"/>
    <w:rsid w:val="002378AA"/>
    <w:rsid w:val="002407B9"/>
    <w:rsid w:val="0024083E"/>
    <w:rsid w:val="00240DD1"/>
    <w:rsid w:val="00241430"/>
    <w:rsid w:val="002416C7"/>
    <w:rsid w:val="00241964"/>
    <w:rsid w:val="00241EBA"/>
    <w:rsid w:val="0024222A"/>
    <w:rsid w:val="00242438"/>
    <w:rsid w:val="002425FA"/>
    <w:rsid w:val="00242727"/>
    <w:rsid w:val="00242E35"/>
    <w:rsid w:val="00243259"/>
    <w:rsid w:val="002435C1"/>
    <w:rsid w:val="002437C0"/>
    <w:rsid w:val="00243A46"/>
    <w:rsid w:val="00243D24"/>
    <w:rsid w:val="00244901"/>
    <w:rsid w:val="00244A0D"/>
    <w:rsid w:val="00245827"/>
    <w:rsid w:val="002458EC"/>
    <w:rsid w:val="002461E4"/>
    <w:rsid w:val="00246773"/>
    <w:rsid w:val="00246874"/>
    <w:rsid w:val="0024787A"/>
    <w:rsid w:val="00247882"/>
    <w:rsid w:val="00250571"/>
    <w:rsid w:val="002505A6"/>
    <w:rsid w:val="002505A8"/>
    <w:rsid w:val="002507C6"/>
    <w:rsid w:val="00251200"/>
    <w:rsid w:val="00251687"/>
    <w:rsid w:val="002516A0"/>
    <w:rsid w:val="002518EA"/>
    <w:rsid w:val="002519CA"/>
    <w:rsid w:val="00251A49"/>
    <w:rsid w:val="00251AEE"/>
    <w:rsid w:val="00251B60"/>
    <w:rsid w:val="00251D7B"/>
    <w:rsid w:val="002522F1"/>
    <w:rsid w:val="0025249D"/>
    <w:rsid w:val="00252764"/>
    <w:rsid w:val="00252F23"/>
    <w:rsid w:val="00253477"/>
    <w:rsid w:val="0025357A"/>
    <w:rsid w:val="0025372C"/>
    <w:rsid w:val="00254652"/>
    <w:rsid w:val="0025488C"/>
    <w:rsid w:val="00254BD6"/>
    <w:rsid w:val="00255AA1"/>
    <w:rsid w:val="00256B0D"/>
    <w:rsid w:val="002574AD"/>
    <w:rsid w:val="002576B1"/>
    <w:rsid w:val="00257931"/>
    <w:rsid w:val="00257AAF"/>
    <w:rsid w:val="00257F13"/>
    <w:rsid w:val="00260197"/>
    <w:rsid w:val="002603C8"/>
    <w:rsid w:val="0026047F"/>
    <w:rsid w:val="00260668"/>
    <w:rsid w:val="00260899"/>
    <w:rsid w:val="00260BC0"/>
    <w:rsid w:val="0026127F"/>
    <w:rsid w:val="0026160F"/>
    <w:rsid w:val="00261A1F"/>
    <w:rsid w:val="00261B00"/>
    <w:rsid w:val="00261EA0"/>
    <w:rsid w:val="002627A1"/>
    <w:rsid w:val="0026289C"/>
    <w:rsid w:val="00262B68"/>
    <w:rsid w:val="002634BA"/>
    <w:rsid w:val="00263E20"/>
    <w:rsid w:val="00263E3C"/>
    <w:rsid w:val="0026454A"/>
    <w:rsid w:val="0026491B"/>
    <w:rsid w:val="002649B6"/>
    <w:rsid w:val="00264C80"/>
    <w:rsid w:val="00264D19"/>
    <w:rsid w:val="00264FD3"/>
    <w:rsid w:val="00265052"/>
    <w:rsid w:val="00265285"/>
    <w:rsid w:val="0026583D"/>
    <w:rsid w:val="0026592E"/>
    <w:rsid w:val="00265988"/>
    <w:rsid w:val="00266067"/>
    <w:rsid w:val="0026674C"/>
    <w:rsid w:val="00266A8E"/>
    <w:rsid w:val="00266E23"/>
    <w:rsid w:val="00266F64"/>
    <w:rsid w:val="002674E2"/>
    <w:rsid w:val="00267AA7"/>
    <w:rsid w:val="00267D99"/>
    <w:rsid w:val="00267ECC"/>
    <w:rsid w:val="00267F50"/>
    <w:rsid w:val="002700D9"/>
    <w:rsid w:val="002702B9"/>
    <w:rsid w:val="00270F98"/>
    <w:rsid w:val="00271053"/>
    <w:rsid w:val="0027141D"/>
    <w:rsid w:val="00271593"/>
    <w:rsid w:val="002719DD"/>
    <w:rsid w:val="00272216"/>
    <w:rsid w:val="0027235D"/>
    <w:rsid w:val="002724C9"/>
    <w:rsid w:val="0027391E"/>
    <w:rsid w:val="00273E0B"/>
    <w:rsid w:val="0027402E"/>
    <w:rsid w:val="002740A6"/>
    <w:rsid w:val="00274454"/>
    <w:rsid w:val="002745C7"/>
    <w:rsid w:val="00274D0A"/>
    <w:rsid w:val="002754C9"/>
    <w:rsid w:val="00275D07"/>
    <w:rsid w:val="00276533"/>
    <w:rsid w:val="002766F2"/>
    <w:rsid w:val="002769DD"/>
    <w:rsid w:val="00276EAA"/>
    <w:rsid w:val="002808C7"/>
    <w:rsid w:val="00280994"/>
    <w:rsid w:val="00280ED6"/>
    <w:rsid w:val="0028230B"/>
    <w:rsid w:val="002823BF"/>
    <w:rsid w:val="00282592"/>
    <w:rsid w:val="00282920"/>
    <w:rsid w:val="00282AAA"/>
    <w:rsid w:val="00282D33"/>
    <w:rsid w:val="002831BA"/>
    <w:rsid w:val="002832CB"/>
    <w:rsid w:val="00284023"/>
    <w:rsid w:val="00284539"/>
    <w:rsid w:val="00284750"/>
    <w:rsid w:val="00285520"/>
    <w:rsid w:val="00285F4C"/>
    <w:rsid w:val="00285F6F"/>
    <w:rsid w:val="002862A6"/>
    <w:rsid w:val="002863B8"/>
    <w:rsid w:val="002863E0"/>
    <w:rsid w:val="00286C4D"/>
    <w:rsid w:val="0028766E"/>
    <w:rsid w:val="00287D60"/>
    <w:rsid w:val="00287F4A"/>
    <w:rsid w:val="002902A3"/>
    <w:rsid w:val="00290501"/>
    <w:rsid w:val="00290584"/>
    <w:rsid w:val="00290CC8"/>
    <w:rsid w:val="0029141B"/>
    <w:rsid w:val="00291546"/>
    <w:rsid w:val="00291601"/>
    <w:rsid w:val="00291824"/>
    <w:rsid w:val="00292053"/>
    <w:rsid w:val="00292A09"/>
    <w:rsid w:val="00293BA1"/>
    <w:rsid w:val="00295341"/>
    <w:rsid w:val="00295567"/>
    <w:rsid w:val="0029574F"/>
    <w:rsid w:val="00295B8E"/>
    <w:rsid w:val="00295DBE"/>
    <w:rsid w:val="00296A3D"/>
    <w:rsid w:val="002A031B"/>
    <w:rsid w:val="002A0341"/>
    <w:rsid w:val="002A0F24"/>
    <w:rsid w:val="002A1E94"/>
    <w:rsid w:val="002A25DF"/>
    <w:rsid w:val="002A25EF"/>
    <w:rsid w:val="002A28CE"/>
    <w:rsid w:val="002A2B25"/>
    <w:rsid w:val="002A33AD"/>
    <w:rsid w:val="002A34CB"/>
    <w:rsid w:val="002A357B"/>
    <w:rsid w:val="002A485E"/>
    <w:rsid w:val="002A5595"/>
    <w:rsid w:val="002A5C1B"/>
    <w:rsid w:val="002A6C5E"/>
    <w:rsid w:val="002A6E6F"/>
    <w:rsid w:val="002A72AF"/>
    <w:rsid w:val="002B0EAF"/>
    <w:rsid w:val="002B14D3"/>
    <w:rsid w:val="002B21E4"/>
    <w:rsid w:val="002B2722"/>
    <w:rsid w:val="002B2B0C"/>
    <w:rsid w:val="002B3DBA"/>
    <w:rsid w:val="002B4D23"/>
    <w:rsid w:val="002B541D"/>
    <w:rsid w:val="002B581E"/>
    <w:rsid w:val="002B6221"/>
    <w:rsid w:val="002B6E33"/>
    <w:rsid w:val="002B7265"/>
    <w:rsid w:val="002B7DCA"/>
    <w:rsid w:val="002C0646"/>
    <w:rsid w:val="002C07DF"/>
    <w:rsid w:val="002C08CC"/>
    <w:rsid w:val="002C0B57"/>
    <w:rsid w:val="002C0E59"/>
    <w:rsid w:val="002C0EBF"/>
    <w:rsid w:val="002C1507"/>
    <w:rsid w:val="002C16F0"/>
    <w:rsid w:val="002C1798"/>
    <w:rsid w:val="002C1BE0"/>
    <w:rsid w:val="002C2989"/>
    <w:rsid w:val="002C2BB8"/>
    <w:rsid w:val="002C31DF"/>
    <w:rsid w:val="002C4DB0"/>
    <w:rsid w:val="002C4DFF"/>
    <w:rsid w:val="002C6AEB"/>
    <w:rsid w:val="002C6DB6"/>
    <w:rsid w:val="002C785A"/>
    <w:rsid w:val="002D0764"/>
    <w:rsid w:val="002D0BBD"/>
    <w:rsid w:val="002D0C68"/>
    <w:rsid w:val="002D0E32"/>
    <w:rsid w:val="002D1528"/>
    <w:rsid w:val="002D19F3"/>
    <w:rsid w:val="002D211E"/>
    <w:rsid w:val="002D2370"/>
    <w:rsid w:val="002D2B3D"/>
    <w:rsid w:val="002D2D29"/>
    <w:rsid w:val="002D39D1"/>
    <w:rsid w:val="002D43C5"/>
    <w:rsid w:val="002D5223"/>
    <w:rsid w:val="002D5B1D"/>
    <w:rsid w:val="002D66D8"/>
    <w:rsid w:val="002D6A93"/>
    <w:rsid w:val="002D7503"/>
    <w:rsid w:val="002D79EF"/>
    <w:rsid w:val="002D7BAB"/>
    <w:rsid w:val="002D7EEE"/>
    <w:rsid w:val="002E0928"/>
    <w:rsid w:val="002E0B3E"/>
    <w:rsid w:val="002E0B93"/>
    <w:rsid w:val="002E0E17"/>
    <w:rsid w:val="002E12B9"/>
    <w:rsid w:val="002E14E0"/>
    <w:rsid w:val="002E155D"/>
    <w:rsid w:val="002E17B5"/>
    <w:rsid w:val="002E18EB"/>
    <w:rsid w:val="002E3836"/>
    <w:rsid w:val="002E3AF7"/>
    <w:rsid w:val="002E3D25"/>
    <w:rsid w:val="002E447A"/>
    <w:rsid w:val="002E4721"/>
    <w:rsid w:val="002E47E4"/>
    <w:rsid w:val="002E5B97"/>
    <w:rsid w:val="002E5CCF"/>
    <w:rsid w:val="002E60C5"/>
    <w:rsid w:val="002E7296"/>
    <w:rsid w:val="002E790D"/>
    <w:rsid w:val="002E7F04"/>
    <w:rsid w:val="002E7F6A"/>
    <w:rsid w:val="002F082B"/>
    <w:rsid w:val="002F0D2B"/>
    <w:rsid w:val="002F0D79"/>
    <w:rsid w:val="002F0EC9"/>
    <w:rsid w:val="002F1385"/>
    <w:rsid w:val="002F1B0D"/>
    <w:rsid w:val="002F1CDF"/>
    <w:rsid w:val="002F28F0"/>
    <w:rsid w:val="002F2B3F"/>
    <w:rsid w:val="002F31BE"/>
    <w:rsid w:val="002F3754"/>
    <w:rsid w:val="002F3AA1"/>
    <w:rsid w:val="002F50ED"/>
    <w:rsid w:val="002F5F69"/>
    <w:rsid w:val="002F68C1"/>
    <w:rsid w:val="002F68D2"/>
    <w:rsid w:val="002F71BE"/>
    <w:rsid w:val="002F7211"/>
    <w:rsid w:val="002F76B4"/>
    <w:rsid w:val="002F7A8E"/>
    <w:rsid w:val="002F7B0E"/>
    <w:rsid w:val="003010E0"/>
    <w:rsid w:val="0030162B"/>
    <w:rsid w:val="003018FF"/>
    <w:rsid w:val="0030199C"/>
    <w:rsid w:val="00301D6A"/>
    <w:rsid w:val="00301EB8"/>
    <w:rsid w:val="00302444"/>
    <w:rsid w:val="003025C9"/>
    <w:rsid w:val="00302773"/>
    <w:rsid w:val="003039A6"/>
    <w:rsid w:val="00303B5B"/>
    <w:rsid w:val="00303C23"/>
    <w:rsid w:val="00303C8B"/>
    <w:rsid w:val="00304897"/>
    <w:rsid w:val="00304B5F"/>
    <w:rsid w:val="00304F6C"/>
    <w:rsid w:val="003051E6"/>
    <w:rsid w:val="003053AB"/>
    <w:rsid w:val="0030640C"/>
    <w:rsid w:val="003066E2"/>
    <w:rsid w:val="003071D8"/>
    <w:rsid w:val="003075F8"/>
    <w:rsid w:val="00307724"/>
    <w:rsid w:val="00307B79"/>
    <w:rsid w:val="00307E9B"/>
    <w:rsid w:val="003105B5"/>
    <w:rsid w:val="00310946"/>
    <w:rsid w:val="00310C42"/>
    <w:rsid w:val="00310EEC"/>
    <w:rsid w:val="00310FDC"/>
    <w:rsid w:val="00311474"/>
    <w:rsid w:val="0031189A"/>
    <w:rsid w:val="003120CD"/>
    <w:rsid w:val="0031215C"/>
    <w:rsid w:val="00312894"/>
    <w:rsid w:val="00312E99"/>
    <w:rsid w:val="00313D47"/>
    <w:rsid w:val="00314168"/>
    <w:rsid w:val="003145A3"/>
    <w:rsid w:val="0031487A"/>
    <w:rsid w:val="00314F4F"/>
    <w:rsid w:val="003155FA"/>
    <w:rsid w:val="00315836"/>
    <w:rsid w:val="00315F09"/>
    <w:rsid w:val="00316128"/>
    <w:rsid w:val="00316408"/>
    <w:rsid w:val="00316875"/>
    <w:rsid w:val="00316881"/>
    <w:rsid w:val="00316B63"/>
    <w:rsid w:val="00316B93"/>
    <w:rsid w:val="00316F5C"/>
    <w:rsid w:val="00317006"/>
    <w:rsid w:val="00317C55"/>
    <w:rsid w:val="00320460"/>
    <w:rsid w:val="00320538"/>
    <w:rsid w:val="003206C2"/>
    <w:rsid w:val="003208AB"/>
    <w:rsid w:val="00320B03"/>
    <w:rsid w:val="00320D2D"/>
    <w:rsid w:val="00321552"/>
    <w:rsid w:val="00321E69"/>
    <w:rsid w:val="0032263D"/>
    <w:rsid w:val="003239BD"/>
    <w:rsid w:val="00323C5E"/>
    <w:rsid w:val="00323F08"/>
    <w:rsid w:val="00324888"/>
    <w:rsid w:val="00324898"/>
    <w:rsid w:val="00324E65"/>
    <w:rsid w:val="00325D67"/>
    <w:rsid w:val="00325FB3"/>
    <w:rsid w:val="0032696D"/>
    <w:rsid w:val="003269D4"/>
    <w:rsid w:val="003269F2"/>
    <w:rsid w:val="00326BBA"/>
    <w:rsid w:val="00326BC4"/>
    <w:rsid w:val="00326ECC"/>
    <w:rsid w:val="00326EF0"/>
    <w:rsid w:val="00330238"/>
    <w:rsid w:val="003306E8"/>
    <w:rsid w:val="00330B0F"/>
    <w:rsid w:val="00330CEF"/>
    <w:rsid w:val="00330DE3"/>
    <w:rsid w:val="0033169D"/>
    <w:rsid w:val="00331DCF"/>
    <w:rsid w:val="00331EC6"/>
    <w:rsid w:val="00332013"/>
    <w:rsid w:val="00332135"/>
    <w:rsid w:val="00332318"/>
    <w:rsid w:val="0033252D"/>
    <w:rsid w:val="0033279B"/>
    <w:rsid w:val="003327F2"/>
    <w:rsid w:val="00333BB3"/>
    <w:rsid w:val="00333DA1"/>
    <w:rsid w:val="00333E5E"/>
    <w:rsid w:val="00333FEF"/>
    <w:rsid w:val="003340E0"/>
    <w:rsid w:val="0033436D"/>
    <w:rsid w:val="00334823"/>
    <w:rsid w:val="0033544F"/>
    <w:rsid w:val="003359AC"/>
    <w:rsid w:val="003360EF"/>
    <w:rsid w:val="003365BF"/>
    <w:rsid w:val="0033684E"/>
    <w:rsid w:val="00336DEC"/>
    <w:rsid w:val="00336EFD"/>
    <w:rsid w:val="00337795"/>
    <w:rsid w:val="00337912"/>
    <w:rsid w:val="00337EE5"/>
    <w:rsid w:val="00340688"/>
    <w:rsid w:val="00340D45"/>
    <w:rsid w:val="003410A2"/>
    <w:rsid w:val="00341328"/>
    <w:rsid w:val="0034152F"/>
    <w:rsid w:val="003415B2"/>
    <w:rsid w:val="0034191A"/>
    <w:rsid w:val="003433D0"/>
    <w:rsid w:val="00343421"/>
    <w:rsid w:val="00343B1B"/>
    <w:rsid w:val="00343F90"/>
    <w:rsid w:val="003446CA"/>
    <w:rsid w:val="0034490D"/>
    <w:rsid w:val="00344CC9"/>
    <w:rsid w:val="00344FA9"/>
    <w:rsid w:val="0034543B"/>
    <w:rsid w:val="003462BE"/>
    <w:rsid w:val="00346548"/>
    <w:rsid w:val="00346C8B"/>
    <w:rsid w:val="00347336"/>
    <w:rsid w:val="003473E7"/>
    <w:rsid w:val="00350243"/>
    <w:rsid w:val="003510B3"/>
    <w:rsid w:val="0035135B"/>
    <w:rsid w:val="00351752"/>
    <w:rsid w:val="00351A48"/>
    <w:rsid w:val="0035258F"/>
    <w:rsid w:val="00352A1C"/>
    <w:rsid w:val="003531F7"/>
    <w:rsid w:val="0035332B"/>
    <w:rsid w:val="00353E2B"/>
    <w:rsid w:val="003546A1"/>
    <w:rsid w:val="003550AB"/>
    <w:rsid w:val="003556E2"/>
    <w:rsid w:val="0035582C"/>
    <w:rsid w:val="00355A35"/>
    <w:rsid w:val="0035643C"/>
    <w:rsid w:val="00356793"/>
    <w:rsid w:val="00360019"/>
    <w:rsid w:val="00360ABA"/>
    <w:rsid w:val="0036113B"/>
    <w:rsid w:val="0036144C"/>
    <w:rsid w:val="00361681"/>
    <w:rsid w:val="003617EB"/>
    <w:rsid w:val="00362389"/>
    <w:rsid w:val="003623D4"/>
    <w:rsid w:val="00362FBF"/>
    <w:rsid w:val="00363543"/>
    <w:rsid w:val="0036387A"/>
    <w:rsid w:val="00363DD6"/>
    <w:rsid w:val="00364174"/>
    <w:rsid w:val="0036448A"/>
    <w:rsid w:val="00364C89"/>
    <w:rsid w:val="00364E58"/>
    <w:rsid w:val="00365160"/>
    <w:rsid w:val="00365D59"/>
    <w:rsid w:val="00366131"/>
    <w:rsid w:val="00366873"/>
    <w:rsid w:val="00366E52"/>
    <w:rsid w:val="0036758B"/>
    <w:rsid w:val="00367A59"/>
    <w:rsid w:val="00367A80"/>
    <w:rsid w:val="00367FB1"/>
    <w:rsid w:val="0037086C"/>
    <w:rsid w:val="00370981"/>
    <w:rsid w:val="00370A23"/>
    <w:rsid w:val="00370FF4"/>
    <w:rsid w:val="00371107"/>
    <w:rsid w:val="00371AD6"/>
    <w:rsid w:val="0037269E"/>
    <w:rsid w:val="00372D18"/>
    <w:rsid w:val="00372FAB"/>
    <w:rsid w:val="00373984"/>
    <w:rsid w:val="00373EB0"/>
    <w:rsid w:val="003741FA"/>
    <w:rsid w:val="003743CF"/>
    <w:rsid w:val="003744A4"/>
    <w:rsid w:val="003746D0"/>
    <w:rsid w:val="003749D0"/>
    <w:rsid w:val="00374BBE"/>
    <w:rsid w:val="00374D9A"/>
    <w:rsid w:val="00374F1F"/>
    <w:rsid w:val="00375866"/>
    <w:rsid w:val="0037619C"/>
    <w:rsid w:val="00376F86"/>
    <w:rsid w:val="003778B9"/>
    <w:rsid w:val="00377D79"/>
    <w:rsid w:val="00380D45"/>
    <w:rsid w:val="003811BF"/>
    <w:rsid w:val="003814C4"/>
    <w:rsid w:val="003814DE"/>
    <w:rsid w:val="00381BE3"/>
    <w:rsid w:val="00381E19"/>
    <w:rsid w:val="0038208E"/>
    <w:rsid w:val="0038252C"/>
    <w:rsid w:val="00382966"/>
    <w:rsid w:val="00383BCC"/>
    <w:rsid w:val="00383BE5"/>
    <w:rsid w:val="00383CD3"/>
    <w:rsid w:val="00383E90"/>
    <w:rsid w:val="00385090"/>
    <w:rsid w:val="00385391"/>
    <w:rsid w:val="00385594"/>
    <w:rsid w:val="0038599A"/>
    <w:rsid w:val="00385BFB"/>
    <w:rsid w:val="00385C8F"/>
    <w:rsid w:val="00386056"/>
    <w:rsid w:val="003864D5"/>
    <w:rsid w:val="00386510"/>
    <w:rsid w:val="00386516"/>
    <w:rsid w:val="00386B36"/>
    <w:rsid w:val="00387255"/>
    <w:rsid w:val="00387743"/>
    <w:rsid w:val="003879E9"/>
    <w:rsid w:val="003900A2"/>
    <w:rsid w:val="003900A6"/>
    <w:rsid w:val="00391109"/>
    <w:rsid w:val="0039128F"/>
    <w:rsid w:val="0039249D"/>
    <w:rsid w:val="00392893"/>
    <w:rsid w:val="00392A68"/>
    <w:rsid w:val="00393178"/>
    <w:rsid w:val="003932B7"/>
    <w:rsid w:val="00393687"/>
    <w:rsid w:val="00393C36"/>
    <w:rsid w:val="00393C9C"/>
    <w:rsid w:val="00394066"/>
    <w:rsid w:val="00395428"/>
    <w:rsid w:val="00395706"/>
    <w:rsid w:val="00395834"/>
    <w:rsid w:val="00396A34"/>
    <w:rsid w:val="0039707D"/>
    <w:rsid w:val="003972C4"/>
    <w:rsid w:val="00397544"/>
    <w:rsid w:val="00397DEF"/>
    <w:rsid w:val="003A0372"/>
    <w:rsid w:val="003A05D1"/>
    <w:rsid w:val="003A0BCD"/>
    <w:rsid w:val="003A0FF5"/>
    <w:rsid w:val="003A11A8"/>
    <w:rsid w:val="003A14C4"/>
    <w:rsid w:val="003A20B1"/>
    <w:rsid w:val="003A2474"/>
    <w:rsid w:val="003A2B4F"/>
    <w:rsid w:val="003A30CB"/>
    <w:rsid w:val="003A3B07"/>
    <w:rsid w:val="003A3C8E"/>
    <w:rsid w:val="003A3DF7"/>
    <w:rsid w:val="003A429B"/>
    <w:rsid w:val="003A4457"/>
    <w:rsid w:val="003A4979"/>
    <w:rsid w:val="003A4D79"/>
    <w:rsid w:val="003A4DF2"/>
    <w:rsid w:val="003A55A4"/>
    <w:rsid w:val="003A5A3D"/>
    <w:rsid w:val="003A5ADB"/>
    <w:rsid w:val="003A5B50"/>
    <w:rsid w:val="003A5B62"/>
    <w:rsid w:val="003A5E16"/>
    <w:rsid w:val="003A62DA"/>
    <w:rsid w:val="003A6656"/>
    <w:rsid w:val="003A6976"/>
    <w:rsid w:val="003A6F73"/>
    <w:rsid w:val="003A707A"/>
    <w:rsid w:val="003A75F5"/>
    <w:rsid w:val="003A7E67"/>
    <w:rsid w:val="003B10F7"/>
    <w:rsid w:val="003B1842"/>
    <w:rsid w:val="003B20C7"/>
    <w:rsid w:val="003B22E6"/>
    <w:rsid w:val="003B2EF4"/>
    <w:rsid w:val="003B3249"/>
    <w:rsid w:val="003B3842"/>
    <w:rsid w:val="003B3AFF"/>
    <w:rsid w:val="003B41F5"/>
    <w:rsid w:val="003B4ABB"/>
    <w:rsid w:val="003B4C4A"/>
    <w:rsid w:val="003B4ED1"/>
    <w:rsid w:val="003B5077"/>
    <w:rsid w:val="003B5A76"/>
    <w:rsid w:val="003B5DB1"/>
    <w:rsid w:val="003B5FE8"/>
    <w:rsid w:val="003B6040"/>
    <w:rsid w:val="003B6095"/>
    <w:rsid w:val="003B69AA"/>
    <w:rsid w:val="003B6F95"/>
    <w:rsid w:val="003B718C"/>
    <w:rsid w:val="003B7681"/>
    <w:rsid w:val="003B79B7"/>
    <w:rsid w:val="003B7E6D"/>
    <w:rsid w:val="003B7F5F"/>
    <w:rsid w:val="003C06B2"/>
    <w:rsid w:val="003C0E21"/>
    <w:rsid w:val="003C0E2E"/>
    <w:rsid w:val="003C0E81"/>
    <w:rsid w:val="003C19FE"/>
    <w:rsid w:val="003C1ECE"/>
    <w:rsid w:val="003C2053"/>
    <w:rsid w:val="003C22AA"/>
    <w:rsid w:val="003C280D"/>
    <w:rsid w:val="003C2A6C"/>
    <w:rsid w:val="003C4840"/>
    <w:rsid w:val="003C4AB0"/>
    <w:rsid w:val="003C4B8A"/>
    <w:rsid w:val="003C4BD2"/>
    <w:rsid w:val="003C5448"/>
    <w:rsid w:val="003C55FF"/>
    <w:rsid w:val="003C5E16"/>
    <w:rsid w:val="003C6463"/>
    <w:rsid w:val="003C6620"/>
    <w:rsid w:val="003C67C4"/>
    <w:rsid w:val="003C6C4A"/>
    <w:rsid w:val="003C6E63"/>
    <w:rsid w:val="003C74B7"/>
    <w:rsid w:val="003C7786"/>
    <w:rsid w:val="003C7881"/>
    <w:rsid w:val="003C7BDF"/>
    <w:rsid w:val="003C7D10"/>
    <w:rsid w:val="003D08B0"/>
    <w:rsid w:val="003D10AA"/>
    <w:rsid w:val="003D1626"/>
    <w:rsid w:val="003D1A8C"/>
    <w:rsid w:val="003D242E"/>
    <w:rsid w:val="003D26B3"/>
    <w:rsid w:val="003D27DA"/>
    <w:rsid w:val="003D2CCC"/>
    <w:rsid w:val="003D2E45"/>
    <w:rsid w:val="003D2F45"/>
    <w:rsid w:val="003D3FD7"/>
    <w:rsid w:val="003D43F9"/>
    <w:rsid w:val="003D4899"/>
    <w:rsid w:val="003D48BC"/>
    <w:rsid w:val="003D4940"/>
    <w:rsid w:val="003D4974"/>
    <w:rsid w:val="003D4A05"/>
    <w:rsid w:val="003D4D7A"/>
    <w:rsid w:val="003D5096"/>
    <w:rsid w:val="003D52FA"/>
    <w:rsid w:val="003D566F"/>
    <w:rsid w:val="003D5F03"/>
    <w:rsid w:val="003D604E"/>
    <w:rsid w:val="003D6092"/>
    <w:rsid w:val="003D63D2"/>
    <w:rsid w:val="003D6617"/>
    <w:rsid w:val="003D6A4C"/>
    <w:rsid w:val="003D7040"/>
    <w:rsid w:val="003D71A3"/>
    <w:rsid w:val="003D7897"/>
    <w:rsid w:val="003D7A3D"/>
    <w:rsid w:val="003D7B88"/>
    <w:rsid w:val="003D7DBF"/>
    <w:rsid w:val="003D7DFE"/>
    <w:rsid w:val="003E0441"/>
    <w:rsid w:val="003E0B82"/>
    <w:rsid w:val="003E1442"/>
    <w:rsid w:val="003E1C53"/>
    <w:rsid w:val="003E2124"/>
    <w:rsid w:val="003E29A1"/>
    <w:rsid w:val="003E2AE8"/>
    <w:rsid w:val="003E2F88"/>
    <w:rsid w:val="003E32C5"/>
    <w:rsid w:val="003E37AD"/>
    <w:rsid w:val="003E39F3"/>
    <w:rsid w:val="003E3A59"/>
    <w:rsid w:val="003E4F00"/>
    <w:rsid w:val="003E50AD"/>
    <w:rsid w:val="003E523F"/>
    <w:rsid w:val="003E53A4"/>
    <w:rsid w:val="003E571C"/>
    <w:rsid w:val="003E58B1"/>
    <w:rsid w:val="003E5AA2"/>
    <w:rsid w:val="003E608D"/>
    <w:rsid w:val="003E63B6"/>
    <w:rsid w:val="003E72AB"/>
    <w:rsid w:val="003E7AD6"/>
    <w:rsid w:val="003E7E84"/>
    <w:rsid w:val="003F01FC"/>
    <w:rsid w:val="003F0242"/>
    <w:rsid w:val="003F076A"/>
    <w:rsid w:val="003F0815"/>
    <w:rsid w:val="003F0D1B"/>
    <w:rsid w:val="003F2923"/>
    <w:rsid w:val="003F2EA6"/>
    <w:rsid w:val="003F31C9"/>
    <w:rsid w:val="003F3E05"/>
    <w:rsid w:val="003F3EED"/>
    <w:rsid w:val="003F4430"/>
    <w:rsid w:val="003F45EF"/>
    <w:rsid w:val="003F5819"/>
    <w:rsid w:val="003F5850"/>
    <w:rsid w:val="003F5A41"/>
    <w:rsid w:val="003F5CA9"/>
    <w:rsid w:val="003F5F21"/>
    <w:rsid w:val="003F5FD8"/>
    <w:rsid w:val="003F6244"/>
    <w:rsid w:val="003F6AA5"/>
    <w:rsid w:val="003F6C62"/>
    <w:rsid w:val="003F6D97"/>
    <w:rsid w:val="003F6F81"/>
    <w:rsid w:val="003F703B"/>
    <w:rsid w:val="003F70E9"/>
    <w:rsid w:val="003F71B6"/>
    <w:rsid w:val="003F735B"/>
    <w:rsid w:val="003F7565"/>
    <w:rsid w:val="00400173"/>
    <w:rsid w:val="004002FE"/>
    <w:rsid w:val="00400375"/>
    <w:rsid w:val="0040079A"/>
    <w:rsid w:val="00400F09"/>
    <w:rsid w:val="004012BE"/>
    <w:rsid w:val="00401785"/>
    <w:rsid w:val="00401AB9"/>
    <w:rsid w:val="00401F0C"/>
    <w:rsid w:val="0040287A"/>
    <w:rsid w:val="00402943"/>
    <w:rsid w:val="004030E2"/>
    <w:rsid w:val="004037B2"/>
    <w:rsid w:val="00403D7B"/>
    <w:rsid w:val="004040CA"/>
    <w:rsid w:val="004041E0"/>
    <w:rsid w:val="00404917"/>
    <w:rsid w:val="00404DAB"/>
    <w:rsid w:val="004057CD"/>
    <w:rsid w:val="004068C2"/>
    <w:rsid w:val="0040778D"/>
    <w:rsid w:val="004078EE"/>
    <w:rsid w:val="00407C02"/>
    <w:rsid w:val="00407F3A"/>
    <w:rsid w:val="00410F96"/>
    <w:rsid w:val="0041151C"/>
    <w:rsid w:val="00411A37"/>
    <w:rsid w:val="00411C2B"/>
    <w:rsid w:val="004129E7"/>
    <w:rsid w:val="00412B9B"/>
    <w:rsid w:val="0041337A"/>
    <w:rsid w:val="00413440"/>
    <w:rsid w:val="004137CA"/>
    <w:rsid w:val="00413B2B"/>
    <w:rsid w:val="00413D0F"/>
    <w:rsid w:val="00414702"/>
    <w:rsid w:val="00414A0B"/>
    <w:rsid w:val="00414B3B"/>
    <w:rsid w:val="00415469"/>
    <w:rsid w:val="004154DD"/>
    <w:rsid w:val="00415D25"/>
    <w:rsid w:val="0041605B"/>
    <w:rsid w:val="00417153"/>
    <w:rsid w:val="00417404"/>
    <w:rsid w:val="00417B6B"/>
    <w:rsid w:val="004204DB"/>
    <w:rsid w:val="00420859"/>
    <w:rsid w:val="00421359"/>
    <w:rsid w:val="00421416"/>
    <w:rsid w:val="00421862"/>
    <w:rsid w:val="0042197E"/>
    <w:rsid w:val="004227FB"/>
    <w:rsid w:val="00422E3E"/>
    <w:rsid w:val="00423456"/>
    <w:rsid w:val="00423503"/>
    <w:rsid w:val="004238BC"/>
    <w:rsid w:val="00423A5C"/>
    <w:rsid w:val="00425929"/>
    <w:rsid w:val="00425A61"/>
    <w:rsid w:val="00425B1C"/>
    <w:rsid w:val="0042646B"/>
    <w:rsid w:val="0042687B"/>
    <w:rsid w:val="004270E4"/>
    <w:rsid w:val="004302E1"/>
    <w:rsid w:val="004305F7"/>
    <w:rsid w:val="00430981"/>
    <w:rsid w:val="00430E98"/>
    <w:rsid w:val="0043143C"/>
    <w:rsid w:val="00431450"/>
    <w:rsid w:val="00431735"/>
    <w:rsid w:val="00431780"/>
    <w:rsid w:val="00431811"/>
    <w:rsid w:val="00431A25"/>
    <w:rsid w:val="00431E11"/>
    <w:rsid w:val="00431F15"/>
    <w:rsid w:val="00432860"/>
    <w:rsid w:val="00432883"/>
    <w:rsid w:val="00432D85"/>
    <w:rsid w:val="00432E2E"/>
    <w:rsid w:val="00433492"/>
    <w:rsid w:val="00433693"/>
    <w:rsid w:val="00433E6A"/>
    <w:rsid w:val="00434002"/>
    <w:rsid w:val="0043415B"/>
    <w:rsid w:val="00436895"/>
    <w:rsid w:val="00436E59"/>
    <w:rsid w:val="004373A3"/>
    <w:rsid w:val="00437650"/>
    <w:rsid w:val="004378EC"/>
    <w:rsid w:val="00437F8A"/>
    <w:rsid w:val="00440846"/>
    <w:rsid w:val="00440BD2"/>
    <w:rsid w:val="00440D1F"/>
    <w:rsid w:val="0044153D"/>
    <w:rsid w:val="0044161B"/>
    <w:rsid w:val="004418C5"/>
    <w:rsid w:val="00441975"/>
    <w:rsid w:val="00441B35"/>
    <w:rsid w:val="00441DB1"/>
    <w:rsid w:val="0044227B"/>
    <w:rsid w:val="0044256B"/>
    <w:rsid w:val="00442EB5"/>
    <w:rsid w:val="00443EF3"/>
    <w:rsid w:val="00444CF7"/>
    <w:rsid w:val="00444F04"/>
    <w:rsid w:val="0044512A"/>
    <w:rsid w:val="00445537"/>
    <w:rsid w:val="00445930"/>
    <w:rsid w:val="0044621B"/>
    <w:rsid w:val="004462B7"/>
    <w:rsid w:val="00446B65"/>
    <w:rsid w:val="00447EB3"/>
    <w:rsid w:val="00447F24"/>
    <w:rsid w:val="00447F73"/>
    <w:rsid w:val="00447FED"/>
    <w:rsid w:val="00450490"/>
    <w:rsid w:val="0045081F"/>
    <w:rsid w:val="00450895"/>
    <w:rsid w:val="00450AC3"/>
    <w:rsid w:val="00450B13"/>
    <w:rsid w:val="00451212"/>
    <w:rsid w:val="0045221C"/>
    <w:rsid w:val="004523A4"/>
    <w:rsid w:val="00452A0C"/>
    <w:rsid w:val="00452C45"/>
    <w:rsid w:val="00453147"/>
    <w:rsid w:val="00453365"/>
    <w:rsid w:val="00453C62"/>
    <w:rsid w:val="00453C6F"/>
    <w:rsid w:val="00453EFE"/>
    <w:rsid w:val="00454154"/>
    <w:rsid w:val="00454B99"/>
    <w:rsid w:val="00455073"/>
    <w:rsid w:val="00455301"/>
    <w:rsid w:val="00455DBC"/>
    <w:rsid w:val="0045635B"/>
    <w:rsid w:val="00456DE7"/>
    <w:rsid w:val="00456F44"/>
    <w:rsid w:val="00457093"/>
    <w:rsid w:val="004572EE"/>
    <w:rsid w:val="00457A6F"/>
    <w:rsid w:val="00460880"/>
    <w:rsid w:val="004608B7"/>
    <w:rsid w:val="00460EF2"/>
    <w:rsid w:val="00460FB5"/>
    <w:rsid w:val="004613E8"/>
    <w:rsid w:val="00461AA9"/>
    <w:rsid w:val="00461DB1"/>
    <w:rsid w:val="00461EC9"/>
    <w:rsid w:val="00462013"/>
    <w:rsid w:val="00462154"/>
    <w:rsid w:val="004623B2"/>
    <w:rsid w:val="004631AC"/>
    <w:rsid w:val="0046349A"/>
    <w:rsid w:val="00463A80"/>
    <w:rsid w:val="00463FDE"/>
    <w:rsid w:val="004643A9"/>
    <w:rsid w:val="00464510"/>
    <w:rsid w:val="0046485C"/>
    <w:rsid w:val="004648F2"/>
    <w:rsid w:val="00464E4B"/>
    <w:rsid w:val="00464F05"/>
    <w:rsid w:val="00465A74"/>
    <w:rsid w:val="00466532"/>
    <w:rsid w:val="004669DA"/>
    <w:rsid w:val="00467401"/>
    <w:rsid w:val="00467BD0"/>
    <w:rsid w:val="00467D6A"/>
    <w:rsid w:val="00467FE4"/>
    <w:rsid w:val="0047011A"/>
    <w:rsid w:val="00470573"/>
    <w:rsid w:val="0047058A"/>
    <w:rsid w:val="004708AF"/>
    <w:rsid w:val="00471143"/>
    <w:rsid w:val="00471AA1"/>
    <w:rsid w:val="00471CB4"/>
    <w:rsid w:val="00471D78"/>
    <w:rsid w:val="00471D8A"/>
    <w:rsid w:val="00471DE2"/>
    <w:rsid w:val="00471F8D"/>
    <w:rsid w:val="00472138"/>
    <w:rsid w:val="00472148"/>
    <w:rsid w:val="00472220"/>
    <w:rsid w:val="004723DF"/>
    <w:rsid w:val="004727E4"/>
    <w:rsid w:val="00472BD6"/>
    <w:rsid w:val="00473A7D"/>
    <w:rsid w:val="00473AA2"/>
    <w:rsid w:val="0047457D"/>
    <w:rsid w:val="00474985"/>
    <w:rsid w:val="00474E64"/>
    <w:rsid w:val="00474FE3"/>
    <w:rsid w:val="00475881"/>
    <w:rsid w:val="004774DD"/>
    <w:rsid w:val="00480007"/>
    <w:rsid w:val="00480C39"/>
    <w:rsid w:val="00480C71"/>
    <w:rsid w:val="00481114"/>
    <w:rsid w:val="00481442"/>
    <w:rsid w:val="0048153D"/>
    <w:rsid w:val="00481ACF"/>
    <w:rsid w:val="00481C83"/>
    <w:rsid w:val="00482189"/>
    <w:rsid w:val="00482318"/>
    <w:rsid w:val="004829F0"/>
    <w:rsid w:val="004829FD"/>
    <w:rsid w:val="00483205"/>
    <w:rsid w:val="0048327E"/>
    <w:rsid w:val="00483947"/>
    <w:rsid w:val="004839D2"/>
    <w:rsid w:val="00483AB0"/>
    <w:rsid w:val="00483C52"/>
    <w:rsid w:val="00483CC3"/>
    <w:rsid w:val="00484103"/>
    <w:rsid w:val="0048458C"/>
    <w:rsid w:val="00484AB6"/>
    <w:rsid w:val="0048507C"/>
    <w:rsid w:val="00485354"/>
    <w:rsid w:val="00485841"/>
    <w:rsid w:val="00485889"/>
    <w:rsid w:val="00485BFD"/>
    <w:rsid w:val="00485CC8"/>
    <w:rsid w:val="0048688D"/>
    <w:rsid w:val="00486C3E"/>
    <w:rsid w:val="00486C77"/>
    <w:rsid w:val="00487844"/>
    <w:rsid w:val="0048798F"/>
    <w:rsid w:val="00487CBD"/>
    <w:rsid w:val="004902D9"/>
    <w:rsid w:val="004905FE"/>
    <w:rsid w:val="00490709"/>
    <w:rsid w:val="00490D3F"/>
    <w:rsid w:val="0049149F"/>
    <w:rsid w:val="004916B0"/>
    <w:rsid w:val="00491D03"/>
    <w:rsid w:val="00491E66"/>
    <w:rsid w:val="00491FB4"/>
    <w:rsid w:val="0049279B"/>
    <w:rsid w:val="004927D1"/>
    <w:rsid w:val="00492DD7"/>
    <w:rsid w:val="00493069"/>
    <w:rsid w:val="00494587"/>
    <w:rsid w:val="0049479D"/>
    <w:rsid w:val="00494896"/>
    <w:rsid w:val="004948CF"/>
    <w:rsid w:val="00494ADF"/>
    <w:rsid w:val="004953F4"/>
    <w:rsid w:val="004954B6"/>
    <w:rsid w:val="004954D8"/>
    <w:rsid w:val="0049596D"/>
    <w:rsid w:val="004959FE"/>
    <w:rsid w:val="00495F87"/>
    <w:rsid w:val="0049609D"/>
    <w:rsid w:val="00496245"/>
    <w:rsid w:val="004968CA"/>
    <w:rsid w:val="00496C3B"/>
    <w:rsid w:val="00496E9C"/>
    <w:rsid w:val="00497129"/>
    <w:rsid w:val="00497353"/>
    <w:rsid w:val="00497A7F"/>
    <w:rsid w:val="00497BEC"/>
    <w:rsid w:val="004A01D2"/>
    <w:rsid w:val="004A0AB6"/>
    <w:rsid w:val="004A0C69"/>
    <w:rsid w:val="004A0E0B"/>
    <w:rsid w:val="004A128C"/>
    <w:rsid w:val="004A12AB"/>
    <w:rsid w:val="004A12F0"/>
    <w:rsid w:val="004A15DA"/>
    <w:rsid w:val="004A1731"/>
    <w:rsid w:val="004A2919"/>
    <w:rsid w:val="004A292D"/>
    <w:rsid w:val="004A2AE6"/>
    <w:rsid w:val="004A3B57"/>
    <w:rsid w:val="004A3B8B"/>
    <w:rsid w:val="004A3EB5"/>
    <w:rsid w:val="004A3FCA"/>
    <w:rsid w:val="004A4448"/>
    <w:rsid w:val="004A49F5"/>
    <w:rsid w:val="004A4A20"/>
    <w:rsid w:val="004A4C11"/>
    <w:rsid w:val="004A4F04"/>
    <w:rsid w:val="004A5444"/>
    <w:rsid w:val="004A5D43"/>
    <w:rsid w:val="004A6A9C"/>
    <w:rsid w:val="004A6ACA"/>
    <w:rsid w:val="004A72C7"/>
    <w:rsid w:val="004A74B5"/>
    <w:rsid w:val="004A7F8B"/>
    <w:rsid w:val="004B0C32"/>
    <w:rsid w:val="004B1EF8"/>
    <w:rsid w:val="004B2064"/>
    <w:rsid w:val="004B20E8"/>
    <w:rsid w:val="004B21B9"/>
    <w:rsid w:val="004B2360"/>
    <w:rsid w:val="004B240A"/>
    <w:rsid w:val="004B2534"/>
    <w:rsid w:val="004B29CB"/>
    <w:rsid w:val="004B29EC"/>
    <w:rsid w:val="004B2E98"/>
    <w:rsid w:val="004B34DE"/>
    <w:rsid w:val="004B3675"/>
    <w:rsid w:val="004B3EAA"/>
    <w:rsid w:val="004B46BA"/>
    <w:rsid w:val="004B5033"/>
    <w:rsid w:val="004B568C"/>
    <w:rsid w:val="004B5B61"/>
    <w:rsid w:val="004B5D09"/>
    <w:rsid w:val="004B69D1"/>
    <w:rsid w:val="004B6F7A"/>
    <w:rsid w:val="004B70A8"/>
    <w:rsid w:val="004B7686"/>
    <w:rsid w:val="004B7A5C"/>
    <w:rsid w:val="004B7A74"/>
    <w:rsid w:val="004B7B45"/>
    <w:rsid w:val="004C0F86"/>
    <w:rsid w:val="004C1697"/>
    <w:rsid w:val="004C1A21"/>
    <w:rsid w:val="004C22F7"/>
    <w:rsid w:val="004C2422"/>
    <w:rsid w:val="004C24C5"/>
    <w:rsid w:val="004C2AEE"/>
    <w:rsid w:val="004C2D93"/>
    <w:rsid w:val="004C3277"/>
    <w:rsid w:val="004C337D"/>
    <w:rsid w:val="004C34CB"/>
    <w:rsid w:val="004C3D59"/>
    <w:rsid w:val="004C58BF"/>
    <w:rsid w:val="004C5BE6"/>
    <w:rsid w:val="004C6178"/>
    <w:rsid w:val="004C6CC2"/>
    <w:rsid w:val="004C6F01"/>
    <w:rsid w:val="004C7399"/>
    <w:rsid w:val="004C73EC"/>
    <w:rsid w:val="004C7458"/>
    <w:rsid w:val="004C745B"/>
    <w:rsid w:val="004C77AB"/>
    <w:rsid w:val="004C7A85"/>
    <w:rsid w:val="004C7DED"/>
    <w:rsid w:val="004D0127"/>
    <w:rsid w:val="004D0439"/>
    <w:rsid w:val="004D0F40"/>
    <w:rsid w:val="004D169F"/>
    <w:rsid w:val="004D1E3C"/>
    <w:rsid w:val="004D2753"/>
    <w:rsid w:val="004D29E7"/>
    <w:rsid w:val="004D2D70"/>
    <w:rsid w:val="004D33AD"/>
    <w:rsid w:val="004D386A"/>
    <w:rsid w:val="004D3DE1"/>
    <w:rsid w:val="004D3E7B"/>
    <w:rsid w:val="004D49AC"/>
    <w:rsid w:val="004D55F6"/>
    <w:rsid w:val="004D5A78"/>
    <w:rsid w:val="004D5CE7"/>
    <w:rsid w:val="004D69B6"/>
    <w:rsid w:val="004D7613"/>
    <w:rsid w:val="004D7B4B"/>
    <w:rsid w:val="004E06D4"/>
    <w:rsid w:val="004E1116"/>
    <w:rsid w:val="004E11BF"/>
    <w:rsid w:val="004E1414"/>
    <w:rsid w:val="004E1690"/>
    <w:rsid w:val="004E199C"/>
    <w:rsid w:val="004E1BE7"/>
    <w:rsid w:val="004E1C78"/>
    <w:rsid w:val="004E2165"/>
    <w:rsid w:val="004E2589"/>
    <w:rsid w:val="004E259A"/>
    <w:rsid w:val="004E26D2"/>
    <w:rsid w:val="004E2AC1"/>
    <w:rsid w:val="004E2CF2"/>
    <w:rsid w:val="004E34A9"/>
    <w:rsid w:val="004E376C"/>
    <w:rsid w:val="004E3863"/>
    <w:rsid w:val="004E3896"/>
    <w:rsid w:val="004E38D7"/>
    <w:rsid w:val="004E3ADC"/>
    <w:rsid w:val="004E47EF"/>
    <w:rsid w:val="004E4D87"/>
    <w:rsid w:val="004E579C"/>
    <w:rsid w:val="004E5ADE"/>
    <w:rsid w:val="004E5CCD"/>
    <w:rsid w:val="004E628E"/>
    <w:rsid w:val="004E6577"/>
    <w:rsid w:val="004E6673"/>
    <w:rsid w:val="004E66D8"/>
    <w:rsid w:val="004E6FCE"/>
    <w:rsid w:val="004E70EB"/>
    <w:rsid w:val="004E711F"/>
    <w:rsid w:val="004E7689"/>
    <w:rsid w:val="004E7B36"/>
    <w:rsid w:val="004F1FDF"/>
    <w:rsid w:val="004F2116"/>
    <w:rsid w:val="004F2AF0"/>
    <w:rsid w:val="004F3156"/>
    <w:rsid w:val="004F32D6"/>
    <w:rsid w:val="004F3548"/>
    <w:rsid w:val="004F371E"/>
    <w:rsid w:val="004F3DAD"/>
    <w:rsid w:val="004F42B4"/>
    <w:rsid w:val="004F4431"/>
    <w:rsid w:val="004F4834"/>
    <w:rsid w:val="004F4975"/>
    <w:rsid w:val="004F4A60"/>
    <w:rsid w:val="004F4D57"/>
    <w:rsid w:val="004F52B5"/>
    <w:rsid w:val="004F55E2"/>
    <w:rsid w:val="004F7178"/>
    <w:rsid w:val="004F75E4"/>
    <w:rsid w:val="005009C5"/>
    <w:rsid w:val="00500C86"/>
    <w:rsid w:val="00501CC8"/>
    <w:rsid w:val="00501F2D"/>
    <w:rsid w:val="00502D3B"/>
    <w:rsid w:val="00503692"/>
    <w:rsid w:val="00504244"/>
    <w:rsid w:val="0050463C"/>
    <w:rsid w:val="005049AD"/>
    <w:rsid w:val="00504AB7"/>
    <w:rsid w:val="00504F8E"/>
    <w:rsid w:val="0050557C"/>
    <w:rsid w:val="0050563C"/>
    <w:rsid w:val="0050691C"/>
    <w:rsid w:val="00506FE0"/>
    <w:rsid w:val="0050763F"/>
    <w:rsid w:val="005078BA"/>
    <w:rsid w:val="00510721"/>
    <w:rsid w:val="00511C3E"/>
    <w:rsid w:val="0051236A"/>
    <w:rsid w:val="00512819"/>
    <w:rsid w:val="0051295A"/>
    <w:rsid w:val="00512BD0"/>
    <w:rsid w:val="00512F03"/>
    <w:rsid w:val="00512FDB"/>
    <w:rsid w:val="00513356"/>
    <w:rsid w:val="0051354C"/>
    <w:rsid w:val="005137D8"/>
    <w:rsid w:val="00513937"/>
    <w:rsid w:val="00513A54"/>
    <w:rsid w:val="005140EA"/>
    <w:rsid w:val="005149E6"/>
    <w:rsid w:val="00514A8C"/>
    <w:rsid w:val="00514B14"/>
    <w:rsid w:val="00514B36"/>
    <w:rsid w:val="00514DBC"/>
    <w:rsid w:val="00515116"/>
    <w:rsid w:val="00515751"/>
    <w:rsid w:val="00516B65"/>
    <w:rsid w:val="00516DD8"/>
    <w:rsid w:val="00516E9F"/>
    <w:rsid w:val="00517079"/>
    <w:rsid w:val="005208FF"/>
    <w:rsid w:val="00520D38"/>
    <w:rsid w:val="00522573"/>
    <w:rsid w:val="00522609"/>
    <w:rsid w:val="005226FB"/>
    <w:rsid w:val="005228A3"/>
    <w:rsid w:val="005229AC"/>
    <w:rsid w:val="00522A58"/>
    <w:rsid w:val="00522FD9"/>
    <w:rsid w:val="00523448"/>
    <w:rsid w:val="00523653"/>
    <w:rsid w:val="00523793"/>
    <w:rsid w:val="00523BF9"/>
    <w:rsid w:val="0052450A"/>
    <w:rsid w:val="005249B1"/>
    <w:rsid w:val="00524BB9"/>
    <w:rsid w:val="005251D4"/>
    <w:rsid w:val="00525519"/>
    <w:rsid w:val="00525587"/>
    <w:rsid w:val="005257FE"/>
    <w:rsid w:val="005259A2"/>
    <w:rsid w:val="00525B7B"/>
    <w:rsid w:val="00525F66"/>
    <w:rsid w:val="00526444"/>
    <w:rsid w:val="00526497"/>
    <w:rsid w:val="0052697E"/>
    <w:rsid w:val="00526C78"/>
    <w:rsid w:val="00527C1D"/>
    <w:rsid w:val="00530253"/>
    <w:rsid w:val="005310FB"/>
    <w:rsid w:val="00531448"/>
    <w:rsid w:val="0053149F"/>
    <w:rsid w:val="00531537"/>
    <w:rsid w:val="0053192B"/>
    <w:rsid w:val="00531ACC"/>
    <w:rsid w:val="00531FD9"/>
    <w:rsid w:val="005329BE"/>
    <w:rsid w:val="00532C94"/>
    <w:rsid w:val="005330A6"/>
    <w:rsid w:val="005330B9"/>
    <w:rsid w:val="0053377E"/>
    <w:rsid w:val="00533A9B"/>
    <w:rsid w:val="00533C7F"/>
    <w:rsid w:val="0053495A"/>
    <w:rsid w:val="00535123"/>
    <w:rsid w:val="0053517B"/>
    <w:rsid w:val="0053578C"/>
    <w:rsid w:val="0053582F"/>
    <w:rsid w:val="00535A9C"/>
    <w:rsid w:val="00535C7D"/>
    <w:rsid w:val="00536792"/>
    <w:rsid w:val="00536A99"/>
    <w:rsid w:val="00536D03"/>
    <w:rsid w:val="0053706B"/>
    <w:rsid w:val="00537246"/>
    <w:rsid w:val="00537972"/>
    <w:rsid w:val="00540110"/>
    <w:rsid w:val="0054018C"/>
    <w:rsid w:val="005402CB"/>
    <w:rsid w:val="00540ACA"/>
    <w:rsid w:val="00540E1F"/>
    <w:rsid w:val="00540FD5"/>
    <w:rsid w:val="00541594"/>
    <w:rsid w:val="00541720"/>
    <w:rsid w:val="00542120"/>
    <w:rsid w:val="00542AD5"/>
    <w:rsid w:val="00542D73"/>
    <w:rsid w:val="00543236"/>
    <w:rsid w:val="00543FAA"/>
    <w:rsid w:val="00544756"/>
    <w:rsid w:val="005447B5"/>
    <w:rsid w:val="0054501B"/>
    <w:rsid w:val="00545BD2"/>
    <w:rsid w:val="00546323"/>
    <w:rsid w:val="00546433"/>
    <w:rsid w:val="00547168"/>
    <w:rsid w:val="0054732D"/>
    <w:rsid w:val="0054789A"/>
    <w:rsid w:val="00547DC2"/>
    <w:rsid w:val="00550A15"/>
    <w:rsid w:val="005517F7"/>
    <w:rsid w:val="00551AB8"/>
    <w:rsid w:val="00552376"/>
    <w:rsid w:val="0055283D"/>
    <w:rsid w:val="00552891"/>
    <w:rsid w:val="005528E6"/>
    <w:rsid w:val="005529FA"/>
    <w:rsid w:val="00552FB9"/>
    <w:rsid w:val="005530A1"/>
    <w:rsid w:val="0055319B"/>
    <w:rsid w:val="00553DBE"/>
    <w:rsid w:val="00554187"/>
    <w:rsid w:val="005542E0"/>
    <w:rsid w:val="0055587B"/>
    <w:rsid w:val="00555B24"/>
    <w:rsid w:val="00555B62"/>
    <w:rsid w:val="00555DF7"/>
    <w:rsid w:val="00555F87"/>
    <w:rsid w:val="00556013"/>
    <w:rsid w:val="005560A0"/>
    <w:rsid w:val="00556DF7"/>
    <w:rsid w:val="00557016"/>
    <w:rsid w:val="0055748D"/>
    <w:rsid w:val="00557774"/>
    <w:rsid w:val="00557B6F"/>
    <w:rsid w:val="00557BA3"/>
    <w:rsid w:val="00560527"/>
    <w:rsid w:val="00560882"/>
    <w:rsid w:val="00560928"/>
    <w:rsid w:val="005609A2"/>
    <w:rsid w:val="00561320"/>
    <w:rsid w:val="00561A61"/>
    <w:rsid w:val="00561C30"/>
    <w:rsid w:val="00562026"/>
    <w:rsid w:val="00562478"/>
    <w:rsid w:val="00562F1F"/>
    <w:rsid w:val="005630B4"/>
    <w:rsid w:val="0056311C"/>
    <w:rsid w:val="0056371D"/>
    <w:rsid w:val="00563C15"/>
    <w:rsid w:val="00563C59"/>
    <w:rsid w:val="0056402C"/>
    <w:rsid w:val="0056418F"/>
    <w:rsid w:val="00564322"/>
    <w:rsid w:val="005645E6"/>
    <w:rsid w:val="00564DBC"/>
    <w:rsid w:val="00564E23"/>
    <w:rsid w:val="005650A3"/>
    <w:rsid w:val="0056552F"/>
    <w:rsid w:val="00565623"/>
    <w:rsid w:val="00565F1C"/>
    <w:rsid w:val="005660B7"/>
    <w:rsid w:val="00566662"/>
    <w:rsid w:val="00566914"/>
    <w:rsid w:val="00566B10"/>
    <w:rsid w:val="00566CD4"/>
    <w:rsid w:val="00566F81"/>
    <w:rsid w:val="00567166"/>
    <w:rsid w:val="00567D13"/>
    <w:rsid w:val="00567DB3"/>
    <w:rsid w:val="005703FC"/>
    <w:rsid w:val="00570541"/>
    <w:rsid w:val="00571D8D"/>
    <w:rsid w:val="00572A2E"/>
    <w:rsid w:val="00572D6C"/>
    <w:rsid w:val="00573075"/>
    <w:rsid w:val="0057327D"/>
    <w:rsid w:val="00573AC4"/>
    <w:rsid w:val="00573EC0"/>
    <w:rsid w:val="005748C0"/>
    <w:rsid w:val="00574DBA"/>
    <w:rsid w:val="005750DF"/>
    <w:rsid w:val="00575129"/>
    <w:rsid w:val="00575217"/>
    <w:rsid w:val="00575BBC"/>
    <w:rsid w:val="00576728"/>
    <w:rsid w:val="00576E68"/>
    <w:rsid w:val="00576EF4"/>
    <w:rsid w:val="00577174"/>
    <w:rsid w:val="0057717A"/>
    <w:rsid w:val="00577535"/>
    <w:rsid w:val="005775F6"/>
    <w:rsid w:val="00577C34"/>
    <w:rsid w:val="005809E0"/>
    <w:rsid w:val="00580BCE"/>
    <w:rsid w:val="005810B5"/>
    <w:rsid w:val="00581604"/>
    <w:rsid w:val="00581B45"/>
    <w:rsid w:val="0058211C"/>
    <w:rsid w:val="00582148"/>
    <w:rsid w:val="00582951"/>
    <w:rsid w:val="00582A35"/>
    <w:rsid w:val="0058302D"/>
    <w:rsid w:val="005831B5"/>
    <w:rsid w:val="00583794"/>
    <w:rsid w:val="00583982"/>
    <w:rsid w:val="005839E4"/>
    <w:rsid w:val="00583ABE"/>
    <w:rsid w:val="00583C5B"/>
    <w:rsid w:val="00583D47"/>
    <w:rsid w:val="005840D4"/>
    <w:rsid w:val="0058418F"/>
    <w:rsid w:val="005847D6"/>
    <w:rsid w:val="00584F93"/>
    <w:rsid w:val="0058516B"/>
    <w:rsid w:val="00585449"/>
    <w:rsid w:val="00585695"/>
    <w:rsid w:val="00585A52"/>
    <w:rsid w:val="00586691"/>
    <w:rsid w:val="005867FE"/>
    <w:rsid w:val="005875A1"/>
    <w:rsid w:val="005878AA"/>
    <w:rsid w:val="00587FFA"/>
    <w:rsid w:val="00590317"/>
    <w:rsid w:val="005904BB"/>
    <w:rsid w:val="00590AFB"/>
    <w:rsid w:val="005916BB"/>
    <w:rsid w:val="00591A48"/>
    <w:rsid w:val="00591C4B"/>
    <w:rsid w:val="00591E0F"/>
    <w:rsid w:val="0059203E"/>
    <w:rsid w:val="00592666"/>
    <w:rsid w:val="00592776"/>
    <w:rsid w:val="0059294C"/>
    <w:rsid w:val="005933FD"/>
    <w:rsid w:val="0059381F"/>
    <w:rsid w:val="0059408B"/>
    <w:rsid w:val="00594357"/>
    <w:rsid w:val="00594DA6"/>
    <w:rsid w:val="00594DBC"/>
    <w:rsid w:val="00594E1A"/>
    <w:rsid w:val="0059512F"/>
    <w:rsid w:val="005958C1"/>
    <w:rsid w:val="00595CBC"/>
    <w:rsid w:val="00596374"/>
    <w:rsid w:val="0059689A"/>
    <w:rsid w:val="00596EB9"/>
    <w:rsid w:val="00596FA9"/>
    <w:rsid w:val="00597215"/>
    <w:rsid w:val="00597868"/>
    <w:rsid w:val="005A05CA"/>
    <w:rsid w:val="005A0FAE"/>
    <w:rsid w:val="005A1130"/>
    <w:rsid w:val="005A128C"/>
    <w:rsid w:val="005A2562"/>
    <w:rsid w:val="005A264A"/>
    <w:rsid w:val="005A2D18"/>
    <w:rsid w:val="005A47CC"/>
    <w:rsid w:val="005A483E"/>
    <w:rsid w:val="005A49D6"/>
    <w:rsid w:val="005A5117"/>
    <w:rsid w:val="005A5994"/>
    <w:rsid w:val="005A5B69"/>
    <w:rsid w:val="005A6056"/>
    <w:rsid w:val="005A622F"/>
    <w:rsid w:val="005A66A6"/>
    <w:rsid w:val="005A7652"/>
    <w:rsid w:val="005A799B"/>
    <w:rsid w:val="005A7A17"/>
    <w:rsid w:val="005B0829"/>
    <w:rsid w:val="005B0BAA"/>
    <w:rsid w:val="005B0CDC"/>
    <w:rsid w:val="005B1390"/>
    <w:rsid w:val="005B1855"/>
    <w:rsid w:val="005B1E08"/>
    <w:rsid w:val="005B1EB7"/>
    <w:rsid w:val="005B219D"/>
    <w:rsid w:val="005B221D"/>
    <w:rsid w:val="005B2924"/>
    <w:rsid w:val="005B2C3B"/>
    <w:rsid w:val="005B31AA"/>
    <w:rsid w:val="005B31EC"/>
    <w:rsid w:val="005B3295"/>
    <w:rsid w:val="005B3E6E"/>
    <w:rsid w:val="005B4327"/>
    <w:rsid w:val="005B4937"/>
    <w:rsid w:val="005B4EBF"/>
    <w:rsid w:val="005B53A9"/>
    <w:rsid w:val="005B542C"/>
    <w:rsid w:val="005B5522"/>
    <w:rsid w:val="005B5F7D"/>
    <w:rsid w:val="005B5FE0"/>
    <w:rsid w:val="005B6303"/>
    <w:rsid w:val="005B644F"/>
    <w:rsid w:val="005B65F3"/>
    <w:rsid w:val="005B6F8D"/>
    <w:rsid w:val="005B7511"/>
    <w:rsid w:val="005B757A"/>
    <w:rsid w:val="005B7584"/>
    <w:rsid w:val="005B7BEB"/>
    <w:rsid w:val="005C0250"/>
    <w:rsid w:val="005C0B69"/>
    <w:rsid w:val="005C0D16"/>
    <w:rsid w:val="005C0D45"/>
    <w:rsid w:val="005C0F59"/>
    <w:rsid w:val="005C1300"/>
    <w:rsid w:val="005C1351"/>
    <w:rsid w:val="005C1F35"/>
    <w:rsid w:val="005C280A"/>
    <w:rsid w:val="005C2E06"/>
    <w:rsid w:val="005C3661"/>
    <w:rsid w:val="005C4397"/>
    <w:rsid w:val="005C5711"/>
    <w:rsid w:val="005C584A"/>
    <w:rsid w:val="005C69B9"/>
    <w:rsid w:val="005C6CC4"/>
    <w:rsid w:val="005C6F49"/>
    <w:rsid w:val="005C707C"/>
    <w:rsid w:val="005C7BC3"/>
    <w:rsid w:val="005D060B"/>
    <w:rsid w:val="005D0856"/>
    <w:rsid w:val="005D0C9D"/>
    <w:rsid w:val="005D147F"/>
    <w:rsid w:val="005D17A0"/>
    <w:rsid w:val="005D1E92"/>
    <w:rsid w:val="005D2169"/>
    <w:rsid w:val="005D218F"/>
    <w:rsid w:val="005D30F8"/>
    <w:rsid w:val="005D323C"/>
    <w:rsid w:val="005D34E8"/>
    <w:rsid w:val="005D359A"/>
    <w:rsid w:val="005D3877"/>
    <w:rsid w:val="005D3AFF"/>
    <w:rsid w:val="005D41FE"/>
    <w:rsid w:val="005D4A52"/>
    <w:rsid w:val="005D5864"/>
    <w:rsid w:val="005D5CA9"/>
    <w:rsid w:val="005D5E1B"/>
    <w:rsid w:val="005D5EBE"/>
    <w:rsid w:val="005D600C"/>
    <w:rsid w:val="005D6890"/>
    <w:rsid w:val="005D68D4"/>
    <w:rsid w:val="005D7ECD"/>
    <w:rsid w:val="005E0A9C"/>
    <w:rsid w:val="005E1282"/>
    <w:rsid w:val="005E19BE"/>
    <w:rsid w:val="005E1E75"/>
    <w:rsid w:val="005E23A8"/>
    <w:rsid w:val="005E24F1"/>
    <w:rsid w:val="005E2619"/>
    <w:rsid w:val="005E271F"/>
    <w:rsid w:val="005E3019"/>
    <w:rsid w:val="005E3319"/>
    <w:rsid w:val="005E3C9B"/>
    <w:rsid w:val="005E3D9C"/>
    <w:rsid w:val="005E485A"/>
    <w:rsid w:val="005E4A64"/>
    <w:rsid w:val="005E5285"/>
    <w:rsid w:val="005E5DFC"/>
    <w:rsid w:val="005E604F"/>
    <w:rsid w:val="005E630C"/>
    <w:rsid w:val="005E641B"/>
    <w:rsid w:val="005E6782"/>
    <w:rsid w:val="005E68D0"/>
    <w:rsid w:val="005E6F6F"/>
    <w:rsid w:val="005E72E3"/>
    <w:rsid w:val="005E76BA"/>
    <w:rsid w:val="005E79AF"/>
    <w:rsid w:val="005E7BC1"/>
    <w:rsid w:val="005F1450"/>
    <w:rsid w:val="005F15D0"/>
    <w:rsid w:val="005F2BF8"/>
    <w:rsid w:val="005F2C85"/>
    <w:rsid w:val="005F2F80"/>
    <w:rsid w:val="005F3594"/>
    <w:rsid w:val="005F382A"/>
    <w:rsid w:val="005F3D71"/>
    <w:rsid w:val="005F3E99"/>
    <w:rsid w:val="005F4EA2"/>
    <w:rsid w:val="005F4FDF"/>
    <w:rsid w:val="005F6402"/>
    <w:rsid w:val="005F655C"/>
    <w:rsid w:val="005F6978"/>
    <w:rsid w:val="005F6BB4"/>
    <w:rsid w:val="005F78C0"/>
    <w:rsid w:val="005F7909"/>
    <w:rsid w:val="005F7B20"/>
    <w:rsid w:val="005F7DBA"/>
    <w:rsid w:val="005F7E92"/>
    <w:rsid w:val="0060085F"/>
    <w:rsid w:val="00600F16"/>
    <w:rsid w:val="006010A9"/>
    <w:rsid w:val="006013AF"/>
    <w:rsid w:val="0060147E"/>
    <w:rsid w:val="006018BB"/>
    <w:rsid w:val="0060271D"/>
    <w:rsid w:val="00602B77"/>
    <w:rsid w:val="00603429"/>
    <w:rsid w:val="0060353D"/>
    <w:rsid w:val="006038AE"/>
    <w:rsid w:val="00603FEA"/>
    <w:rsid w:val="00604135"/>
    <w:rsid w:val="0060469F"/>
    <w:rsid w:val="006047FE"/>
    <w:rsid w:val="00604E21"/>
    <w:rsid w:val="00605142"/>
    <w:rsid w:val="00605299"/>
    <w:rsid w:val="00605980"/>
    <w:rsid w:val="00605A58"/>
    <w:rsid w:val="00605B4A"/>
    <w:rsid w:val="00605DD4"/>
    <w:rsid w:val="00606089"/>
    <w:rsid w:val="00606854"/>
    <w:rsid w:val="0060728F"/>
    <w:rsid w:val="0060798A"/>
    <w:rsid w:val="00607D12"/>
    <w:rsid w:val="00607ED3"/>
    <w:rsid w:val="006101B8"/>
    <w:rsid w:val="006104A8"/>
    <w:rsid w:val="00610834"/>
    <w:rsid w:val="00610907"/>
    <w:rsid w:val="00611049"/>
    <w:rsid w:val="006113E4"/>
    <w:rsid w:val="006118FC"/>
    <w:rsid w:val="00611B5E"/>
    <w:rsid w:val="00611C4C"/>
    <w:rsid w:val="006125BF"/>
    <w:rsid w:val="0061283D"/>
    <w:rsid w:val="00612A28"/>
    <w:rsid w:val="00612BDB"/>
    <w:rsid w:val="006134B4"/>
    <w:rsid w:val="006138F0"/>
    <w:rsid w:val="00613D91"/>
    <w:rsid w:val="00613E27"/>
    <w:rsid w:val="00613FDE"/>
    <w:rsid w:val="006141C6"/>
    <w:rsid w:val="006143BF"/>
    <w:rsid w:val="0061458D"/>
    <w:rsid w:val="00614B17"/>
    <w:rsid w:val="00615590"/>
    <w:rsid w:val="006157B8"/>
    <w:rsid w:val="00615A2C"/>
    <w:rsid w:val="0061608E"/>
    <w:rsid w:val="006160BC"/>
    <w:rsid w:val="00616717"/>
    <w:rsid w:val="00616812"/>
    <w:rsid w:val="0061683F"/>
    <w:rsid w:val="00616EE7"/>
    <w:rsid w:val="006173D1"/>
    <w:rsid w:val="0061743D"/>
    <w:rsid w:val="006177B8"/>
    <w:rsid w:val="00617FE9"/>
    <w:rsid w:val="006208C4"/>
    <w:rsid w:val="006210CF"/>
    <w:rsid w:val="00621CD4"/>
    <w:rsid w:val="00622841"/>
    <w:rsid w:val="00623617"/>
    <w:rsid w:val="006242CD"/>
    <w:rsid w:val="00624589"/>
    <w:rsid w:val="00624B56"/>
    <w:rsid w:val="0062589E"/>
    <w:rsid w:val="006258D1"/>
    <w:rsid w:val="00625A6A"/>
    <w:rsid w:val="00625B33"/>
    <w:rsid w:val="00625CF7"/>
    <w:rsid w:val="00626265"/>
    <w:rsid w:val="006262AD"/>
    <w:rsid w:val="00626AAE"/>
    <w:rsid w:val="00626BD5"/>
    <w:rsid w:val="006270BC"/>
    <w:rsid w:val="00627330"/>
    <w:rsid w:val="00630007"/>
    <w:rsid w:val="00630168"/>
    <w:rsid w:val="006301C5"/>
    <w:rsid w:val="00630578"/>
    <w:rsid w:val="00630B0A"/>
    <w:rsid w:val="0063168D"/>
    <w:rsid w:val="00631826"/>
    <w:rsid w:val="00631DA4"/>
    <w:rsid w:val="00631EA5"/>
    <w:rsid w:val="0063215F"/>
    <w:rsid w:val="0063220C"/>
    <w:rsid w:val="00632A46"/>
    <w:rsid w:val="00632B5B"/>
    <w:rsid w:val="00632BA8"/>
    <w:rsid w:val="00632F11"/>
    <w:rsid w:val="006338E6"/>
    <w:rsid w:val="00633907"/>
    <w:rsid w:val="00633A1C"/>
    <w:rsid w:val="00633B3E"/>
    <w:rsid w:val="00633CE8"/>
    <w:rsid w:val="0063492C"/>
    <w:rsid w:val="00634AD7"/>
    <w:rsid w:val="00634DCF"/>
    <w:rsid w:val="0063534E"/>
    <w:rsid w:val="00635BC9"/>
    <w:rsid w:val="0063679F"/>
    <w:rsid w:val="006368C0"/>
    <w:rsid w:val="00636A49"/>
    <w:rsid w:val="00637421"/>
    <w:rsid w:val="00637722"/>
    <w:rsid w:val="006377F1"/>
    <w:rsid w:val="00637D73"/>
    <w:rsid w:val="00637ED0"/>
    <w:rsid w:val="006402C5"/>
    <w:rsid w:val="006409F3"/>
    <w:rsid w:val="00641185"/>
    <w:rsid w:val="00641204"/>
    <w:rsid w:val="006412E8"/>
    <w:rsid w:val="00641BCF"/>
    <w:rsid w:val="0064231B"/>
    <w:rsid w:val="006424AD"/>
    <w:rsid w:val="0064278E"/>
    <w:rsid w:val="006436AA"/>
    <w:rsid w:val="006436D2"/>
    <w:rsid w:val="00643B86"/>
    <w:rsid w:val="00644016"/>
    <w:rsid w:val="0064416D"/>
    <w:rsid w:val="00644532"/>
    <w:rsid w:val="00644908"/>
    <w:rsid w:val="00644E87"/>
    <w:rsid w:val="00644EB8"/>
    <w:rsid w:val="00646931"/>
    <w:rsid w:val="00646B65"/>
    <w:rsid w:val="006479F9"/>
    <w:rsid w:val="00647DFB"/>
    <w:rsid w:val="006507EB"/>
    <w:rsid w:val="006508BB"/>
    <w:rsid w:val="00650A4E"/>
    <w:rsid w:val="006515ED"/>
    <w:rsid w:val="00651602"/>
    <w:rsid w:val="00651D4A"/>
    <w:rsid w:val="0065217D"/>
    <w:rsid w:val="0065262B"/>
    <w:rsid w:val="00652AFF"/>
    <w:rsid w:val="006534EF"/>
    <w:rsid w:val="00653B1F"/>
    <w:rsid w:val="00653DFC"/>
    <w:rsid w:val="00654310"/>
    <w:rsid w:val="006548F2"/>
    <w:rsid w:val="00654A02"/>
    <w:rsid w:val="00654ACE"/>
    <w:rsid w:val="00654E43"/>
    <w:rsid w:val="00655171"/>
    <w:rsid w:val="00655C66"/>
    <w:rsid w:val="006563A5"/>
    <w:rsid w:val="0065730B"/>
    <w:rsid w:val="0065782E"/>
    <w:rsid w:val="00657D27"/>
    <w:rsid w:val="00660329"/>
    <w:rsid w:val="00660434"/>
    <w:rsid w:val="006606C4"/>
    <w:rsid w:val="006611C8"/>
    <w:rsid w:val="0066208D"/>
    <w:rsid w:val="00662427"/>
    <w:rsid w:val="006627E2"/>
    <w:rsid w:val="00662D03"/>
    <w:rsid w:val="006630F5"/>
    <w:rsid w:val="006638F0"/>
    <w:rsid w:val="006639B8"/>
    <w:rsid w:val="00663B0F"/>
    <w:rsid w:val="00664A09"/>
    <w:rsid w:val="006655E9"/>
    <w:rsid w:val="00665A32"/>
    <w:rsid w:val="00665C4A"/>
    <w:rsid w:val="00665DD4"/>
    <w:rsid w:val="00665EFA"/>
    <w:rsid w:val="00666364"/>
    <w:rsid w:val="006666E2"/>
    <w:rsid w:val="006668D5"/>
    <w:rsid w:val="00666D0F"/>
    <w:rsid w:val="00666F20"/>
    <w:rsid w:val="00667AEE"/>
    <w:rsid w:val="00667AFC"/>
    <w:rsid w:val="0067023C"/>
    <w:rsid w:val="0067040F"/>
    <w:rsid w:val="00670569"/>
    <w:rsid w:val="00670D89"/>
    <w:rsid w:val="00670DC4"/>
    <w:rsid w:val="00670E18"/>
    <w:rsid w:val="00671200"/>
    <w:rsid w:val="00671FF9"/>
    <w:rsid w:val="00672114"/>
    <w:rsid w:val="006724E3"/>
    <w:rsid w:val="00672650"/>
    <w:rsid w:val="006729BE"/>
    <w:rsid w:val="006736F1"/>
    <w:rsid w:val="00673A85"/>
    <w:rsid w:val="00674064"/>
    <w:rsid w:val="00674274"/>
    <w:rsid w:val="00675281"/>
    <w:rsid w:val="006754C5"/>
    <w:rsid w:val="00675A36"/>
    <w:rsid w:val="00675F65"/>
    <w:rsid w:val="00676BAF"/>
    <w:rsid w:val="0067723C"/>
    <w:rsid w:val="006776D4"/>
    <w:rsid w:val="006778BA"/>
    <w:rsid w:val="00677DC6"/>
    <w:rsid w:val="00680772"/>
    <w:rsid w:val="006808F6"/>
    <w:rsid w:val="00680910"/>
    <w:rsid w:val="006825F2"/>
    <w:rsid w:val="00683725"/>
    <w:rsid w:val="00683B66"/>
    <w:rsid w:val="00683DA0"/>
    <w:rsid w:val="0068579D"/>
    <w:rsid w:val="0068580D"/>
    <w:rsid w:val="00686080"/>
    <w:rsid w:val="0068647C"/>
    <w:rsid w:val="00686686"/>
    <w:rsid w:val="00687299"/>
    <w:rsid w:val="00687739"/>
    <w:rsid w:val="006879D2"/>
    <w:rsid w:val="00690869"/>
    <w:rsid w:val="00690F85"/>
    <w:rsid w:val="00690F93"/>
    <w:rsid w:val="00690FFD"/>
    <w:rsid w:val="00691287"/>
    <w:rsid w:val="0069182E"/>
    <w:rsid w:val="006918F0"/>
    <w:rsid w:val="00693095"/>
    <w:rsid w:val="006932E9"/>
    <w:rsid w:val="006938A1"/>
    <w:rsid w:val="00693976"/>
    <w:rsid w:val="00694862"/>
    <w:rsid w:val="00694959"/>
    <w:rsid w:val="00694B47"/>
    <w:rsid w:val="00695066"/>
    <w:rsid w:val="00695552"/>
    <w:rsid w:val="00695E63"/>
    <w:rsid w:val="00695EB6"/>
    <w:rsid w:val="006964FC"/>
    <w:rsid w:val="00697228"/>
    <w:rsid w:val="00697A5A"/>
    <w:rsid w:val="00697C9F"/>
    <w:rsid w:val="006A0BDE"/>
    <w:rsid w:val="006A1338"/>
    <w:rsid w:val="006A18C5"/>
    <w:rsid w:val="006A213D"/>
    <w:rsid w:val="006A275C"/>
    <w:rsid w:val="006A2913"/>
    <w:rsid w:val="006A2B94"/>
    <w:rsid w:val="006A37B5"/>
    <w:rsid w:val="006A3874"/>
    <w:rsid w:val="006A3B27"/>
    <w:rsid w:val="006A3DC4"/>
    <w:rsid w:val="006A4754"/>
    <w:rsid w:val="006A4904"/>
    <w:rsid w:val="006A4C70"/>
    <w:rsid w:val="006A622A"/>
    <w:rsid w:val="006A697B"/>
    <w:rsid w:val="006A6B9B"/>
    <w:rsid w:val="006A6FEA"/>
    <w:rsid w:val="006A787E"/>
    <w:rsid w:val="006A7E90"/>
    <w:rsid w:val="006A7F9E"/>
    <w:rsid w:val="006A7FA0"/>
    <w:rsid w:val="006B0068"/>
    <w:rsid w:val="006B011A"/>
    <w:rsid w:val="006B0140"/>
    <w:rsid w:val="006B09AD"/>
    <w:rsid w:val="006B0CD1"/>
    <w:rsid w:val="006B0F18"/>
    <w:rsid w:val="006B119D"/>
    <w:rsid w:val="006B128E"/>
    <w:rsid w:val="006B156A"/>
    <w:rsid w:val="006B1F3E"/>
    <w:rsid w:val="006B3B77"/>
    <w:rsid w:val="006B3CAC"/>
    <w:rsid w:val="006B3CED"/>
    <w:rsid w:val="006B3DEA"/>
    <w:rsid w:val="006B3FF0"/>
    <w:rsid w:val="006B42CA"/>
    <w:rsid w:val="006B46EF"/>
    <w:rsid w:val="006B4C35"/>
    <w:rsid w:val="006B5744"/>
    <w:rsid w:val="006B58ED"/>
    <w:rsid w:val="006B6295"/>
    <w:rsid w:val="006B6DAA"/>
    <w:rsid w:val="006B70BB"/>
    <w:rsid w:val="006B728E"/>
    <w:rsid w:val="006B78AF"/>
    <w:rsid w:val="006B7CD1"/>
    <w:rsid w:val="006B7D1B"/>
    <w:rsid w:val="006C04B6"/>
    <w:rsid w:val="006C0540"/>
    <w:rsid w:val="006C06A2"/>
    <w:rsid w:val="006C0990"/>
    <w:rsid w:val="006C0F76"/>
    <w:rsid w:val="006C10B8"/>
    <w:rsid w:val="006C1702"/>
    <w:rsid w:val="006C1F30"/>
    <w:rsid w:val="006C21CA"/>
    <w:rsid w:val="006C2737"/>
    <w:rsid w:val="006C2AA6"/>
    <w:rsid w:val="006C2AEB"/>
    <w:rsid w:val="006C3392"/>
    <w:rsid w:val="006C3969"/>
    <w:rsid w:val="006C3B19"/>
    <w:rsid w:val="006C41AE"/>
    <w:rsid w:val="006C45E8"/>
    <w:rsid w:val="006C465A"/>
    <w:rsid w:val="006C4A30"/>
    <w:rsid w:val="006C5633"/>
    <w:rsid w:val="006C6388"/>
    <w:rsid w:val="006C65BA"/>
    <w:rsid w:val="006C73A0"/>
    <w:rsid w:val="006C7D6A"/>
    <w:rsid w:val="006D029C"/>
    <w:rsid w:val="006D0FBA"/>
    <w:rsid w:val="006D1684"/>
    <w:rsid w:val="006D1C5B"/>
    <w:rsid w:val="006D2AF6"/>
    <w:rsid w:val="006D2D0F"/>
    <w:rsid w:val="006D2ED7"/>
    <w:rsid w:val="006D30F9"/>
    <w:rsid w:val="006D4355"/>
    <w:rsid w:val="006D4A8C"/>
    <w:rsid w:val="006D4E72"/>
    <w:rsid w:val="006D5236"/>
    <w:rsid w:val="006D5865"/>
    <w:rsid w:val="006D6F88"/>
    <w:rsid w:val="006D701F"/>
    <w:rsid w:val="006D7094"/>
    <w:rsid w:val="006D7639"/>
    <w:rsid w:val="006D77C5"/>
    <w:rsid w:val="006E0B63"/>
    <w:rsid w:val="006E0C08"/>
    <w:rsid w:val="006E0DF3"/>
    <w:rsid w:val="006E0F58"/>
    <w:rsid w:val="006E19AC"/>
    <w:rsid w:val="006E1B89"/>
    <w:rsid w:val="006E1E76"/>
    <w:rsid w:val="006E22AF"/>
    <w:rsid w:val="006E243B"/>
    <w:rsid w:val="006E2DF9"/>
    <w:rsid w:val="006E2EE2"/>
    <w:rsid w:val="006E3137"/>
    <w:rsid w:val="006E3345"/>
    <w:rsid w:val="006E3DB8"/>
    <w:rsid w:val="006E417B"/>
    <w:rsid w:val="006E446A"/>
    <w:rsid w:val="006E4767"/>
    <w:rsid w:val="006E4871"/>
    <w:rsid w:val="006E4972"/>
    <w:rsid w:val="006E4A46"/>
    <w:rsid w:val="006E4F8A"/>
    <w:rsid w:val="006E51BC"/>
    <w:rsid w:val="006E5410"/>
    <w:rsid w:val="006E5649"/>
    <w:rsid w:val="006E63F1"/>
    <w:rsid w:val="006E7171"/>
    <w:rsid w:val="006E7227"/>
    <w:rsid w:val="006E7557"/>
    <w:rsid w:val="006E7696"/>
    <w:rsid w:val="006E783F"/>
    <w:rsid w:val="006E7F03"/>
    <w:rsid w:val="006E7F5B"/>
    <w:rsid w:val="006F0D76"/>
    <w:rsid w:val="006F120A"/>
    <w:rsid w:val="006F13B8"/>
    <w:rsid w:val="006F1458"/>
    <w:rsid w:val="006F14A2"/>
    <w:rsid w:val="006F15ED"/>
    <w:rsid w:val="006F1A16"/>
    <w:rsid w:val="006F200F"/>
    <w:rsid w:val="006F212F"/>
    <w:rsid w:val="006F22D6"/>
    <w:rsid w:val="006F23EB"/>
    <w:rsid w:val="006F243C"/>
    <w:rsid w:val="006F2F04"/>
    <w:rsid w:val="006F32DD"/>
    <w:rsid w:val="006F3436"/>
    <w:rsid w:val="006F5339"/>
    <w:rsid w:val="006F5419"/>
    <w:rsid w:val="006F58CE"/>
    <w:rsid w:val="006F5A66"/>
    <w:rsid w:val="006F5FD2"/>
    <w:rsid w:val="006F638C"/>
    <w:rsid w:val="006F6596"/>
    <w:rsid w:val="006F6C3B"/>
    <w:rsid w:val="006F7187"/>
    <w:rsid w:val="006F7A9C"/>
    <w:rsid w:val="006F7B53"/>
    <w:rsid w:val="006F7CF5"/>
    <w:rsid w:val="00700063"/>
    <w:rsid w:val="007000A3"/>
    <w:rsid w:val="00700164"/>
    <w:rsid w:val="007009CD"/>
    <w:rsid w:val="00700DD4"/>
    <w:rsid w:val="00700E41"/>
    <w:rsid w:val="007010EB"/>
    <w:rsid w:val="007015F9"/>
    <w:rsid w:val="0070161B"/>
    <w:rsid w:val="00701799"/>
    <w:rsid w:val="0070253C"/>
    <w:rsid w:val="00702628"/>
    <w:rsid w:val="007037E9"/>
    <w:rsid w:val="00703E8D"/>
    <w:rsid w:val="00704A6C"/>
    <w:rsid w:val="00705413"/>
    <w:rsid w:val="00705C05"/>
    <w:rsid w:val="00706134"/>
    <w:rsid w:val="007061B8"/>
    <w:rsid w:val="00706449"/>
    <w:rsid w:val="007069FE"/>
    <w:rsid w:val="00706E2F"/>
    <w:rsid w:val="00706FDE"/>
    <w:rsid w:val="00707951"/>
    <w:rsid w:val="00707AEB"/>
    <w:rsid w:val="007101A7"/>
    <w:rsid w:val="007107DF"/>
    <w:rsid w:val="0071083E"/>
    <w:rsid w:val="00710909"/>
    <w:rsid w:val="007112E2"/>
    <w:rsid w:val="00711F4D"/>
    <w:rsid w:val="007127BE"/>
    <w:rsid w:val="007127F6"/>
    <w:rsid w:val="0071295D"/>
    <w:rsid w:val="00712DE1"/>
    <w:rsid w:val="00713647"/>
    <w:rsid w:val="007137AE"/>
    <w:rsid w:val="007138E8"/>
    <w:rsid w:val="007141F8"/>
    <w:rsid w:val="0071424E"/>
    <w:rsid w:val="0071449A"/>
    <w:rsid w:val="007146E6"/>
    <w:rsid w:val="00714985"/>
    <w:rsid w:val="00714D08"/>
    <w:rsid w:val="00715018"/>
    <w:rsid w:val="007153A3"/>
    <w:rsid w:val="0071562E"/>
    <w:rsid w:val="007160D1"/>
    <w:rsid w:val="00716127"/>
    <w:rsid w:val="00716374"/>
    <w:rsid w:val="00716697"/>
    <w:rsid w:val="00716C98"/>
    <w:rsid w:val="00716FB7"/>
    <w:rsid w:val="007173DF"/>
    <w:rsid w:val="007205A2"/>
    <w:rsid w:val="00720C2F"/>
    <w:rsid w:val="007212E1"/>
    <w:rsid w:val="0072158E"/>
    <w:rsid w:val="007215F6"/>
    <w:rsid w:val="00721CEE"/>
    <w:rsid w:val="00722258"/>
    <w:rsid w:val="00722336"/>
    <w:rsid w:val="00722577"/>
    <w:rsid w:val="007227B8"/>
    <w:rsid w:val="007227C4"/>
    <w:rsid w:val="00722DF0"/>
    <w:rsid w:val="007231C0"/>
    <w:rsid w:val="007232E0"/>
    <w:rsid w:val="00724318"/>
    <w:rsid w:val="007247E6"/>
    <w:rsid w:val="00724A0A"/>
    <w:rsid w:val="00725310"/>
    <w:rsid w:val="00725544"/>
    <w:rsid w:val="007258D4"/>
    <w:rsid w:val="00725DCE"/>
    <w:rsid w:val="00725FD6"/>
    <w:rsid w:val="007279C9"/>
    <w:rsid w:val="00730054"/>
    <w:rsid w:val="007302E4"/>
    <w:rsid w:val="00730C5E"/>
    <w:rsid w:val="00730EB9"/>
    <w:rsid w:val="00731057"/>
    <w:rsid w:val="00731062"/>
    <w:rsid w:val="00731090"/>
    <w:rsid w:val="00731323"/>
    <w:rsid w:val="00731382"/>
    <w:rsid w:val="007313C3"/>
    <w:rsid w:val="00731F45"/>
    <w:rsid w:val="00732048"/>
    <w:rsid w:val="00732088"/>
    <w:rsid w:val="00732369"/>
    <w:rsid w:val="00732B20"/>
    <w:rsid w:val="00733187"/>
    <w:rsid w:val="00733E9E"/>
    <w:rsid w:val="007343FF"/>
    <w:rsid w:val="00734536"/>
    <w:rsid w:val="007349B3"/>
    <w:rsid w:val="007355D1"/>
    <w:rsid w:val="007359A6"/>
    <w:rsid w:val="007361F8"/>
    <w:rsid w:val="007371F9"/>
    <w:rsid w:val="0073757A"/>
    <w:rsid w:val="00737743"/>
    <w:rsid w:val="00737E1E"/>
    <w:rsid w:val="00737FFE"/>
    <w:rsid w:val="007403AF"/>
    <w:rsid w:val="00740950"/>
    <w:rsid w:val="007412AD"/>
    <w:rsid w:val="0074158F"/>
    <w:rsid w:val="00741617"/>
    <w:rsid w:val="0074182A"/>
    <w:rsid w:val="007421BC"/>
    <w:rsid w:val="007425D9"/>
    <w:rsid w:val="00742638"/>
    <w:rsid w:val="00742663"/>
    <w:rsid w:val="0074266F"/>
    <w:rsid w:val="007429E0"/>
    <w:rsid w:val="00742D8D"/>
    <w:rsid w:val="007431F9"/>
    <w:rsid w:val="00743987"/>
    <w:rsid w:val="00743DD4"/>
    <w:rsid w:val="00743F0C"/>
    <w:rsid w:val="00743F20"/>
    <w:rsid w:val="007443CD"/>
    <w:rsid w:val="00744C76"/>
    <w:rsid w:val="00744D09"/>
    <w:rsid w:val="00744E83"/>
    <w:rsid w:val="007451E4"/>
    <w:rsid w:val="00745205"/>
    <w:rsid w:val="00746081"/>
    <w:rsid w:val="0074619E"/>
    <w:rsid w:val="007462A7"/>
    <w:rsid w:val="00746AC8"/>
    <w:rsid w:val="0074706D"/>
    <w:rsid w:val="00747866"/>
    <w:rsid w:val="00747B29"/>
    <w:rsid w:val="00750509"/>
    <w:rsid w:val="00750EA8"/>
    <w:rsid w:val="00750EF4"/>
    <w:rsid w:val="00751225"/>
    <w:rsid w:val="007514CD"/>
    <w:rsid w:val="0075197F"/>
    <w:rsid w:val="00751AA3"/>
    <w:rsid w:val="00751E69"/>
    <w:rsid w:val="00751F02"/>
    <w:rsid w:val="0075241C"/>
    <w:rsid w:val="00752447"/>
    <w:rsid w:val="00752617"/>
    <w:rsid w:val="0075286B"/>
    <w:rsid w:val="00752D18"/>
    <w:rsid w:val="00753481"/>
    <w:rsid w:val="007535F1"/>
    <w:rsid w:val="00753741"/>
    <w:rsid w:val="00753A28"/>
    <w:rsid w:val="00753B45"/>
    <w:rsid w:val="00753DC5"/>
    <w:rsid w:val="0075432F"/>
    <w:rsid w:val="00754385"/>
    <w:rsid w:val="0075495C"/>
    <w:rsid w:val="00754BEF"/>
    <w:rsid w:val="00754C22"/>
    <w:rsid w:val="00754D68"/>
    <w:rsid w:val="00754EBE"/>
    <w:rsid w:val="007550E2"/>
    <w:rsid w:val="00755578"/>
    <w:rsid w:val="007557E2"/>
    <w:rsid w:val="0075632D"/>
    <w:rsid w:val="00756A16"/>
    <w:rsid w:val="00756F10"/>
    <w:rsid w:val="00757172"/>
    <w:rsid w:val="0075722C"/>
    <w:rsid w:val="0075769B"/>
    <w:rsid w:val="007577EE"/>
    <w:rsid w:val="00757912"/>
    <w:rsid w:val="00757D06"/>
    <w:rsid w:val="00757E26"/>
    <w:rsid w:val="00760042"/>
    <w:rsid w:val="0076154E"/>
    <w:rsid w:val="007615BA"/>
    <w:rsid w:val="00762187"/>
    <w:rsid w:val="007623E0"/>
    <w:rsid w:val="00762782"/>
    <w:rsid w:val="00762B3C"/>
    <w:rsid w:val="00763088"/>
    <w:rsid w:val="007632D0"/>
    <w:rsid w:val="00763FF1"/>
    <w:rsid w:val="0076429F"/>
    <w:rsid w:val="007648DF"/>
    <w:rsid w:val="00764BB2"/>
    <w:rsid w:val="00764C17"/>
    <w:rsid w:val="00764DC4"/>
    <w:rsid w:val="00764F26"/>
    <w:rsid w:val="0076522A"/>
    <w:rsid w:val="007656CC"/>
    <w:rsid w:val="00766C7E"/>
    <w:rsid w:val="00767386"/>
    <w:rsid w:val="007675FD"/>
    <w:rsid w:val="00770785"/>
    <w:rsid w:val="00770D23"/>
    <w:rsid w:val="007726A0"/>
    <w:rsid w:val="00772EE1"/>
    <w:rsid w:val="007730FC"/>
    <w:rsid w:val="0077373E"/>
    <w:rsid w:val="00773AF7"/>
    <w:rsid w:val="00773DB1"/>
    <w:rsid w:val="00773F80"/>
    <w:rsid w:val="00774099"/>
    <w:rsid w:val="00774419"/>
    <w:rsid w:val="00774618"/>
    <w:rsid w:val="00774683"/>
    <w:rsid w:val="00774947"/>
    <w:rsid w:val="00774A01"/>
    <w:rsid w:val="00774D91"/>
    <w:rsid w:val="007759A6"/>
    <w:rsid w:val="00775E7D"/>
    <w:rsid w:val="00776275"/>
    <w:rsid w:val="007763C3"/>
    <w:rsid w:val="00776743"/>
    <w:rsid w:val="0077684F"/>
    <w:rsid w:val="00776CA6"/>
    <w:rsid w:val="00777A00"/>
    <w:rsid w:val="007801FD"/>
    <w:rsid w:val="00780506"/>
    <w:rsid w:val="007815F1"/>
    <w:rsid w:val="00782A11"/>
    <w:rsid w:val="00782BB5"/>
    <w:rsid w:val="00783F3C"/>
    <w:rsid w:val="007844A8"/>
    <w:rsid w:val="007860CB"/>
    <w:rsid w:val="00786109"/>
    <w:rsid w:val="00786193"/>
    <w:rsid w:val="00786441"/>
    <w:rsid w:val="00786454"/>
    <w:rsid w:val="007865AF"/>
    <w:rsid w:val="007867CE"/>
    <w:rsid w:val="007878E1"/>
    <w:rsid w:val="00787BE5"/>
    <w:rsid w:val="00790155"/>
    <w:rsid w:val="00790575"/>
    <w:rsid w:val="007906B6"/>
    <w:rsid w:val="00791CB3"/>
    <w:rsid w:val="00792981"/>
    <w:rsid w:val="0079355C"/>
    <w:rsid w:val="0079394F"/>
    <w:rsid w:val="00793F12"/>
    <w:rsid w:val="00793F35"/>
    <w:rsid w:val="00794507"/>
    <w:rsid w:val="0079475E"/>
    <w:rsid w:val="00794DA5"/>
    <w:rsid w:val="00794DE5"/>
    <w:rsid w:val="00795113"/>
    <w:rsid w:val="00795357"/>
    <w:rsid w:val="0079542C"/>
    <w:rsid w:val="007960C5"/>
    <w:rsid w:val="0079639C"/>
    <w:rsid w:val="00796A92"/>
    <w:rsid w:val="00796BD1"/>
    <w:rsid w:val="0079710F"/>
    <w:rsid w:val="00797663"/>
    <w:rsid w:val="00797A7A"/>
    <w:rsid w:val="00797BBF"/>
    <w:rsid w:val="007A0372"/>
    <w:rsid w:val="007A03CD"/>
    <w:rsid w:val="007A0775"/>
    <w:rsid w:val="007A0B6A"/>
    <w:rsid w:val="007A0DCB"/>
    <w:rsid w:val="007A1663"/>
    <w:rsid w:val="007A24DC"/>
    <w:rsid w:val="007A2814"/>
    <w:rsid w:val="007A2AD6"/>
    <w:rsid w:val="007A2B4F"/>
    <w:rsid w:val="007A3C2A"/>
    <w:rsid w:val="007A3CD1"/>
    <w:rsid w:val="007A494B"/>
    <w:rsid w:val="007A4B27"/>
    <w:rsid w:val="007A4D66"/>
    <w:rsid w:val="007A4F70"/>
    <w:rsid w:val="007A5D91"/>
    <w:rsid w:val="007A6354"/>
    <w:rsid w:val="007A6A70"/>
    <w:rsid w:val="007A70D0"/>
    <w:rsid w:val="007A7300"/>
    <w:rsid w:val="007A79A1"/>
    <w:rsid w:val="007A7A30"/>
    <w:rsid w:val="007A7AA9"/>
    <w:rsid w:val="007B079F"/>
    <w:rsid w:val="007B0D0B"/>
    <w:rsid w:val="007B1D4A"/>
    <w:rsid w:val="007B20C1"/>
    <w:rsid w:val="007B2A4F"/>
    <w:rsid w:val="007B2B01"/>
    <w:rsid w:val="007B2CFF"/>
    <w:rsid w:val="007B3100"/>
    <w:rsid w:val="007B3B0E"/>
    <w:rsid w:val="007B3C9D"/>
    <w:rsid w:val="007B3F01"/>
    <w:rsid w:val="007B4068"/>
    <w:rsid w:val="007B4478"/>
    <w:rsid w:val="007B48C6"/>
    <w:rsid w:val="007B499B"/>
    <w:rsid w:val="007B4B4D"/>
    <w:rsid w:val="007B53F7"/>
    <w:rsid w:val="007B5E31"/>
    <w:rsid w:val="007B61CF"/>
    <w:rsid w:val="007B65D4"/>
    <w:rsid w:val="007B68CB"/>
    <w:rsid w:val="007B6CB1"/>
    <w:rsid w:val="007B6E4A"/>
    <w:rsid w:val="007B720A"/>
    <w:rsid w:val="007B726F"/>
    <w:rsid w:val="007B763F"/>
    <w:rsid w:val="007C0170"/>
    <w:rsid w:val="007C0178"/>
    <w:rsid w:val="007C0B10"/>
    <w:rsid w:val="007C1174"/>
    <w:rsid w:val="007C1564"/>
    <w:rsid w:val="007C1901"/>
    <w:rsid w:val="007C1BC2"/>
    <w:rsid w:val="007C1CC0"/>
    <w:rsid w:val="007C1E51"/>
    <w:rsid w:val="007C23F6"/>
    <w:rsid w:val="007C2C85"/>
    <w:rsid w:val="007C2FA6"/>
    <w:rsid w:val="007C319F"/>
    <w:rsid w:val="007C339B"/>
    <w:rsid w:val="007C3463"/>
    <w:rsid w:val="007C3499"/>
    <w:rsid w:val="007C3511"/>
    <w:rsid w:val="007C3917"/>
    <w:rsid w:val="007C3CD9"/>
    <w:rsid w:val="007C3F8E"/>
    <w:rsid w:val="007C41BC"/>
    <w:rsid w:val="007C482F"/>
    <w:rsid w:val="007C4B7C"/>
    <w:rsid w:val="007C57DD"/>
    <w:rsid w:val="007C5D65"/>
    <w:rsid w:val="007C630E"/>
    <w:rsid w:val="007C6611"/>
    <w:rsid w:val="007C6BD1"/>
    <w:rsid w:val="007C6DC3"/>
    <w:rsid w:val="007C6E89"/>
    <w:rsid w:val="007C78C7"/>
    <w:rsid w:val="007C7B54"/>
    <w:rsid w:val="007C7C41"/>
    <w:rsid w:val="007D0B89"/>
    <w:rsid w:val="007D1342"/>
    <w:rsid w:val="007D14ED"/>
    <w:rsid w:val="007D2069"/>
    <w:rsid w:val="007D20DD"/>
    <w:rsid w:val="007D261F"/>
    <w:rsid w:val="007D2626"/>
    <w:rsid w:val="007D27DE"/>
    <w:rsid w:val="007D305A"/>
    <w:rsid w:val="007D311B"/>
    <w:rsid w:val="007D380B"/>
    <w:rsid w:val="007D4CD7"/>
    <w:rsid w:val="007D4D89"/>
    <w:rsid w:val="007D4E07"/>
    <w:rsid w:val="007D50F6"/>
    <w:rsid w:val="007D55D9"/>
    <w:rsid w:val="007D583B"/>
    <w:rsid w:val="007D5DF8"/>
    <w:rsid w:val="007D60FC"/>
    <w:rsid w:val="007D6FB4"/>
    <w:rsid w:val="007D6FF2"/>
    <w:rsid w:val="007D7D99"/>
    <w:rsid w:val="007E0E99"/>
    <w:rsid w:val="007E0FCF"/>
    <w:rsid w:val="007E12B7"/>
    <w:rsid w:val="007E1414"/>
    <w:rsid w:val="007E16B9"/>
    <w:rsid w:val="007E16BF"/>
    <w:rsid w:val="007E1A6F"/>
    <w:rsid w:val="007E28F1"/>
    <w:rsid w:val="007E2F6A"/>
    <w:rsid w:val="007E30D8"/>
    <w:rsid w:val="007E33FD"/>
    <w:rsid w:val="007E35BB"/>
    <w:rsid w:val="007E39E5"/>
    <w:rsid w:val="007E43DE"/>
    <w:rsid w:val="007E4482"/>
    <w:rsid w:val="007E4484"/>
    <w:rsid w:val="007E474E"/>
    <w:rsid w:val="007E48F1"/>
    <w:rsid w:val="007E4B75"/>
    <w:rsid w:val="007E5ABC"/>
    <w:rsid w:val="007E5BE5"/>
    <w:rsid w:val="007E5F26"/>
    <w:rsid w:val="007E60A3"/>
    <w:rsid w:val="007E6238"/>
    <w:rsid w:val="007E62FA"/>
    <w:rsid w:val="007E68D7"/>
    <w:rsid w:val="007E6C28"/>
    <w:rsid w:val="007E6E93"/>
    <w:rsid w:val="007E7933"/>
    <w:rsid w:val="007E7A10"/>
    <w:rsid w:val="007E7F3E"/>
    <w:rsid w:val="007E7FE9"/>
    <w:rsid w:val="007F0E23"/>
    <w:rsid w:val="007F1CD1"/>
    <w:rsid w:val="007F2078"/>
    <w:rsid w:val="007F225E"/>
    <w:rsid w:val="007F25F6"/>
    <w:rsid w:val="007F2788"/>
    <w:rsid w:val="007F2DE8"/>
    <w:rsid w:val="007F335A"/>
    <w:rsid w:val="007F3636"/>
    <w:rsid w:val="007F3766"/>
    <w:rsid w:val="007F39A0"/>
    <w:rsid w:val="007F3A36"/>
    <w:rsid w:val="007F3AA6"/>
    <w:rsid w:val="007F3B7F"/>
    <w:rsid w:val="007F3CB6"/>
    <w:rsid w:val="007F3D6D"/>
    <w:rsid w:val="007F46F3"/>
    <w:rsid w:val="007F4B45"/>
    <w:rsid w:val="007F4CD3"/>
    <w:rsid w:val="007F5588"/>
    <w:rsid w:val="007F57E2"/>
    <w:rsid w:val="007F597E"/>
    <w:rsid w:val="007F5DF5"/>
    <w:rsid w:val="007F67DA"/>
    <w:rsid w:val="007F6BE0"/>
    <w:rsid w:val="007F77FA"/>
    <w:rsid w:val="007F7DB0"/>
    <w:rsid w:val="0080027C"/>
    <w:rsid w:val="00800359"/>
    <w:rsid w:val="00800903"/>
    <w:rsid w:val="00800BD7"/>
    <w:rsid w:val="00800DE1"/>
    <w:rsid w:val="00801725"/>
    <w:rsid w:val="008023D6"/>
    <w:rsid w:val="00802786"/>
    <w:rsid w:val="00802DE4"/>
    <w:rsid w:val="00803307"/>
    <w:rsid w:val="008035FB"/>
    <w:rsid w:val="00803CBE"/>
    <w:rsid w:val="008047A6"/>
    <w:rsid w:val="008047D3"/>
    <w:rsid w:val="008049FD"/>
    <w:rsid w:val="00804ADD"/>
    <w:rsid w:val="00804B18"/>
    <w:rsid w:val="00804F3A"/>
    <w:rsid w:val="00805227"/>
    <w:rsid w:val="00805567"/>
    <w:rsid w:val="00805792"/>
    <w:rsid w:val="00805B7E"/>
    <w:rsid w:val="00806CE0"/>
    <w:rsid w:val="00806E11"/>
    <w:rsid w:val="0080746E"/>
    <w:rsid w:val="0081000E"/>
    <w:rsid w:val="008101D2"/>
    <w:rsid w:val="00810731"/>
    <w:rsid w:val="0081103D"/>
    <w:rsid w:val="0081127E"/>
    <w:rsid w:val="00811F6D"/>
    <w:rsid w:val="008120D1"/>
    <w:rsid w:val="00812222"/>
    <w:rsid w:val="0081322E"/>
    <w:rsid w:val="00813344"/>
    <w:rsid w:val="0081375F"/>
    <w:rsid w:val="00813B03"/>
    <w:rsid w:val="00814B78"/>
    <w:rsid w:val="00814DC6"/>
    <w:rsid w:val="008153C3"/>
    <w:rsid w:val="008153CB"/>
    <w:rsid w:val="0081642A"/>
    <w:rsid w:val="00816491"/>
    <w:rsid w:val="0081677F"/>
    <w:rsid w:val="00817E7B"/>
    <w:rsid w:val="00817EC8"/>
    <w:rsid w:val="0082014B"/>
    <w:rsid w:val="008205BB"/>
    <w:rsid w:val="008205DE"/>
    <w:rsid w:val="008209D7"/>
    <w:rsid w:val="00820A7C"/>
    <w:rsid w:val="00820C24"/>
    <w:rsid w:val="00821426"/>
    <w:rsid w:val="008217D0"/>
    <w:rsid w:val="00821BD1"/>
    <w:rsid w:val="00821DC4"/>
    <w:rsid w:val="0082208E"/>
    <w:rsid w:val="0082292A"/>
    <w:rsid w:val="00822B86"/>
    <w:rsid w:val="00822BEA"/>
    <w:rsid w:val="00822F3A"/>
    <w:rsid w:val="00822F6E"/>
    <w:rsid w:val="00823586"/>
    <w:rsid w:val="008237AC"/>
    <w:rsid w:val="00823E92"/>
    <w:rsid w:val="00823F6F"/>
    <w:rsid w:val="008249FA"/>
    <w:rsid w:val="00825107"/>
    <w:rsid w:val="00825345"/>
    <w:rsid w:val="0082580B"/>
    <w:rsid w:val="008258A9"/>
    <w:rsid w:val="00825F72"/>
    <w:rsid w:val="00827B2A"/>
    <w:rsid w:val="00827D78"/>
    <w:rsid w:val="00827F2F"/>
    <w:rsid w:val="008304B5"/>
    <w:rsid w:val="008305BB"/>
    <w:rsid w:val="0083062C"/>
    <w:rsid w:val="00830A24"/>
    <w:rsid w:val="00830BF8"/>
    <w:rsid w:val="00830C21"/>
    <w:rsid w:val="00831364"/>
    <w:rsid w:val="00831421"/>
    <w:rsid w:val="0083143E"/>
    <w:rsid w:val="008317B4"/>
    <w:rsid w:val="00831E48"/>
    <w:rsid w:val="0083223C"/>
    <w:rsid w:val="00832EEB"/>
    <w:rsid w:val="008334B9"/>
    <w:rsid w:val="008335C8"/>
    <w:rsid w:val="00833AF4"/>
    <w:rsid w:val="00833CDF"/>
    <w:rsid w:val="00833E31"/>
    <w:rsid w:val="00833F1E"/>
    <w:rsid w:val="0083412D"/>
    <w:rsid w:val="00834A71"/>
    <w:rsid w:val="00834F55"/>
    <w:rsid w:val="00835482"/>
    <w:rsid w:val="00835B9E"/>
    <w:rsid w:val="00835F6E"/>
    <w:rsid w:val="0083610E"/>
    <w:rsid w:val="00836986"/>
    <w:rsid w:val="00836D1F"/>
    <w:rsid w:val="00836EC6"/>
    <w:rsid w:val="00837F12"/>
    <w:rsid w:val="00840339"/>
    <w:rsid w:val="0084097C"/>
    <w:rsid w:val="00840EC4"/>
    <w:rsid w:val="0084203D"/>
    <w:rsid w:val="00842111"/>
    <w:rsid w:val="008421E2"/>
    <w:rsid w:val="00842358"/>
    <w:rsid w:val="00842840"/>
    <w:rsid w:val="00842A4A"/>
    <w:rsid w:val="008432B4"/>
    <w:rsid w:val="00843639"/>
    <w:rsid w:val="0084389D"/>
    <w:rsid w:val="00843D50"/>
    <w:rsid w:val="00843D7E"/>
    <w:rsid w:val="00843DA8"/>
    <w:rsid w:val="00843DFD"/>
    <w:rsid w:val="00844520"/>
    <w:rsid w:val="00844630"/>
    <w:rsid w:val="008449C4"/>
    <w:rsid w:val="0084519D"/>
    <w:rsid w:val="008454F2"/>
    <w:rsid w:val="008457FA"/>
    <w:rsid w:val="0084591D"/>
    <w:rsid w:val="00845F10"/>
    <w:rsid w:val="008460F3"/>
    <w:rsid w:val="00846170"/>
    <w:rsid w:val="00846253"/>
    <w:rsid w:val="00846F64"/>
    <w:rsid w:val="00847711"/>
    <w:rsid w:val="00850029"/>
    <w:rsid w:val="0085003B"/>
    <w:rsid w:val="00850363"/>
    <w:rsid w:val="00850661"/>
    <w:rsid w:val="00850ABA"/>
    <w:rsid w:val="00850BCB"/>
    <w:rsid w:val="00850DA6"/>
    <w:rsid w:val="00850EB9"/>
    <w:rsid w:val="00851AFD"/>
    <w:rsid w:val="00851BC4"/>
    <w:rsid w:val="008521DD"/>
    <w:rsid w:val="008528BD"/>
    <w:rsid w:val="0085290F"/>
    <w:rsid w:val="008535D3"/>
    <w:rsid w:val="008537E9"/>
    <w:rsid w:val="008546FA"/>
    <w:rsid w:val="00854D19"/>
    <w:rsid w:val="00855604"/>
    <w:rsid w:val="00855AAC"/>
    <w:rsid w:val="00855C16"/>
    <w:rsid w:val="00855CE7"/>
    <w:rsid w:val="0085622C"/>
    <w:rsid w:val="0085655C"/>
    <w:rsid w:val="0085693C"/>
    <w:rsid w:val="00856CE5"/>
    <w:rsid w:val="00857131"/>
    <w:rsid w:val="00857496"/>
    <w:rsid w:val="0085763C"/>
    <w:rsid w:val="008578F9"/>
    <w:rsid w:val="00860AC1"/>
    <w:rsid w:val="0086116A"/>
    <w:rsid w:val="0086196B"/>
    <w:rsid w:val="00861A24"/>
    <w:rsid w:val="00861C0D"/>
    <w:rsid w:val="00861EE8"/>
    <w:rsid w:val="008629FD"/>
    <w:rsid w:val="00862A01"/>
    <w:rsid w:val="00862B11"/>
    <w:rsid w:val="00862F5D"/>
    <w:rsid w:val="008636CE"/>
    <w:rsid w:val="00863BE0"/>
    <w:rsid w:val="00863E12"/>
    <w:rsid w:val="00863E6E"/>
    <w:rsid w:val="00864315"/>
    <w:rsid w:val="008644D4"/>
    <w:rsid w:val="00864EA4"/>
    <w:rsid w:val="00865482"/>
    <w:rsid w:val="008656B3"/>
    <w:rsid w:val="00865F5B"/>
    <w:rsid w:val="008660DE"/>
    <w:rsid w:val="008660F4"/>
    <w:rsid w:val="008661EB"/>
    <w:rsid w:val="008669FB"/>
    <w:rsid w:val="00866F45"/>
    <w:rsid w:val="00866FF0"/>
    <w:rsid w:val="00867748"/>
    <w:rsid w:val="00867EAD"/>
    <w:rsid w:val="00867EE3"/>
    <w:rsid w:val="008702E6"/>
    <w:rsid w:val="0087054D"/>
    <w:rsid w:val="0087090C"/>
    <w:rsid w:val="00870F73"/>
    <w:rsid w:val="00872186"/>
    <w:rsid w:val="008725C1"/>
    <w:rsid w:val="00872A05"/>
    <w:rsid w:val="008731BB"/>
    <w:rsid w:val="008732D9"/>
    <w:rsid w:val="00873708"/>
    <w:rsid w:val="008737C0"/>
    <w:rsid w:val="008738E6"/>
    <w:rsid w:val="00873B22"/>
    <w:rsid w:val="00873B2A"/>
    <w:rsid w:val="00873EF0"/>
    <w:rsid w:val="00874AA8"/>
    <w:rsid w:val="00874B88"/>
    <w:rsid w:val="00874BE6"/>
    <w:rsid w:val="00874C16"/>
    <w:rsid w:val="008750D3"/>
    <w:rsid w:val="00875760"/>
    <w:rsid w:val="00875AFA"/>
    <w:rsid w:val="00875B6D"/>
    <w:rsid w:val="008763CB"/>
    <w:rsid w:val="008763D9"/>
    <w:rsid w:val="008767CB"/>
    <w:rsid w:val="00877C75"/>
    <w:rsid w:val="00877E1C"/>
    <w:rsid w:val="00880888"/>
    <w:rsid w:val="00880A6A"/>
    <w:rsid w:val="00880D8F"/>
    <w:rsid w:val="00880F25"/>
    <w:rsid w:val="008816DF"/>
    <w:rsid w:val="008828A9"/>
    <w:rsid w:val="00883D58"/>
    <w:rsid w:val="00883E7F"/>
    <w:rsid w:val="00883EA9"/>
    <w:rsid w:val="008847AF"/>
    <w:rsid w:val="00884C83"/>
    <w:rsid w:val="008851B5"/>
    <w:rsid w:val="00885B08"/>
    <w:rsid w:val="00885B94"/>
    <w:rsid w:val="00885C63"/>
    <w:rsid w:val="00885DA7"/>
    <w:rsid w:val="00886A18"/>
    <w:rsid w:val="00886A6F"/>
    <w:rsid w:val="00886D70"/>
    <w:rsid w:val="00890377"/>
    <w:rsid w:val="0089046A"/>
    <w:rsid w:val="008907BA"/>
    <w:rsid w:val="00890BAD"/>
    <w:rsid w:val="00890EF0"/>
    <w:rsid w:val="00891061"/>
    <w:rsid w:val="008913BE"/>
    <w:rsid w:val="00891C02"/>
    <w:rsid w:val="00891C1B"/>
    <w:rsid w:val="00892166"/>
    <w:rsid w:val="00892784"/>
    <w:rsid w:val="008927C1"/>
    <w:rsid w:val="00892FEA"/>
    <w:rsid w:val="008932D4"/>
    <w:rsid w:val="008933A5"/>
    <w:rsid w:val="0089423F"/>
    <w:rsid w:val="00894421"/>
    <w:rsid w:val="00894A0D"/>
    <w:rsid w:val="00894D26"/>
    <w:rsid w:val="008955C5"/>
    <w:rsid w:val="008961F8"/>
    <w:rsid w:val="00896AE9"/>
    <w:rsid w:val="008A0004"/>
    <w:rsid w:val="008A02F8"/>
    <w:rsid w:val="008A15E7"/>
    <w:rsid w:val="008A19E2"/>
    <w:rsid w:val="008A1A89"/>
    <w:rsid w:val="008A23D0"/>
    <w:rsid w:val="008A2487"/>
    <w:rsid w:val="008A25E5"/>
    <w:rsid w:val="008A2951"/>
    <w:rsid w:val="008A2C4E"/>
    <w:rsid w:val="008A2C6F"/>
    <w:rsid w:val="008A2E3A"/>
    <w:rsid w:val="008A40BC"/>
    <w:rsid w:val="008A42BA"/>
    <w:rsid w:val="008A4E32"/>
    <w:rsid w:val="008A4F72"/>
    <w:rsid w:val="008A52C7"/>
    <w:rsid w:val="008A5B30"/>
    <w:rsid w:val="008A5DBC"/>
    <w:rsid w:val="008A69D1"/>
    <w:rsid w:val="008A6FD7"/>
    <w:rsid w:val="008A7DC2"/>
    <w:rsid w:val="008B043F"/>
    <w:rsid w:val="008B07A0"/>
    <w:rsid w:val="008B09FC"/>
    <w:rsid w:val="008B0B2D"/>
    <w:rsid w:val="008B20D0"/>
    <w:rsid w:val="008B24F2"/>
    <w:rsid w:val="008B3167"/>
    <w:rsid w:val="008B3893"/>
    <w:rsid w:val="008B3A05"/>
    <w:rsid w:val="008B3B77"/>
    <w:rsid w:val="008B4343"/>
    <w:rsid w:val="008B4714"/>
    <w:rsid w:val="008B47CF"/>
    <w:rsid w:val="008B4884"/>
    <w:rsid w:val="008B4C2D"/>
    <w:rsid w:val="008B4D91"/>
    <w:rsid w:val="008B508A"/>
    <w:rsid w:val="008B5765"/>
    <w:rsid w:val="008B59B8"/>
    <w:rsid w:val="008B5DB5"/>
    <w:rsid w:val="008B5F2F"/>
    <w:rsid w:val="008B6766"/>
    <w:rsid w:val="008B6EEB"/>
    <w:rsid w:val="008B7093"/>
    <w:rsid w:val="008B716C"/>
    <w:rsid w:val="008B77F6"/>
    <w:rsid w:val="008B78AE"/>
    <w:rsid w:val="008B7A7B"/>
    <w:rsid w:val="008B7B4B"/>
    <w:rsid w:val="008B7D8E"/>
    <w:rsid w:val="008B7DE4"/>
    <w:rsid w:val="008B7E24"/>
    <w:rsid w:val="008C0294"/>
    <w:rsid w:val="008C03D1"/>
    <w:rsid w:val="008C07FA"/>
    <w:rsid w:val="008C09E5"/>
    <w:rsid w:val="008C0CCA"/>
    <w:rsid w:val="008C0D7D"/>
    <w:rsid w:val="008C1148"/>
    <w:rsid w:val="008C125F"/>
    <w:rsid w:val="008C15D6"/>
    <w:rsid w:val="008C1EE8"/>
    <w:rsid w:val="008C1F08"/>
    <w:rsid w:val="008C1F53"/>
    <w:rsid w:val="008C22EA"/>
    <w:rsid w:val="008C279B"/>
    <w:rsid w:val="008C2942"/>
    <w:rsid w:val="008C2943"/>
    <w:rsid w:val="008C2993"/>
    <w:rsid w:val="008C2AE3"/>
    <w:rsid w:val="008C2B09"/>
    <w:rsid w:val="008C2BA6"/>
    <w:rsid w:val="008C2C66"/>
    <w:rsid w:val="008C2CCE"/>
    <w:rsid w:val="008C2D5A"/>
    <w:rsid w:val="008C37C6"/>
    <w:rsid w:val="008C3A57"/>
    <w:rsid w:val="008C3A8C"/>
    <w:rsid w:val="008C4102"/>
    <w:rsid w:val="008C5273"/>
    <w:rsid w:val="008C55CF"/>
    <w:rsid w:val="008C5A75"/>
    <w:rsid w:val="008C6181"/>
    <w:rsid w:val="008C61BD"/>
    <w:rsid w:val="008C6499"/>
    <w:rsid w:val="008C6566"/>
    <w:rsid w:val="008C6B0E"/>
    <w:rsid w:val="008C7724"/>
    <w:rsid w:val="008C78DA"/>
    <w:rsid w:val="008C7990"/>
    <w:rsid w:val="008C7D2B"/>
    <w:rsid w:val="008D07EF"/>
    <w:rsid w:val="008D09D1"/>
    <w:rsid w:val="008D0C35"/>
    <w:rsid w:val="008D1592"/>
    <w:rsid w:val="008D172A"/>
    <w:rsid w:val="008D1891"/>
    <w:rsid w:val="008D1975"/>
    <w:rsid w:val="008D228C"/>
    <w:rsid w:val="008D22D9"/>
    <w:rsid w:val="008D2C87"/>
    <w:rsid w:val="008D3BD3"/>
    <w:rsid w:val="008D43ED"/>
    <w:rsid w:val="008D4AA5"/>
    <w:rsid w:val="008D5A33"/>
    <w:rsid w:val="008D5DAF"/>
    <w:rsid w:val="008D6B80"/>
    <w:rsid w:val="008D6BDD"/>
    <w:rsid w:val="008D6CDE"/>
    <w:rsid w:val="008D6CF3"/>
    <w:rsid w:val="008D7089"/>
    <w:rsid w:val="008D71A0"/>
    <w:rsid w:val="008D72C5"/>
    <w:rsid w:val="008D797D"/>
    <w:rsid w:val="008E0041"/>
    <w:rsid w:val="008E0125"/>
    <w:rsid w:val="008E03C9"/>
    <w:rsid w:val="008E05DC"/>
    <w:rsid w:val="008E0A70"/>
    <w:rsid w:val="008E0D2F"/>
    <w:rsid w:val="008E18B3"/>
    <w:rsid w:val="008E19A0"/>
    <w:rsid w:val="008E1A26"/>
    <w:rsid w:val="008E1DEA"/>
    <w:rsid w:val="008E292B"/>
    <w:rsid w:val="008E2BB3"/>
    <w:rsid w:val="008E2F73"/>
    <w:rsid w:val="008E34B3"/>
    <w:rsid w:val="008E35A3"/>
    <w:rsid w:val="008E3B12"/>
    <w:rsid w:val="008E3DEE"/>
    <w:rsid w:val="008E428E"/>
    <w:rsid w:val="008E4430"/>
    <w:rsid w:val="008E4BB1"/>
    <w:rsid w:val="008E54B9"/>
    <w:rsid w:val="008E54E1"/>
    <w:rsid w:val="008E5743"/>
    <w:rsid w:val="008E5B09"/>
    <w:rsid w:val="008E5F06"/>
    <w:rsid w:val="008E64A6"/>
    <w:rsid w:val="008E687A"/>
    <w:rsid w:val="008E6A75"/>
    <w:rsid w:val="008E6A86"/>
    <w:rsid w:val="008E7254"/>
    <w:rsid w:val="008E76FF"/>
    <w:rsid w:val="008E7959"/>
    <w:rsid w:val="008E7C6D"/>
    <w:rsid w:val="008E7FC2"/>
    <w:rsid w:val="008F0095"/>
    <w:rsid w:val="008F0822"/>
    <w:rsid w:val="008F0F4B"/>
    <w:rsid w:val="008F1394"/>
    <w:rsid w:val="008F1623"/>
    <w:rsid w:val="008F17DA"/>
    <w:rsid w:val="008F1998"/>
    <w:rsid w:val="008F1A35"/>
    <w:rsid w:val="008F1C10"/>
    <w:rsid w:val="008F1DEB"/>
    <w:rsid w:val="008F20FB"/>
    <w:rsid w:val="008F225D"/>
    <w:rsid w:val="008F2B21"/>
    <w:rsid w:val="008F2E5D"/>
    <w:rsid w:val="008F304C"/>
    <w:rsid w:val="008F48D8"/>
    <w:rsid w:val="008F51E7"/>
    <w:rsid w:val="008F53B9"/>
    <w:rsid w:val="008F53CB"/>
    <w:rsid w:val="008F587D"/>
    <w:rsid w:val="008F5FD0"/>
    <w:rsid w:val="008F622E"/>
    <w:rsid w:val="008F66CD"/>
    <w:rsid w:val="008F6990"/>
    <w:rsid w:val="008F7358"/>
    <w:rsid w:val="008F7391"/>
    <w:rsid w:val="008F7471"/>
    <w:rsid w:val="008F7E0F"/>
    <w:rsid w:val="009005DC"/>
    <w:rsid w:val="00900F2D"/>
    <w:rsid w:val="00901068"/>
    <w:rsid w:val="0090146A"/>
    <w:rsid w:val="009020FF"/>
    <w:rsid w:val="0090299D"/>
    <w:rsid w:val="00902A51"/>
    <w:rsid w:val="00902B55"/>
    <w:rsid w:val="00903405"/>
    <w:rsid w:val="00903A82"/>
    <w:rsid w:val="00903DC1"/>
    <w:rsid w:val="00904189"/>
    <w:rsid w:val="00904A87"/>
    <w:rsid w:val="00904BDD"/>
    <w:rsid w:val="00905159"/>
    <w:rsid w:val="009056A5"/>
    <w:rsid w:val="00906A3C"/>
    <w:rsid w:val="009073CF"/>
    <w:rsid w:val="009075B3"/>
    <w:rsid w:val="009075BB"/>
    <w:rsid w:val="009075BC"/>
    <w:rsid w:val="009079DC"/>
    <w:rsid w:val="00907A1B"/>
    <w:rsid w:val="00907C62"/>
    <w:rsid w:val="009110B0"/>
    <w:rsid w:val="00911340"/>
    <w:rsid w:val="009113C7"/>
    <w:rsid w:val="00911826"/>
    <w:rsid w:val="00911B1C"/>
    <w:rsid w:val="009130EF"/>
    <w:rsid w:val="009132F0"/>
    <w:rsid w:val="00913377"/>
    <w:rsid w:val="00913488"/>
    <w:rsid w:val="00913AF9"/>
    <w:rsid w:val="009141F3"/>
    <w:rsid w:val="0091422D"/>
    <w:rsid w:val="009148D4"/>
    <w:rsid w:val="009156D9"/>
    <w:rsid w:val="00915717"/>
    <w:rsid w:val="009158E1"/>
    <w:rsid w:val="0091594F"/>
    <w:rsid w:val="00915AE4"/>
    <w:rsid w:val="0091627E"/>
    <w:rsid w:val="009163A8"/>
    <w:rsid w:val="00916CED"/>
    <w:rsid w:val="00916DF2"/>
    <w:rsid w:val="009170E0"/>
    <w:rsid w:val="00920142"/>
    <w:rsid w:val="009203AE"/>
    <w:rsid w:val="009212A6"/>
    <w:rsid w:val="009215FE"/>
    <w:rsid w:val="0092169C"/>
    <w:rsid w:val="00921754"/>
    <w:rsid w:val="009218AB"/>
    <w:rsid w:val="0092298E"/>
    <w:rsid w:val="00922BCF"/>
    <w:rsid w:val="0092320F"/>
    <w:rsid w:val="0092360A"/>
    <w:rsid w:val="00923BAA"/>
    <w:rsid w:val="009241F5"/>
    <w:rsid w:val="00924F2A"/>
    <w:rsid w:val="009250C2"/>
    <w:rsid w:val="009251C0"/>
    <w:rsid w:val="00925430"/>
    <w:rsid w:val="0092565D"/>
    <w:rsid w:val="00925726"/>
    <w:rsid w:val="00925828"/>
    <w:rsid w:val="0092597F"/>
    <w:rsid w:val="009259D3"/>
    <w:rsid w:val="0092627C"/>
    <w:rsid w:val="00926536"/>
    <w:rsid w:val="00926A9B"/>
    <w:rsid w:val="00926AA2"/>
    <w:rsid w:val="009271F2"/>
    <w:rsid w:val="00927215"/>
    <w:rsid w:val="0092721D"/>
    <w:rsid w:val="0092774E"/>
    <w:rsid w:val="00927C52"/>
    <w:rsid w:val="00927CDE"/>
    <w:rsid w:val="00930190"/>
    <w:rsid w:val="00930272"/>
    <w:rsid w:val="009307BD"/>
    <w:rsid w:val="00930E04"/>
    <w:rsid w:val="00931138"/>
    <w:rsid w:val="00931612"/>
    <w:rsid w:val="00931714"/>
    <w:rsid w:val="00931844"/>
    <w:rsid w:val="00931D59"/>
    <w:rsid w:val="00932183"/>
    <w:rsid w:val="009322E5"/>
    <w:rsid w:val="00932824"/>
    <w:rsid w:val="00932D17"/>
    <w:rsid w:val="00933197"/>
    <w:rsid w:val="00933862"/>
    <w:rsid w:val="00933DD2"/>
    <w:rsid w:val="0093420E"/>
    <w:rsid w:val="00934814"/>
    <w:rsid w:val="0093525C"/>
    <w:rsid w:val="00935D00"/>
    <w:rsid w:val="00936045"/>
    <w:rsid w:val="0093647A"/>
    <w:rsid w:val="00937221"/>
    <w:rsid w:val="009372BF"/>
    <w:rsid w:val="0093744D"/>
    <w:rsid w:val="0093774F"/>
    <w:rsid w:val="00937B2F"/>
    <w:rsid w:val="00940156"/>
    <w:rsid w:val="00940229"/>
    <w:rsid w:val="00940C72"/>
    <w:rsid w:val="009413E0"/>
    <w:rsid w:val="00941F21"/>
    <w:rsid w:val="0094240F"/>
    <w:rsid w:val="009424DB"/>
    <w:rsid w:val="0094280A"/>
    <w:rsid w:val="00942855"/>
    <w:rsid w:val="0094287D"/>
    <w:rsid w:val="00942B91"/>
    <w:rsid w:val="00943309"/>
    <w:rsid w:val="0094330C"/>
    <w:rsid w:val="00944273"/>
    <w:rsid w:val="0094429F"/>
    <w:rsid w:val="0094446F"/>
    <w:rsid w:val="00944580"/>
    <w:rsid w:val="00945D23"/>
    <w:rsid w:val="00946501"/>
    <w:rsid w:val="00947452"/>
    <w:rsid w:val="0095037C"/>
    <w:rsid w:val="009503F8"/>
    <w:rsid w:val="00950613"/>
    <w:rsid w:val="009506F0"/>
    <w:rsid w:val="00951654"/>
    <w:rsid w:val="0095167A"/>
    <w:rsid w:val="00952457"/>
    <w:rsid w:val="00952A03"/>
    <w:rsid w:val="00952C4F"/>
    <w:rsid w:val="00952EE4"/>
    <w:rsid w:val="00953209"/>
    <w:rsid w:val="0095330D"/>
    <w:rsid w:val="00953460"/>
    <w:rsid w:val="0095384F"/>
    <w:rsid w:val="009538AE"/>
    <w:rsid w:val="00953D8E"/>
    <w:rsid w:val="009543B7"/>
    <w:rsid w:val="00955470"/>
    <w:rsid w:val="00955CEC"/>
    <w:rsid w:val="009561AB"/>
    <w:rsid w:val="009561C2"/>
    <w:rsid w:val="009566A3"/>
    <w:rsid w:val="00956BF4"/>
    <w:rsid w:val="00957163"/>
    <w:rsid w:val="009571BD"/>
    <w:rsid w:val="00957349"/>
    <w:rsid w:val="00957975"/>
    <w:rsid w:val="0096068B"/>
    <w:rsid w:val="009608EE"/>
    <w:rsid w:val="00961C8D"/>
    <w:rsid w:val="00961EBD"/>
    <w:rsid w:val="00961FF3"/>
    <w:rsid w:val="00962218"/>
    <w:rsid w:val="0096225B"/>
    <w:rsid w:val="00962550"/>
    <w:rsid w:val="00963009"/>
    <w:rsid w:val="009640D0"/>
    <w:rsid w:val="0096445B"/>
    <w:rsid w:val="0096483B"/>
    <w:rsid w:val="00964A13"/>
    <w:rsid w:val="00964A95"/>
    <w:rsid w:val="00964FA5"/>
    <w:rsid w:val="0096507F"/>
    <w:rsid w:val="009654F0"/>
    <w:rsid w:val="009668B8"/>
    <w:rsid w:val="0096712A"/>
    <w:rsid w:val="00967346"/>
    <w:rsid w:val="00967C5D"/>
    <w:rsid w:val="009705E7"/>
    <w:rsid w:val="00970ADB"/>
    <w:rsid w:val="00970B79"/>
    <w:rsid w:val="00970CA5"/>
    <w:rsid w:val="00970CBA"/>
    <w:rsid w:val="0097167D"/>
    <w:rsid w:val="009725B3"/>
    <w:rsid w:val="00972D79"/>
    <w:rsid w:val="009731B6"/>
    <w:rsid w:val="0097324E"/>
    <w:rsid w:val="009739BD"/>
    <w:rsid w:val="00973BFB"/>
    <w:rsid w:val="00974D6F"/>
    <w:rsid w:val="009765B1"/>
    <w:rsid w:val="00977226"/>
    <w:rsid w:val="00977322"/>
    <w:rsid w:val="009778D5"/>
    <w:rsid w:val="00980285"/>
    <w:rsid w:val="00980519"/>
    <w:rsid w:val="00980A2F"/>
    <w:rsid w:val="00980C0E"/>
    <w:rsid w:val="00980FD3"/>
    <w:rsid w:val="00981017"/>
    <w:rsid w:val="009824B2"/>
    <w:rsid w:val="00982641"/>
    <w:rsid w:val="00982849"/>
    <w:rsid w:val="00982961"/>
    <w:rsid w:val="00983B0B"/>
    <w:rsid w:val="00984147"/>
    <w:rsid w:val="009849D1"/>
    <w:rsid w:val="00984E42"/>
    <w:rsid w:val="00985119"/>
    <w:rsid w:val="0098561C"/>
    <w:rsid w:val="0098597F"/>
    <w:rsid w:val="00985A24"/>
    <w:rsid w:val="00985E0F"/>
    <w:rsid w:val="00985E1A"/>
    <w:rsid w:val="00985EBE"/>
    <w:rsid w:val="00986060"/>
    <w:rsid w:val="00986582"/>
    <w:rsid w:val="00986EC2"/>
    <w:rsid w:val="00987435"/>
    <w:rsid w:val="00987584"/>
    <w:rsid w:val="00987ADF"/>
    <w:rsid w:val="00987CF3"/>
    <w:rsid w:val="00990AB8"/>
    <w:rsid w:val="00990C52"/>
    <w:rsid w:val="00990FE1"/>
    <w:rsid w:val="009911A2"/>
    <w:rsid w:val="0099174F"/>
    <w:rsid w:val="00992293"/>
    <w:rsid w:val="00992A56"/>
    <w:rsid w:val="00992E35"/>
    <w:rsid w:val="00992E39"/>
    <w:rsid w:val="00992EBE"/>
    <w:rsid w:val="0099386C"/>
    <w:rsid w:val="00993E9A"/>
    <w:rsid w:val="00994F87"/>
    <w:rsid w:val="009951B8"/>
    <w:rsid w:val="009951CB"/>
    <w:rsid w:val="00995309"/>
    <w:rsid w:val="0099544C"/>
    <w:rsid w:val="009962F0"/>
    <w:rsid w:val="0099635C"/>
    <w:rsid w:val="00996417"/>
    <w:rsid w:val="009969C3"/>
    <w:rsid w:val="00996E67"/>
    <w:rsid w:val="0099767C"/>
    <w:rsid w:val="00997CAB"/>
    <w:rsid w:val="00997CAF"/>
    <w:rsid w:val="009A0409"/>
    <w:rsid w:val="009A0668"/>
    <w:rsid w:val="009A0B78"/>
    <w:rsid w:val="009A0DA5"/>
    <w:rsid w:val="009A2550"/>
    <w:rsid w:val="009A2D13"/>
    <w:rsid w:val="009A3483"/>
    <w:rsid w:val="009A36D5"/>
    <w:rsid w:val="009A3921"/>
    <w:rsid w:val="009A3F79"/>
    <w:rsid w:val="009A4085"/>
    <w:rsid w:val="009A4167"/>
    <w:rsid w:val="009A4CDF"/>
    <w:rsid w:val="009A53F3"/>
    <w:rsid w:val="009A55C5"/>
    <w:rsid w:val="009A5DE1"/>
    <w:rsid w:val="009A661A"/>
    <w:rsid w:val="009A670C"/>
    <w:rsid w:val="009A6C92"/>
    <w:rsid w:val="009A6EC8"/>
    <w:rsid w:val="009B005B"/>
    <w:rsid w:val="009B0129"/>
    <w:rsid w:val="009B04B7"/>
    <w:rsid w:val="009B0C48"/>
    <w:rsid w:val="009B0C56"/>
    <w:rsid w:val="009B0CD3"/>
    <w:rsid w:val="009B0E4F"/>
    <w:rsid w:val="009B1393"/>
    <w:rsid w:val="009B1AC5"/>
    <w:rsid w:val="009B1E3B"/>
    <w:rsid w:val="009B2352"/>
    <w:rsid w:val="009B2C86"/>
    <w:rsid w:val="009B2EF7"/>
    <w:rsid w:val="009B2F47"/>
    <w:rsid w:val="009B344C"/>
    <w:rsid w:val="009B3705"/>
    <w:rsid w:val="009B38BB"/>
    <w:rsid w:val="009B3CEF"/>
    <w:rsid w:val="009B4580"/>
    <w:rsid w:val="009B4AD8"/>
    <w:rsid w:val="009B4C86"/>
    <w:rsid w:val="009B4DA5"/>
    <w:rsid w:val="009B50DF"/>
    <w:rsid w:val="009B50F6"/>
    <w:rsid w:val="009B56C2"/>
    <w:rsid w:val="009B5995"/>
    <w:rsid w:val="009B59FD"/>
    <w:rsid w:val="009B5E13"/>
    <w:rsid w:val="009B6307"/>
    <w:rsid w:val="009B7A73"/>
    <w:rsid w:val="009B7B7F"/>
    <w:rsid w:val="009B7C9C"/>
    <w:rsid w:val="009B7FC9"/>
    <w:rsid w:val="009C001F"/>
    <w:rsid w:val="009C00F1"/>
    <w:rsid w:val="009C01EE"/>
    <w:rsid w:val="009C0683"/>
    <w:rsid w:val="009C09D6"/>
    <w:rsid w:val="009C0FD4"/>
    <w:rsid w:val="009C1355"/>
    <w:rsid w:val="009C135D"/>
    <w:rsid w:val="009C1A59"/>
    <w:rsid w:val="009C1B42"/>
    <w:rsid w:val="009C1DC2"/>
    <w:rsid w:val="009C2620"/>
    <w:rsid w:val="009C3C8F"/>
    <w:rsid w:val="009C3E51"/>
    <w:rsid w:val="009C45AC"/>
    <w:rsid w:val="009C47CE"/>
    <w:rsid w:val="009C497B"/>
    <w:rsid w:val="009C4CDE"/>
    <w:rsid w:val="009C567D"/>
    <w:rsid w:val="009C573A"/>
    <w:rsid w:val="009C66CF"/>
    <w:rsid w:val="009C6AB1"/>
    <w:rsid w:val="009C70C0"/>
    <w:rsid w:val="009C78F8"/>
    <w:rsid w:val="009D02DB"/>
    <w:rsid w:val="009D048D"/>
    <w:rsid w:val="009D0707"/>
    <w:rsid w:val="009D1012"/>
    <w:rsid w:val="009D15E2"/>
    <w:rsid w:val="009D1A72"/>
    <w:rsid w:val="009D1FDC"/>
    <w:rsid w:val="009D2235"/>
    <w:rsid w:val="009D28E0"/>
    <w:rsid w:val="009D2ABD"/>
    <w:rsid w:val="009D2F04"/>
    <w:rsid w:val="009D3663"/>
    <w:rsid w:val="009D3998"/>
    <w:rsid w:val="009D3EA0"/>
    <w:rsid w:val="009D41A3"/>
    <w:rsid w:val="009D41BA"/>
    <w:rsid w:val="009D4351"/>
    <w:rsid w:val="009D4780"/>
    <w:rsid w:val="009D479D"/>
    <w:rsid w:val="009D4A3B"/>
    <w:rsid w:val="009D4B95"/>
    <w:rsid w:val="009D4BD3"/>
    <w:rsid w:val="009D4FD8"/>
    <w:rsid w:val="009D590A"/>
    <w:rsid w:val="009D5D4B"/>
    <w:rsid w:val="009D5D54"/>
    <w:rsid w:val="009D612A"/>
    <w:rsid w:val="009D6552"/>
    <w:rsid w:val="009D6E3C"/>
    <w:rsid w:val="009D7237"/>
    <w:rsid w:val="009D74B3"/>
    <w:rsid w:val="009D7628"/>
    <w:rsid w:val="009D7A4B"/>
    <w:rsid w:val="009D7AA5"/>
    <w:rsid w:val="009E00AD"/>
    <w:rsid w:val="009E0114"/>
    <w:rsid w:val="009E0182"/>
    <w:rsid w:val="009E066F"/>
    <w:rsid w:val="009E06AF"/>
    <w:rsid w:val="009E0BFB"/>
    <w:rsid w:val="009E0D47"/>
    <w:rsid w:val="009E0E84"/>
    <w:rsid w:val="009E1271"/>
    <w:rsid w:val="009E12B9"/>
    <w:rsid w:val="009E14B2"/>
    <w:rsid w:val="009E16B0"/>
    <w:rsid w:val="009E2001"/>
    <w:rsid w:val="009E2238"/>
    <w:rsid w:val="009E2563"/>
    <w:rsid w:val="009E264C"/>
    <w:rsid w:val="009E2718"/>
    <w:rsid w:val="009E2756"/>
    <w:rsid w:val="009E2AD6"/>
    <w:rsid w:val="009E2E59"/>
    <w:rsid w:val="009E2EF0"/>
    <w:rsid w:val="009E2F24"/>
    <w:rsid w:val="009E39D5"/>
    <w:rsid w:val="009E3D2C"/>
    <w:rsid w:val="009E3E13"/>
    <w:rsid w:val="009E3F14"/>
    <w:rsid w:val="009E425E"/>
    <w:rsid w:val="009E49DF"/>
    <w:rsid w:val="009E4A9E"/>
    <w:rsid w:val="009E5ABC"/>
    <w:rsid w:val="009E5B0A"/>
    <w:rsid w:val="009E608D"/>
    <w:rsid w:val="009E797C"/>
    <w:rsid w:val="009E7BCA"/>
    <w:rsid w:val="009F00BB"/>
    <w:rsid w:val="009F0437"/>
    <w:rsid w:val="009F0558"/>
    <w:rsid w:val="009F062C"/>
    <w:rsid w:val="009F08D9"/>
    <w:rsid w:val="009F0E98"/>
    <w:rsid w:val="009F1646"/>
    <w:rsid w:val="009F1CE5"/>
    <w:rsid w:val="009F2CD4"/>
    <w:rsid w:val="009F364C"/>
    <w:rsid w:val="009F3661"/>
    <w:rsid w:val="009F3D9A"/>
    <w:rsid w:val="009F4877"/>
    <w:rsid w:val="009F488F"/>
    <w:rsid w:val="009F4BE2"/>
    <w:rsid w:val="009F4C29"/>
    <w:rsid w:val="009F4D3B"/>
    <w:rsid w:val="009F57A8"/>
    <w:rsid w:val="009F5EC9"/>
    <w:rsid w:val="009F6367"/>
    <w:rsid w:val="009F6633"/>
    <w:rsid w:val="009F68CC"/>
    <w:rsid w:val="009F7EF5"/>
    <w:rsid w:val="00A00A75"/>
    <w:rsid w:val="00A00C27"/>
    <w:rsid w:val="00A00CDB"/>
    <w:rsid w:val="00A02594"/>
    <w:rsid w:val="00A0284F"/>
    <w:rsid w:val="00A02FB2"/>
    <w:rsid w:val="00A03A6C"/>
    <w:rsid w:val="00A04486"/>
    <w:rsid w:val="00A055C0"/>
    <w:rsid w:val="00A05B34"/>
    <w:rsid w:val="00A06C2C"/>
    <w:rsid w:val="00A06C97"/>
    <w:rsid w:val="00A06C9E"/>
    <w:rsid w:val="00A070C2"/>
    <w:rsid w:val="00A077A7"/>
    <w:rsid w:val="00A07964"/>
    <w:rsid w:val="00A07D54"/>
    <w:rsid w:val="00A101FB"/>
    <w:rsid w:val="00A10324"/>
    <w:rsid w:val="00A10BA8"/>
    <w:rsid w:val="00A11D7C"/>
    <w:rsid w:val="00A1246E"/>
    <w:rsid w:val="00A12B49"/>
    <w:rsid w:val="00A12D34"/>
    <w:rsid w:val="00A12D4D"/>
    <w:rsid w:val="00A13261"/>
    <w:rsid w:val="00A13379"/>
    <w:rsid w:val="00A13D0A"/>
    <w:rsid w:val="00A1454E"/>
    <w:rsid w:val="00A14744"/>
    <w:rsid w:val="00A14CDE"/>
    <w:rsid w:val="00A1564E"/>
    <w:rsid w:val="00A15F55"/>
    <w:rsid w:val="00A1628F"/>
    <w:rsid w:val="00A167DA"/>
    <w:rsid w:val="00A168B6"/>
    <w:rsid w:val="00A1707E"/>
    <w:rsid w:val="00A17248"/>
    <w:rsid w:val="00A1749D"/>
    <w:rsid w:val="00A17591"/>
    <w:rsid w:val="00A17947"/>
    <w:rsid w:val="00A17CD4"/>
    <w:rsid w:val="00A17DB5"/>
    <w:rsid w:val="00A201A5"/>
    <w:rsid w:val="00A21267"/>
    <w:rsid w:val="00A21559"/>
    <w:rsid w:val="00A21680"/>
    <w:rsid w:val="00A2198A"/>
    <w:rsid w:val="00A21C84"/>
    <w:rsid w:val="00A21CCC"/>
    <w:rsid w:val="00A22091"/>
    <w:rsid w:val="00A2212A"/>
    <w:rsid w:val="00A22177"/>
    <w:rsid w:val="00A236A4"/>
    <w:rsid w:val="00A23A9D"/>
    <w:rsid w:val="00A23C42"/>
    <w:rsid w:val="00A2412B"/>
    <w:rsid w:val="00A242BE"/>
    <w:rsid w:val="00A24E4E"/>
    <w:rsid w:val="00A259F1"/>
    <w:rsid w:val="00A25F62"/>
    <w:rsid w:val="00A264DE"/>
    <w:rsid w:val="00A2656A"/>
    <w:rsid w:val="00A26AA8"/>
    <w:rsid w:val="00A26D5A"/>
    <w:rsid w:val="00A26EDD"/>
    <w:rsid w:val="00A27BAB"/>
    <w:rsid w:val="00A3048F"/>
    <w:rsid w:val="00A30D62"/>
    <w:rsid w:val="00A3120A"/>
    <w:rsid w:val="00A312EB"/>
    <w:rsid w:val="00A317F4"/>
    <w:rsid w:val="00A31845"/>
    <w:rsid w:val="00A31AE7"/>
    <w:rsid w:val="00A31C48"/>
    <w:rsid w:val="00A33683"/>
    <w:rsid w:val="00A33734"/>
    <w:rsid w:val="00A33EFE"/>
    <w:rsid w:val="00A33F26"/>
    <w:rsid w:val="00A33F33"/>
    <w:rsid w:val="00A34232"/>
    <w:rsid w:val="00A34DE5"/>
    <w:rsid w:val="00A34E22"/>
    <w:rsid w:val="00A354EE"/>
    <w:rsid w:val="00A35FFF"/>
    <w:rsid w:val="00A363F4"/>
    <w:rsid w:val="00A364CC"/>
    <w:rsid w:val="00A3680F"/>
    <w:rsid w:val="00A370B1"/>
    <w:rsid w:val="00A371EF"/>
    <w:rsid w:val="00A37AEF"/>
    <w:rsid w:val="00A37D58"/>
    <w:rsid w:val="00A37E11"/>
    <w:rsid w:val="00A4024C"/>
    <w:rsid w:val="00A40CC3"/>
    <w:rsid w:val="00A417D1"/>
    <w:rsid w:val="00A41AD8"/>
    <w:rsid w:val="00A41B65"/>
    <w:rsid w:val="00A41C3C"/>
    <w:rsid w:val="00A41EE4"/>
    <w:rsid w:val="00A42B08"/>
    <w:rsid w:val="00A42B11"/>
    <w:rsid w:val="00A42C9D"/>
    <w:rsid w:val="00A4304B"/>
    <w:rsid w:val="00A434DF"/>
    <w:rsid w:val="00A435E2"/>
    <w:rsid w:val="00A43F8B"/>
    <w:rsid w:val="00A44F02"/>
    <w:rsid w:val="00A459FF"/>
    <w:rsid w:val="00A45F20"/>
    <w:rsid w:val="00A46139"/>
    <w:rsid w:val="00A462BE"/>
    <w:rsid w:val="00A4638B"/>
    <w:rsid w:val="00A465D2"/>
    <w:rsid w:val="00A46926"/>
    <w:rsid w:val="00A4723F"/>
    <w:rsid w:val="00A47DAB"/>
    <w:rsid w:val="00A47FA5"/>
    <w:rsid w:val="00A509F5"/>
    <w:rsid w:val="00A50A02"/>
    <w:rsid w:val="00A51834"/>
    <w:rsid w:val="00A519DC"/>
    <w:rsid w:val="00A51C5A"/>
    <w:rsid w:val="00A52A17"/>
    <w:rsid w:val="00A53574"/>
    <w:rsid w:val="00A53718"/>
    <w:rsid w:val="00A5390B"/>
    <w:rsid w:val="00A53961"/>
    <w:rsid w:val="00A53BE0"/>
    <w:rsid w:val="00A53C14"/>
    <w:rsid w:val="00A53E42"/>
    <w:rsid w:val="00A544EC"/>
    <w:rsid w:val="00A54B98"/>
    <w:rsid w:val="00A54E16"/>
    <w:rsid w:val="00A54E8C"/>
    <w:rsid w:val="00A550F5"/>
    <w:rsid w:val="00A55249"/>
    <w:rsid w:val="00A555D9"/>
    <w:rsid w:val="00A563B6"/>
    <w:rsid w:val="00A5660D"/>
    <w:rsid w:val="00A569DE"/>
    <w:rsid w:val="00A57455"/>
    <w:rsid w:val="00A57752"/>
    <w:rsid w:val="00A57D52"/>
    <w:rsid w:val="00A57FA0"/>
    <w:rsid w:val="00A61328"/>
    <w:rsid w:val="00A613AF"/>
    <w:rsid w:val="00A613EF"/>
    <w:rsid w:val="00A62385"/>
    <w:rsid w:val="00A62B4B"/>
    <w:rsid w:val="00A6347C"/>
    <w:rsid w:val="00A63659"/>
    <w:rsid w:val="00A6369D"/>
    <w:rsid w:val="00A63CC1"/>
    <w:rsid w:val="00A63E0A"/>
    <w:rsid w:val="00A642D9"/>
    <w:rsid w:val="00A64E73"/>
    <w:rsid w:val="00A652B1"/>
    <w:rsid w:val="00A65A5A"/>
    <w:rsid w:val="00A65DDF"/>
    <w:rsid w:val="00A65E33"/>
    <w:rsid w:val="00A6623C"/>
    <w:rsid w:val="00A6642B"/>
    <w:rsid w:val="00A66A57"/>
    <w:rsid w:val="00A66FFD"/>
    <w:rsid w:val="00A673E1"/>
    <w:rsid w:val="00A67530"/>
    <w:rsid w:val="00A6792A"/>
    <w:rsid w:val="00A703B9"/>
    <w:rsid w:val="00A7056F"/>
    <w:rsid w:val="00A707BC"/>
    <w:rsid w:val="00A710D0"/>
    <w:rsid w:val="00A71203"/>
    <w:rsid w:val="00A715DA"/>
    <w:rsid w:val="00A71C04"/>
    <w:rsid w:val="00A71F29"/>
    <w:rsid w:val="00A7212D"/>
    <w:rsid w:val="00A73651"/>
    <w:rsid w:val="00A737B4"/>
    <w:rsid w:val="00A73CBF"/>
    <w:rsid w:val="00A73D5B"/>
    <w:rsid w:val="00A74530"/>
    <w:rsid w:val="00A74861"/>
    <w:rsid w:val="00A748ED"/>
    <w:rsid w:val="00A751E9"/>
    <w:rsid w:val="00A75325"/>
    <w:rsid w:val="00A75424"/>
    <w:rsid w:val="00A76673"/>
    <w:rsid w:val="00A76685"/>
    <w:rsid w:val="00A76D45"/>
    <w:rsid w:val="00A76E89"/>
    <w:rsid w:val="00A77061"/>
    <w:rsid w:val="00A771F6"/>
    <w:rsid w:val="00A77E53"/>
    <w:rsid w:val="00A77E98"/>
    <w:rsid w:val="00A800F5"/>
    <w:rsid w:val="00A8012B"/>
    <w:rsid w:val="00A80347"/>
    <w:rsid w:val="00A80AD7"/>
    <w:rsid w:val="00A80CDE"/>
    <w:rsid w:val="00A8100E"/>
    <w:rsid w:val="00A814C4"/>
    <w:rsid w:val="00A816CE"/>
    <w:rsid w:val="00A819B7"/>
    <w:rsid w:val="00A81DD0"/>
    <w:rsid w:val="00A81E89"/>
    <w:rsid w:val="00A82459"/>
    <w:rsid w:val="00A82D0E"/>
    <w:rsid w:val="00A82E0C"/>
    <w:rsid w:val="00A83458"/>
    <w:rsid w:val="00A839A9"/>
    <w:rsid w:val="00A83B38"/>
    <w:rsid w:val="00A84193"/>
    <w:rsid w:val="00A843A0"/>
    <w:rsid w:val="00A845ED"/>
    <w:rsid w:val="00A84925"/>
    <w:rsid w:val="00A852AA"/>
    <w:rsid w:val="00A8558B"/>
    <w:rsid w:val="00A865CB"/>
    <w:rsid w:val="00A867A9"/>
    <w:rsid w:val="00A86D70"/>
    <w:rsid w:val="00A879F6"/>
    <w:rsid w:val="00A900ED"/>
    <w:rsid w:val="00A90C2A"/>
    <w:rsid w:val="00A90DA1"/>
    <w:rsid w:val="00A910FE"/>
    <w:rsid w:val="00A91F11"/>
    <w:rsid w:val="00A9221E"/>
    <w:rsid w:val="00A92B61"/>
    <w:rsid w:val="00A92DC4"/>
    <w:rsid w:val="00A92EC3"/>
    <w:rsid w:val="00A92FB7"/>
    <w:rsid w:val="00A9310F"/>
    <w:rsid w:val="00A9317C"/>
    <w:rsid w:val="00A93799"/>
    <w:rsid w:val="00A953A4"/>
    <w:rsid w:val="00A95DAA"/>
    <w:rsid w:val="00A96140"/>
    <w:rsid w:val="00A962A4"/>
    <w:rsid w:val="00A964A6"/>
    <w:rsid w:val="00A968FD"/>
    <w:rsid w:val="00A96B0E"/>
    <w:rsid w:val="00A96B5C"/>
    <w:rsid w:val="00A97160"/>
    <w:rsid w:val="00A97F5D"/>
    <w:rsid w:val="00AA1B59"/>
    <w:rsid w:val="00AA1B6E"/>
    <w:rsid w:val="00AA2233"/>
    <w:rsid w:val="00AA2376"/>
    <w:rsid w:val="00AA35AD"/>
    <w:rsid w:val="00AA3A97"/>
    <w:rsid w:val="00AA3BCB"/>
    <w:rsid w:val="00AA3CE6"/>
    <w:rsid w:val="00AA402D"/>
    <w:rsid w:val="00AA40E0"/>
    <w:rsid w:val="00AA4337"/>
    <w:rsid w:val="00AA43BA"/>
    <w:rsid w:val="00AA4498"/>
    <w:rsid w:val="00AA4AC3"/>
    <w:rsid w:val="00AA4E11"/>
    <w:rsid w:val="00AA4E9A"/>
    <w:rsid w:val="00AA5461"/>
    <w:rsid w:val="00AA5FAA"/>
    <w:rsid w:val="00AA6546"/>
    <w:rsid w:val="00AA6921"/>
    <w:rsid w:val="00AA6F43"/>
    <w:rsid w:val="00AA7398"/>
    <w:rsid w:val="00AA762C"/>
    <w:rsid w:val="00AA76A4"/>
    <w:rsid w:val="00AA7867"/>
    <w:rsid w:val="00AA78B8"/>
    <w:rsid w:val="00AA792C"/>
    <w:rsid w:val="00AA7CE5"/>
    <w:rsid w:val="00AB0297"/>
    <w:rsid w:val="00AB04B2"/>
    <w:rsid w:val="00AB06A7"/>
    <w:rsid w:val="00AB0A14"/>
    <w:rsid w:val="00AB0AC3"/>
    <w:rsid w:val="00AB1934"/>
    <w:rsid w:val="00AB21DB"/>
    <w:rsid w:val="00AB244C"/>
    <w:rsid w:val="00AB2E7B"/>
    <w:rsid w:val="00AB3040"/>
    <w:rsid w:val="00AB3293"/>
    <w:rsid w:val="00AB357D"/>
    <w:rsid w:val="00AB375E"/>
    <w:rsid w:val="00AB3925"/>
    <w:rsid w:val="00AB3FC3"/>
    <w:rsid w:val="00AB4427"/>
    <w:rsid w:val="00AB4959"/>
    <w:rsid w:val="00AB57EC"/>
    <w:rsid w:val="00AB57F3"/>
    <w:rsid w:val="00AB5B72"/>
    <w:rsid w:val="00AB6402"/>
    <w:rsid w:val="00AB6C9B"/>
    <w:rsid w:val="00AB704A"/>
    <w:rsid w:val="00AB779B"/>
    <w:rsid w:val="00AB79A6"/>
    <w:rsid w:val="00AB7CE1"/>
    <w:rsid w:val="00AC033B"/>
    <w:rsid w:val="00AC08E1"/>
    <w:rsid w:val="00AC0955"/>
    <w:rsid w:val="00AC0FF1"/>
    <w:rsid w:val="00AC125C"/>
    <w:rsid w:val="00AC193C"/>
    <w:rsid w:val="00AC1C25"/>
    <w:rsid w:val="00AC1FBF"/>
    <w:rsid w:val="00AC25B8"/>
    <w:rsid w:val="00AC27B3"/>
    <w:rsid w:val="00AC2CB5"/>
    <w:rsid w:val="00AC35CC"/>
    <w:rsid w:val="00AC362C"/>
    <w:rsid w:val="00AC3831"/>
    <w:rsid w:val="00AC439F"/>
    <w:rsid w:val="00AC46F6"/>
    <w:rsid w:val="00AC4741"/>
    <w:rsid w:val="00AC4898"/>
    <w:rsid w:val="00AC48BC"/>
    <w:rsid w:val="00AC4C4C"/>
    <w:rsid w:val="00AC4C87"/>
    <w:rsid w:val="00AC5A0C"/>
    <w:rsid w:val="00AC5A1E"/>
    <w:rsid w:val="00AC6457"/>
    <w:rsid w:val="00AC6579"/>
    <w:rsid w:val="00AC6DB8"/>
    <w:rsid w:val="00AC7592"/>
    <w:rsid w:val="00AC7687"/>
    <w:rsid w:val="00AC7C72"/>
    <w:rsid w:val="00AD019F"/>
    <w:rsid w:val="00AD024B"/>
    <w:rsid w:val="00AD08FC"/>
    <w:rsid w:val="00AD098F"/>
    <w:rsid w:val="00AD14E3"/>
    <w:rsid w:val="00AD17E3"/>
    <w:rsid w:val="00AD181F"/>
    <w:rsid w:val="00AD1FFA"/>
    <w:rsid w:val="00AD2272"/>
    <w:rsid w:val="00AD2414"/>
    <w:rsid w:val="00AD2EE6"/>
    <w:rsid w:val="00AD2F56"/>
    <w:rsid w:val="00AD3350"/>
    <w:rsid w:val="00AD34A1"/>
    <w:rsid w:val="00AD35A2"/>
    <w:rsid w:val="00AD3696"/>
    <w:rsid w:val="00AD3A91"/>
    <w:rsid w:val="00AD452C"/>
    <w:rsid w:val="00AD4552"/>
    <w:rsid w:val="00AD4BA1"/>
    <w:rsid w:val="00AD4C2B"/>
    <w:rsid w:val="00AD4D6C"/>
    <w:rsid w:val="00AD51A4"/>
    <w:rsid w:val="00AD534C"/>
    <w:rsid w:val="00AD5422"/>
    <w:rsid w:val="00AD5794"/>
    <w:rsid w:val="00AD591D"/>
    <w:rsid w:val="00AD5B09"/>
    <w:rsid w:val="00AD6F93"/>
    <w:rsid w:val="00AD7456"/>
    <w:rsid w:val="00AE0880"/>
    <w:rsid w:val="00AE0D1B"/>
    <w:rsid w:val="00AE1B8D"/>
    <w:rsid w:val="00AE2040"/>
    <w:rsid w:val="00AE2051"/>
    <w:rsid w:val="00AE2750"/>
    <w:rsid w:val="00AE3606"/>
    <w:rsid w:val="00AE3877"/>
    <w:rsid w:val="00AE436D"/>
    <w:rsid w:val="00AE45D5"/>
    <w:rsid w:val="00AE47C6"/>
    <w:rsid w:val="00AE47E4"/>
    <w:rsid w:val="00AE4A7A"/>
    <w:rsid w:val="00AE4CD3"/>
    <w:rsid w:val="00AE4D56"/>
    <w:rsid w:val="00AE4FC2"/>
    <w:rsid w:val="00AE5110"/>
    <w:rsid w:val="00AE54AC"/>
    <w:rsid w:val="00AE5822"/>
    <w:rsid w:val="00AE59B4"/>
    <w:rsid w:val="00AE5BA4"/>
    <w:rsid w:val="00AE6329"/>
    <w:rsid w:val="00AE658A"/>
    <w:rsid w:val="00AE67B7"/>
    <w:rsid w:val="00AE6903"/>
    <w:rsid w:val="00AE6AE3"/>
    <w:rsid w:val="00AE6E07"/>
    <w:rsid w:val="00AE72C5"/>
    <w:rsid w:val="00AE7302"/>
    <w:rsid w:val="00AE7C76"/>
    <w:rsid w:val="00AE7CF9"/>
    <w:rsid w:val="00AE7E5B"/>
    <w:rsid w:val="00AF006C"/>
    <w:rsid w:val="00AF0797"/>
    <w:rsid w:val="00AF0977"/>
    <w:rsid w:val="00AF0B58"/>
    <w:rsid w:val="00AF0FA3"/>
    <w:rsid w:val="00AF1702"/>
    <w:rsid w:val="00AF18F4"/>
    <w:rsid w:val="00AF1AE1"/>
    <w:rsid w:val="00AF1BDE"/>
    <w:rsid w:val="00AF1DDA"/>
    <w:rsid w:val="00AF1E93"/>
    <w:rsid w:val="00AF2223"/>
    <w:rsid w:val="00AF2278"/>
    <w:rsid w:val="00AF2640"/>
    <w:rsid w:val="00AF2771"/>
    <w:rsid w:val="00AF2E08"/>
    <w:rsid w:val="00AF2E4E"/>
    <w:rsid w:val="00AF2ED9"/>
    <w:rsid w:val="00AF2F38"/>
    <w:rsid w:val="00AF337B"/>
    <w:rsid w:val="00AF3424"/>
    <w:rsid w:val="00AF38F6"/>
    <w:rsid w:val="00AF4100"/>
    <w:rsid w:val="00AF4304"/>
    <w:rsid w:val="00AF4405"/>
    <w:rsid w:val="00AF44BD"/>
    <w:rsid w:val="00AF4843"/>
    <w:rsid w:val="00AF4F19"/>
    <w:rsid w:val="00AF5043"/>
    <w:rsid w:val="00AF5185"/>
    <w:rsid w:val="00AF5264"/>
    <w:rsid w:val="00AF5336"/>
    <w:rsid w:val="00AF53FA"/>
    <w:rsid w:val="00AF55D0"/>
    <w:rsid w:val="00AF5606"/>
    <w:rsid w:val="00AF56B6"/>
    <w:rsid w:val="00AF5974"/>
    <w:rsid w:val="00AF65DB"/>
    <w:rsid w:val="00AF6768"/>
    <w:rsid w:val="00AF67BB"/>
    <w:rsid w:val="00AF70C7"/>
    <w:rsid w:val="00AF713F"/>
    <w:rsid w:val="00AF77CD"/>
    <w:rsid w:val="00AF7918"/>
    <w:rsid w:val="00B00AA8"/>
    <w:rsid w:val="00B00FA7"/>
    <w:rsid w:val="00B01145"/>
    <w:rsid w:val="00B01418"/>
    <w:rsid w:val="00B01B5B"/>
    <w:rsid w:val="00B01DFD"/>
    <w:rsid w:val="00B02339"/>
    <w:rsid w:val="00B029EB"/>
    <w:rsid w:val="00B03514"/>
    <w:rsid w:val="00B03579"/>
    <w:rsid w:val="00B035EB"/>
    <w:rsid w:val="00B03699"/>
    <w:rsid w:val="00B03A39"/>
    <w:rsid w:val="00B03B00"/>
    <w:rsid w:val="00B03BA1"/>
    <w:rsid w:val="00B03F92"/>
    <w:rsid w:val="00B04047"/>
    <w:rsid w:val="00B04D2B"/>
    <w:rsid w:val="00B04D8D"/>
    <w:rsid w:val="00B04EE2"/>
    <w:rsid w:val="00B04F84"/>
    <w:rsid w:val="00B0543C"/>
    <w:rsid w:val="00B0561C"/>
    <w:rsid w:val="00B05732"/>
    <w:rsid w:val="00B057E7"/>
    <w:rsid w:val="00B0678E"/>
    <w:rsid w:val="00B068A1"/>
    <w:rsid w:val="00B06E9E"/>
    <w:rsid w:val="00B07307"/>
    <w:rsid w:val="00B07E07"/>
    <w:rsid w:val="00B10282"/>
    <w:rsid w:val="00B1039C"/>
    <w:rsid w:val="00B104A6"/>
    <w:rsid w:val="00B10738"/>
    <w:rsid w:val="00B10AEE"/>
    <w:rsid w:val="00B11003"/>
    <w:rsid w:val="00B12265"/>
    <w:rsid w:val="00B1329F"/>
    <w:rsid w:val="00B13364"/>
    <w:rsid w:val="00B136CF"/>
    <w:rsid w:val="00B14CFC"/>
    <w:rsid w:val="00B15450"/>
    <w:rsid w:val="00B157CA"/>
    <w:rsid w:val="00B15AB1"/>
    <w:rsid w:val="00B160E2"/>
    <w:rsid w:val="00B16BA1"/>
    <w:rsid w:val="00B17064"/>
    <w:rsid w:val="00B176EA"/>
    <w:rsid w:val="00B17BA1"/>
    <w:rsid w:val="00B20C8D"/>
    <w:rsid w:val="00B20CB1"/>
    <w:rsid w:val="00B20E11"/>
    <w:rsid w:val="00B217EF"/>
    <w:rsid w:val="00B21E71"/>
    <w:rsid w:val="00B22084"/>
    <w:rsid w:val="00B22938"/>
    <w:rsid w:val="00B22E6E"/>
    <w:rsid w:val="00B2308F"/>
    <w:rsid w:val="00B23201"/>
    <w:rsid w:val="00B23ED9"/>
    <w:rsid w:val="00B25971"/>
    <w:rsid w:val="00B259E7"/>
    <w:rsid w:val="00B25ECF"/>
    <w:rsid w:val="00B26FEE"/>
    <w:rsid w:val="00B27610"/>
    <w:rsid w:val="00B27DEF"/>
    <w:rsid w:val="00B30004"/>
    <w:rsid w:val="00B3030C"/>
    <w:rsid w:val="00B30680"/>
    <w:rsid w:val="00B3085F"/>
    <w:rsid w:val="00B30ABD"/>
    <w:rsid w:val="00B30E4B"/>
    <w:rsid w:val="00B30F29"/>
    <w:rsid w:val="00B31A37"/>
    <w:rsid w:val="00B31B08"/>
    <w:rsid w:val="00B32152"/>
    <w:rsid w:val="00B329CE"/>
    <w:rsid w:val="00B330DF"/>
    <w:rsid w:val="00B33920"/>
    <w:rsid w:val="00B33AAA"/>
    <w:rsid w:val="00B3437E"/>
    <w:rsid w:val="00B34609"/>
    <w:rsid w:val="00B34810"/>
    <w:rsid w:val="00B34C43"/>
    <w:rsid w:val="00B34EF6"/>
    <w:rsid w:val="00B35B0D"/>
    <w:rsid w:val="00B35C1A"/>
    <w:rsid w:val="00B363AB"/>
    <w:rsid w:val="00B365D3"/>
    <w:rsid w:val="00B36630"/>
    <w:rsid w:val="00B36BAE"/>
    <w:rsid w:val="00B3754A"/>
    <w:rsid w:val="00B377AC"/>
    <w:rsid w:val="00B37ABE"/>
    <w:rsid w:val="00B37D70"/>
    <w:rsid w:val="00B4007C"/>
    <w:rsid w:val="00B407CA"/>
    <w:rsid w:val="00B41408"/>
    <w:rsid w:val="00B41AE5"/>
    <w:rsid w:val="00B41B5F"/>
    <w:rsid w:val="00B41B89"/>
    <w:rsid w:val="00B41DE9"/>
    <w:rsid w:val="00B422AA"/>
    <w:rsid w:val="00B424AD"/>
    <w:rsid w:val="00B42F36"/>
    <w:rsid w:val="00B430DE"/>
    <w:rsid w:val="00B432BD"/>
    <w:rsid w:val="00B43673"/>
    <w:rsid w:val="00B43981"/>
    <w:rsid w:val="00B43B70"/>
    <w:rsid w:val="00B43B7E"/>
    <w:rsid w:val="00B43E28"/>
    <w:rsid w:val="00B43FBB"/>
    <w:rsid w:val="00B444DC"/>
    <w:rsid w:val="00B449F1"/>
    <w:rsid w:val="00B44D30"/>
    <w:rsid w:val="00B45C51"/>
    <w:rsid w:val="00B465A9"/>
    <w:rsid w:val="00B46D49"/>
    <w:rsid w:val="00B47DE0"/>
    <w:rsid w:val="00B47F29"/>
    <w:rsid w:val="00B50343"/>
    <w:rsid w:val="00B509BF"/>
    <w:rsid w:val="00B50D24"/>
    <w:rsid w:val="00B50D35"/>
    <w:rsid w:val="00B50F35"/>
    <w:rsid w:val="00B51547"/>
    <w:rsid w:val="00B51DCD"/>
    <w:rsid w:val="00B5221A"/>
    <w:rsid w:val="00B5253A"/>
    <w:rsid w:val="00B52666"/>
    <w:rsid w:val="00B52B74"/>
    <w:rsid w:val="00B52C76"/>
    <w:rsid w:val="00B52F09"/>
    <w:rsid w:val="00B531A2"/>
    <w:rsid w:val="00B531D3"/>
    <w:rsid w:val="00B53632"/>
    <w:rsid w:val="00B5402D"/>
    <w:rsid w:val="00B54077"/>
    <w:rsid w:val="00B54263"/>
    <w:rsid w:val="00B54B46"/>
    <w:rsid w:val="00B54D46"/>
    <w:rsid w:val="00B551EA"/>
    <w:rsid w:val="00B5530F"/>
    <w:rsid w:val="00B55948"/>
    <w:rsid w:val="00B5594F"/>
    <w:rsid w:val="00B5600E"/>
    <w:rsid w:val="00B56B44"/>
    <w:rsid w:val="00B5717E"/>
    <w:rsid w:val="00B5773B"/>
    <w:rsid w:val="00B5791B"/>
    <w:rsid w:val="00B57FC2"/>
    <w:rsid w:val="00B6030B"/>
    <w:rsid w:val="00B60923"/>
    <w:rsid w:val="00B60A76"/>
    <w:rsid w:val="00B60CAA"/>
    <w:rsid w:val="00B61716"/>
    <w:rsid w:val="00B61877"/>
    <w:rsid w:val="00B61C87"/>
    <w:rsid w:val="00B62147"/>
    <w:rsid w:val="00B62368"/>
    <w:rsid w:val="00B62EE3"/>
    <w:rsid w:val="00B62F6B"/>
    <w:rsid w:val="00B6310E"/>
    <w:rsid w:val="00B63473"/>
    <w:rsid w:val="00B63640"/>
    <w:rsid w:val="00B639DA"/>
    <w:rsid w:val="00B63A68"/>
    <w:rsid w:val="00B647BD"/>
    <w:rsid w:val="00B64876"/>
    <w:rsid w:val="00B64D58"/>
    <w:rsid w:val="00B64E40"/>
    <w:rsid w:val="00B65560"/>
    <w:rsid w:val="00B665F2"/>
    <w:rsid w:val="00B67721"/>
    <w:rsid w:val="00B67744"/>
    <w:rsid w:val="00B67A4F"/>
    <w:rsid w:val="00B67DAB"/>
    <w:rsid w:val="00B71278"/>
    <w:rsid w:val="00B71A85"/>
    <w:rsid w:val="00B71AC4"/>
    <w:rsid w:val="00B71F31"/>
    <w:rsid w:val="00B71F43"/>
    <w:rsid w:val="00B7276C"/>
    <w:rsid w:val="00B72882"/>
    <w:rsid w:val="00B7341E"/>
    <w:rsid w:val="00B73424"/>
    <w:rsid w:val="00B738D0"/>
    <w:rsid w:val="00B7397B"/>
    <w:rsid w:val="00B739A0"/>
    <w:rsid w:val="00B73CBE"/>
    <w:rsid w:val="00B741D2"/>
    <w:rsid w:val="00B7450D"/>
    <w:rsid w:val="00B74E5E"/>
    <w:rsid w:val="00B750A8"/>
    <w:rsid w:val="00B7526B"/>
    <w:rsid w:val="00B75335"/>
    <w:rsid w:val="00B7555B"/>
    <w:rsid w:val="00B75669"/>
    <w:rsid w:val="00B75C6E"/>
    <w:rsid w:val="00B75CB9"/>
    <w:rsid w:val="00B75F0B"/>
    <w:rsid w:val="00B76AF9"/>
    <w:rsid w:val="00B76BEF"/>
    <w:rsid w:val="00B7752D"/>
    <w:rsid w:val="00B77E72"/>
    <w:rsid w:val="00B77E85"/>
    <w:rsid w:val="00B77FCA"/>
    <w:rsid w:val="00B800C9"/>
    <w:rsid w:val="00B8026A"/>
    <w:rsid w:val="00B80359"/>
    <w:rsid w:val="00B80683"/>
    <w:rsid w:val="00B80868"/>
    <w:rsid w:val="00B80938"/>
    <w:rsid w:val="00B80977"/>
    <w:rsid w:val="00B80BEB"/>
    <w:rsid w:val="00B80D14"/>
    <w:rsid w:val="00B81094"/>
    <w:rsid w:val="00B81178"/>
    <w:rsid w:val="00B8117C"/>
    <w:rsid w:val="00B81264"/>
    <w:rsid w:val="00B821B6"/>
    <w:rsid w:val="00B823D4"/>
    <w:rsid w:val="00B8271B"/>
    <w:rsid w:val="00B8362D"/>
    <w:rsid w:val="00B83706"/>
    <w:rsid w:val="00B83A54"/>
    <w:rsid w:val="00B83AA4"/>
    <w:rsid w:val="00B83B59"/>
    <w:rsid w:val="00B84033"/>
    <w:rsid w:val="00B8457F"/>
    <w:rsid w:val="00B8516F"/>
    <w:rsid w:val="00B853C4"/>
    <w:rsid w:val="00B853EB"/>
    <w:rsid w:val="00B85762"/>
    <w:rsid w:val="00B86151"/>
    <w:rsid w:val="00B862E5"/>
    <w:rsid w:val="00B87424"/>
    <w:rsid w:val="00B87A83"/>
    <w:rsid w:val="00B87AB1"/>
    <w:rsid w:val="00B901DA"/>
    <w:rsid w:val="00B90880"/>
    <w:rsid w:val="00B90892"/>
    <w:rsid w:val="00B917E0"/>
    <w:rsid w:val="00B91F24"/>
    <w:rsid w:val="00B9248E"/>
    <w:rsid w:val="00B92B4A"/>
    <w:rsid w:val="00B93858"/>
    <w:rsid w:val="00B93DAC"/>
    <w:rsid w:val="00B93F3A"/>
    <w:rsid w:val="00B94358"/>
    <w:rsid w:val="00B947CF"/>
    <w:rsid w:val="00B94CBC"/>
    <w:rsid w:val="00B94D1D"/>
    <w:rsid w:val="00B94D24"/>
    <w:rsid w:val="00B95391"/>
    <w:rsid w:val="00B96D19"/>
    <w:rsid w:val="00BA008F"/>
    <w:rsid w:val="00BA11AB"/>
    <w:rsid w:val="00BA12BA"/>
    <w:rsid w:val="00BA1972"/>
    <w:rsid w:val="00BA19BF"/>
    <w:rsid w:val="00BA1C38"/>
    <w:rsid w:val="00BA1CED"/>
    <w:rsid w:val="00BA20D4"/>
    <w:rsid w:val="00BA22D6"/>
    <w:rsid w:val="00BA285C"/>
    <w:rsid w:val="00BA2D8B"/>
    <w:rsid w:val="00BA2DC5"/>
    <w:rsid w:val="00BA2E32"/>
    <w:rsid w:val="00BA327B"/>
    <w:rsid w:val="00BA348E"/>
    <w:rsid w:val="00BA3A41"/>
    <w:rsid w:val="00BA455E"/>
    <w:rsid w:val="00BA45D1"/>
    <w:rsid w:val="00BA4CA7"/>
    <w:rsid w:val="00BA5106"/>
    <w:rsid w:val="00BA5228"/>
    <w:rsid w:val="00BA56EA"/>
    <w:rsid w:val="00BA5823"/>
    <w:rsid w:val="00BA5D90"/>
    <w:rsid w:val="00BA68C2"/>
    <w:rsid w:val="00BA6ACA"/>
    <w:rsid w:val="00BA6B5B"/>
    <w:rsid w:val="00BA6B91"/>
    <w:rsid w:val="00BA7C49"/>
    <w:rsid w:val="00BB01E8"/>
    <w:rsid w:val="00BB0798"/>
    <w:rsid w:val="00BB111D"/>
    <w:rsid w:val="00BB12C2"/>
    <w:rsid w:val="00BB14B7"/>
    <w:rsid w:val="00BB1A6B"/>
    <w:rsid w:val="00BB1B48"/>
    <w:rsid w:val="00BB1ED5"/>
    <w:rsid w:val="00BB21E7"/>
    <w:rsid w:val="00BB2265"/>
    <w:rsid w:val="00BB22CB"/>
    <w:rsid w:val="00BB2737"/>
    <w:rsid w:val="00BB315F"/>
    <w:rsid w:val="00BB378F"/>
    <w:rsid w:val="00BB3C4B"/>
    <w:rsid w:val="00BB3D6B"/>
    <w:rsid w:val="00BB4745"/>
    <w:rsid w:val="00BB4C42"/>
    <w:rsid w:val="00BB5025"/>
    <w:rsid w:val="00BB605B"/>
    <w:rsid w:val="00BB6159"/>
    <w:rsid w:val="00BB673D"/>
    <w:rsid w:val="00BB6A91"/>
    <w:rsid w:val="00BB71C0"/>
    <w:rsid w:val="00BB762E"/>
    <w:rsid w:val="00BB7778"/>
    <w:rsid w:val="00BB78B2"/>
    <w:rsid w:val="00BC044C"/>
    <w:rsid w:val="00BC11FC"/>
    <w:rsid w:val="00BC132B"/>
    <w:rsid w:val="00BC21E5"/>
    <w:rsid w:val="00BC2987"/>
    <w:rsid w:val="00BC2C0C"/>
    <w:rsid w:val="00BC2C7B"/>
    <w:rsid w:val="00BC314C"/>
    <w:rsid w:val="00BC34F2"/>
    <w:rsid w:val="00BC3E32"/>
    <w:rsid w:val="00BC3F16"/>
    <w:rsid w:val="00BC4BDE"/>
    <w:rsid w:val="00BC4D75"/>
    <w:rsid w:val="00BC4D81"/>
    <w:rsid w:val="00BC51F4"/>
    <w:rsid w:val="00BC5AA2"/>
    <w:rsid w:val="00BC5CCC"/>
    <w:rsid w:val="00BC62BF"/>
    <w:rsid w:val="00BC660C"/>
    <w:rsid w:val="00BC7141"/>
    <w:rsid w:val="00BC7288"/>
    <w:rsid w:val="00BC728D"/>
    <w:rsid w:val="00BC750E"/>
    <w:rsid w:val="00BD0653"/>
    <w:rsid w:val="00BD0C25"/>
    <w:rsid w:val="00BD1EC1"/>
    <w:rsid w:val="00BD1EDB"/>
    <w:rsid w:val="00BD2403"/>
    <w:rsid w:val="00BD34A6"/>
    <w:rsid w:val="00BD3A51"/>
    <w:rsid w:val="00BD51BF"/>
    <w:rsid w:val="00BD528B"/>
    <w:rsid w:val="00BD5626"/>
    <w:rsid w:val="00BD5679"/>
    <w:rsid w:val="00BD5936"/>
    <w:rsid w:val="00BD5D3E"/>
    <w:rsid w:val="00BD5E30"/>
    <w:rsid w:val="00BD60BD"/>
    <w:rsid w:val="00BD60D8"/>
    <w:rsid w:val="00BD6D86"/>
    <w:rsid w:val="00BD7068"/>
    <w:rsid w:val="00BD7255"/>
    <w:rsid w:val="00BD79AF"/>
    <w:rsid w:val="00BD7ABB"/>
    <w:rsid w:val="00BE054E"/>
    <w:rsid w:val="00BE1426"/>
    <w:rsid w:val="00BE1518"/>
    <w:rsid w:val="00BE16F7"/>
    <w:rsid w:val="00BE18D9"/>
    <w:rsid w:val="00BE1C0A"/>
    <w:rsid w:val="00BE2A93"/>
    <w:rsid w:val="00BE35F0"/>
    <w:rsid w:val="00BE3BBA"/>
    <w:rsid w:val="00BE4344"/>
    <w:rsid w:val="00BE43DF"/>
    <w:rsid w:val="00BE4D05"/>
    <w:rsid w:val="00BE51F1"/>
    <w:rsid w:val="00BE52C8"/>
    <w:rsid w:val="00BE53EA"/>
    <w:rsid w:val="00BE55A9"/>
    <w:rsid w:val="00BE56A5"/>
    <w:rsid w:val="00BE6542"/>
    <w:rsid w:val="00BE6623"/>
    <w:rsid w:val="00BE696E"/>
    <w:rsid w:val="00BE6D5F"/>
    <w:rsid w:val="00BE6D95"/>
    <w:rsid w:val="00BE719A"/>
    <w:rsid w:val="00BE71C0"/>
    <w:rsid w:val="00BE7227"/>
    <w:rsid w:val="00BE74AD"/>
    <w:rsid w:val="00BE79C6"/>
    <w:rsid w:val="00BE7CA8"/>
    <w:rsid w:val="00BE7F44"/>
    <w:rsid w:val="00BF093F"/>
    <w:rsid w:val="00BF10FD"/>
    <w:rsid w:val="00BF1535"/>
    <w:rsid w:val="00BF1DF8"/>
    <w:rsid w:val="00BF2135"/>
    <w:rsid w:val="00BF2612"/>
    <w:rsid w:val="00BF29E2"/>
    <w:rsid w:val="00BF2B47"/>
    <w:rsid w:val="00BF34A7"/>
    <w:rsid w:val="00BF3628"/>
    <w:rsid w:val="00BF3A9B"/>
    <w:rsid w:val="00BF49B6"/>
    <w:rsid w:val="00BF4C75"/>
    <w:rsid w:val="00BF4F7A"/>
    <w:rsid w:val="00BF4F83"/>
    <w:rsid w:val="00BF61D5"/>
    <w:rsid w:val="00BF62FB"/>
    <w:rsid w:val="00BF69B1"/>
    <w:rsid w:val="00BF6A5C"/>
    <w:rsid w:val="00BF6E35"/>
    <w:rsid w:val="00BF7101"/>
    <w:rsid w:val="00BF7AEE"/>
    <w:rsid w:val="00BF7EDC"/>
    <w:rsid w:val="00C000B6"/>
    <w:rsid w:val="00C00F3A"/>
    <w:rsid w:val="00C011DB"/>
    <w:rsid w:val="00C0170D"/>
    <w:rsid w:val="00C0275E"/>
    <w:rsid w:val="00C02765"/>
    <w:rsid w:val="00C02E5C"/>
    <w:rsid w:val="00C03870"/>
    <w:rsid w:val="00C040BF"/>
    <w:rsid w:val="00C043DD"/>
    <w:rsid w:val="00C04E08"/>
    <w:rsid w:val="00C04FF2"/>
    <w:rsid w:val="00C053C2"/>
    <w:rsid w:val="00C05C46"/>
    <w:rsid w:val="00C05D6D"/>
    <w:rsid w:val="00C05E1B"/>
    <w:rsid w:val="00C06175"/>
    <w:rsid w:val="00C06F25"/>
    <w:rsid w:val="00C071D6"/>
    <w:rsid w:val="00C10856"/>
    <w:rsid w:val="00C10ACB"/>
    <w:rsid w:val="00C10D43"/>
    <w:rsid w:val="00C10DC7"/>
    <w:rsid w:val="00C11813"/>
    <w:rsid w:val="00C11963"/>
    <w:rsid w:val="00C11BED"/>
    <w:rsid w:val="00C11CAC"/>
    <w:rsid w:val="00C1279F"/>
    <w:rsid w:val="00C12A97"/>
    <w:rsid w:val="00C13279"/>
    <w:rsid w:val="00C13678"/>
    <w:rsid w:val="00C14653"/>
    <w:rsid w:val="00C14CF7"/>
    <w:rsid w:val="00C15036"/>
    <w:rsid w:val="00C1530C"/>
    <w:rsid w:val="00C15903"/>
    <w:rsid w:val="00C15937"/>
    <w:rsid w:val="00C16363"/>
    <w:rsid w:val="00C168CF"/>
    <w:rsid w:val="00C16A7F"/>
    <w:rsid w:val="00C16CCC"/>
    <w:rsid w:val="00C16ED2"/>
    <w:rsid w:val="00C170E6"/>
    <w:rsid w:val="00C1732E"/>
    <w:rsid w:val="00C201BD"/>
    <w:rsid w:val="00C201E1"/>
    <w:rsid w:val="00C21504"/>
    <w:rsid w:val="00C21507"/>
    <w:rsid w:val="00C21D30"/>
    <w:rsid w:val="00C21DDD"/>
    <w:rsid w:val="00C21E2D"/>
    <w:rsid w:val="00C2278E"/>
    <w:rsid w:val="00C24170"/>
    <w:rsid w:val="00C2473E"/>
    <w:rsid w:val="00C2534D"/>
    <w:rsid w:val="00C258C2"/>
    <w:rsid w:val="00C25F27"/>
    <w:rsid w:val="00C2621E"/>
    <w:rsid w:val="00C2631E"/>
    <w:rsid w:val="00C26911"/>
    <w:rsid w:val="00C2790E"/>
    <w:rsid w:val="00C27A90"/>
    <w:rsid w:val="00C27D48"/>
    <w:rsid w:val="00C30757"/>
    <w:rsid w:val="00C308D7"/>
    <w:rsid w:val="00C30B21"/>
    <w:rsid w:val="00C31008"/>
    <w:rsid w:val="00C3117D"/>
    <w:rsid w:val="00C314AE"/>
    <w:rsid w:val="00C314FE"/>
    <w:rsid w:val="00C32DCD"/>
    <w:rsid w:val="00C332AF"/>
    <w:rsid w:val="00C33482"/>
    <w:rsid w:val="00C33968"/>
    <w:rsid w:val="00C33B3D"/>
    <w:rsid w:val="00C33C91"/>
    <w:rsid w:val="00C3410E"/>
    <w:rsid w:val="00C34304"/>
    <w:rsid w:val="00C3436D"/>
    <w:rsid w:val="00C344FF"/>
    <w:rsid w:val="00C346B4"/>
    <w:rsid w:val="00C349F2"/>
    <w:rsid w:val="00C34B1F"/>
    <w:rsid w:val="00C34DAD"/>
    <w:rsid w:val="00C35073"/>
    <w:rsid w:val="00C35870"/>
    <w:rsid w:val="00C358F6"/>
    <w:rsid w:val="00C35AAC"/>
    <w:rsid w:val="00C362DF"/>
    <w:rsid w:val="00C363EE"/>
    <w:rsid w:val="00C36C27"/>
    <w:rsid w:val="00C37AFA"/>
    <w:rsid w:val="00C37E57"/>
    <w:rsid w:val="00C37FD9"/>
    <w:rsid w:val="00C40573"/>
    <w:rsid w:val="00C40C9A"/>
    <w:rsid w:val="00C410D5"/>
    <w:rsid w:val="00C410E9"/>
    <w:rsid w:val="00C417FA"/>
    <w:rsid w:val="00C41D52"/>
    <w:rsid w:val="00C425B5"/>
    <w:rsid w:val="00C42839"/>
    <w:rsid w:val="00C42B0F"/>
    <w:rsid w:val="00C42D3C"/>
    <w:rsid w:val="00C44047"/>
    <w:rsid w:val="00C44549"/>
    <w:rsid w:val="00C447A4"/>
    <w:rsid w:val="00C44C66"/>
    <w:rsid w:val="00C45326"/>
    <w:rsid w:val="00C45331"/>
    <w:rsid w:val="00C453AE"/>
    <w:rsid w:val="00C4556D"/>
    <w:rsid w:val="00C45583"/>
    <w:rsid w:val="00C461B3"/>
    <w:rsid w:val="00C4698A"/>
    <w:rsid w:val="00C46DB5"/>
    <w:rsid w:val="00C47BB9"/>
    <w:rsid w:val="00C47F8F"/>
    <w:rsid w:val="00C50041"/>
    <w:rsid w:val="00C5041E"/>
    <w:rsid w:val="00C50EAD"/>
    <w:rsid w:val="00C5113E"/>
    <w:rsid w:val="00C515C3"/>
    <w:rsid w:val="00C521C6"/>
    <w:rsid w:val="00C527A5"/>
    <w:rsid w:val="00C52A25"/>
    <w:rsid w:val="00C52D33"/>
    <w:rsid w:val="00C52E6E"/>
    <w:rsid w:val="00C53695"/>
    <w:rsid w:val="00C53888"/>
    <w:rsid w:val="00C541C5"/>
    <w:rsid w:val="00C54B94"/>
    <w:rsid w:val="00C54B98"/>
    <w:rsid w:val="00C54F98"/>
    <w:rsid w:val="00C55089"/>
    <w:rsid w:val="00C5590F"/>
    <w:rsid w:val="00C55BD4"/>
    <w:rsid w:val="00C55CC7"/>
    <w:rsid w:val="00C55D2B"/>
    <w:rsid w:val="00C55DE4"/>
    <w:rsid w:val="00C5644E"/>
    <w:rsid w:val="00C5660F"/>
    <w:rsid w:val="00C567B3"/>
    <w:rsid w:val="00C570C6"/>
    <w:rsid w:val="00C575BE"/>
    <w:rsid w:val="00C57773"/>
    <w:rsid w:val="00C57B79"/>
    <w:rsid w:val="00C57FDF"/>
    <w:rsid w:val="00C60FA0"/>
    <w:rsid w:val="00C60FE9"/>
    <w:rsid w:val="00C61A04"/>
    <w:rsid w:val="00C61AFA"/>
    <w:rsid w:val="00C61C44"/>
    <w:rsid w:val="00C62296"/>
    <w:rsid w:val="00C62558"/>
    <w:rsid w:val="00C62EA3"/>
    <w:rsid w:val="00C6381D"/>
    <w:rsid w:val="00C6422B"/>
    <w:rsid w:val="00C6437F"/>
    <w:rsid w:val="00C64851"/>
    <w:rsid w:val="00C64BC3"/>
    <w:rsid w:val="00C65129"/>
    <w:rsid w:val="00C651E8"/>
    <w:rsid w:val="00C65309"/>
    <w:rsid w:val="00C65506"/>
    <w:rsid w:val="00C65721"/>
    <w:rsid w:val="00C6580C"/>
    <w:rsid w:val="00C6646C"/>
    <w:rsid w:val="00C670B1"/>
    <w:rsid w:val="00C67208"/>
    <w:rsid w:val="00C67480"/>
    <w:rsid w:val="00C67BA5"/>
    <w:rsid w:val="00C67DE5"/>
    <w:rsid w:val="00C707D8"/>
    <w:rsid w:val="00C70809"/>
    <w:rsid w:val="00C71940"/>
    <w:rsid w:val="00C71C7D"/>
    <w:rsid w:val="00C7251B"/>
    <w:rsid w:val="00C72824"/>
    <w:rsid w:val="00C7282C"/>
    <w:rsid w:val="00C72BE5"/>
    <w:rsid w:val="00C72DB5"/>
    <w:rsid w:val="00C7343C"/>
    <w:rsid w:val="00C73623"/>
    <w:rsid w:val="00C737E1"/>
    <w:rsid w:val="00C7415E"/>
    <w:rsid w:val="00C7436D"/>
    <w:rsid w:val="00C7437C"/>
    <w:rsid w:val="00C743AF"/>
    <w:rsid w:val="00C74512"/>
    <w:rsid w:val="00C74BC4"/>
    <w:rsid w:val="00C74C97"/>
    <w:rsid w:val="00C74FAE"/>
    <w:rsid w:val="00C7661A"/>
    <w:rsid w:val="00C76979"/>
    <w:rsid w:val="00C77204"/>
    <w:rsid w:val="00C77306"/>
    <w:rsid w:val="00C7735C"/>
    <w:rsid w:val="00C77526"/>
    <w:rsid w:val="00C8034A"/>
    <w:rsid w:val="00C80A54"/>
    <w:rsid w:val="00C80CF7"/>
    <w:rsid w:val="00C81DA2"/>
    <w:rsid w:val="00C820B6"/>
    <w:rsid w:val="00C822A5"/>
    <w:rsid w:val="00C8256D"/>
    <w:rsid w:val="00C825FC"/>
    <w:rsid w:val="00C82A16"/>
    <w:rsid w:val="00C8381A"/>
    <w:rsid w:val="00C843BB"/>
    <w:rsid w:val="00C84695"/>
    <w:rsid w:val="00C84EAF"/>
    <w:rsid w:val="00C85327"/>
    <w:rsid w:val="00C857B7"/>
    <w:rsid w:val="00C857E2"/>
    <w:rsid w:val="00C85BDF"/>
    <w:rsid w:val="00C8729F"/>
    <w:rsid w:val="00C908ED"/>
    <w:rsid w:val="00C90E11"/>
    <w:rsid w:val="00C911A9"/>
    <w:rsid w:val="00C914B2"/>
    <w:rsid w:val="00C9181F"/>
    <w:rsid w:val="00C91B03"/>
    <w:rsid w:val="00C933D6"/>
    <w:rsid w:val="00C93B51"/>
    <w:rsid w:val="00C94259"/>
    <w:rsid w:val="00C94ADC"/>
    <w:rsid w:val="00C952D5"/>
    <w:rsid w:val="00C95412"/>
    <w:rsid w:val="00C959FF"/>
    <w:rsid w:val="00C96AD1"/>
    <w:rsid w:val="00C96D2B"/>
    <w:rsid w:val="00C97062"/>
    <w:rsid w:val="00C97714"/>
    <w:rsid w:val="00C97AA9"/>
    <w:rsid w:val="00C97B8C"/>
    <w:rsid w:val="00C97D31"/>
    <w:rsid w:val="00CA06EF"/>
    <w:rsid w:val="00CA0BFE"/>
    <w:rsid w:val="00CA0EA9"/>
    <w:rsid w:val="00CA15D6"/>
    <w:rsid w:val="00CA19A3"/>
    <w:rsid w:val="00CA19CC"/>
    <w:rsid w:val="00CA1F1A"/>
    <w:rsid w:val="00CA2BC3"/>
    <w:rsid w:val="00CA2C2E"/>
    <w:rsid w:val="00CA2CAF"/>
    <w:rsid w:val="00CA405E"/>
    <w:rsid w:val="00CA48B5"/>
    <w:rsid w:val="00CA4B85"/>
    <w:rsid w:val="00CA4C14"/>
    <w:rsid w:val="00CA4E09"/>
    <w:rsid w:val="00CA5006"/>
    <w:rsid w:val="00CA54A4"/>
    <w:rsid w:val="00CA58CC"/>
    <w:rsid w:val="00CA5CF0"/>
    <w:rsid w:val="00CA5D98"/>
    <w:rsid w:val="00CA6B3A"/>
    <w:rsid w:val="00CA6F15"/>
    <w:rsid w:val="00CA7368"/>
    <w:rsid w:val="00CA798E"/>
    <w:rsid w:val="00CA7B52"/>
    <w:rsid w:val="00CA84A9"/>
    <w:rsid w:val="00CB0007"/>
    <w:rsid w:val="00CB0551"/>
    <w:rsid w:val="00CB06A1"/>
    <w:rsid w:val="00CB13C0"/>
    <w:rsid w:val="00CB17EC"/>
    <w:rsid w:val="00CB19B3"/>
    <w:rsid w:val="00CB1A00"/>
    <w:rsid w:val="00CB1F1E"/>
    <w:rsid w:val="00CB2472"/>
    <w:rsid w:val="00CB2B80"/>
    <w:rsid w:val="00CB2B8C"/>
    <w:rsid w:val="00CB3320"/>
    <w:rsid w:val="00CB3B93"/>
    <w:rsid w:val="00CB3C29"/>
    <w:rsid w:val="00CB3D30"/>
    <w:rsid w:val="00CB3EC3"/>
    <w:rsid w:val="00CB4A9A"/>
    <w:rsid w:val="00CB4EA6"/>
    <w:rsid w:val="00CB503D"/>
    <w:rsid w:val="00CB5D1C"/>
    <w:rsid w:val="00CB5D5F"/>
    <w:rsid w:val="00CB60A7"/>
    <w:rsid w:val="00CB6111"/>
    <w:rsid w:val="00CB6353"/>
    <w:rsid w:val="00CB694A"/>
    <w:rsid w:val="00CB6BAB"/>
    <w:rsid w:val="00CB70DB"/>
    <w:rsid w:val="00CB7607"/>
    <w:rsid w:val="00CB777C"/>
    <w:rsid w:val="00CB7C0B"/>
    <w:rsid w:val="00CB7C2D"/>
    <w:rsid w:val="00CC08FA"/>
    <w:rsid w:val="00CC0D4C"/>
    <w:rsid w:val="00CC1B13"/>
    <w:rsid w:val="00CC20EE"/>
    <w:rsid w:val="00CC2555"/>
    <w:rsid w:val="00CC2984"/>
    <w:rsid w:val="00CC2C0D"/>
    <w:rsid w:val="00CC2D8F"/>
    <w:rsid w:val="00CC3457"/>
    <w:rsid w:val="00CC3907"/>
    <w:rsid w:val="00CC390B"/>
    <w:rsid w:val="00CC3946"/>
    <w:rsid w:val="00CC394D"/>
    <w:rsid w:val="00CC3FDC"/>
    <w:rsid w:val="00CC40A6"/>
    <w:rsid w:val="00CC4270"/>
    <w:rsid w:val="00CC4367"/>
    <w:rsid w:val="00CC47C6"/>
    <w:rsid w:val="00CC4A13"/>
    <w:rsid w:val="00CC4E31"/>
    <w:rsid w:val="00CC55CA"/>
    <w:rsid w:val="00CC5FAD"/>
    <w:rsid w:val="00CC6090"/>
    <w:rsid w:val="00CC637A"/>
    <w:rsid w:val="00CC6385"/>
    <w:rsid w:val="00CC6897"/>
    <w:rsid w:val="00CC6959"/>
    <w:rsid w:val="00CC6E25"/>
    <w:rsid w:val="00CC70A9"/>
    <w:rsid w:val="00CC7BAA"/>
    <w:rsid w:val="00CC7D6A"/>
    <w:rsid w:val="00CD0097"/>
    <w:rsid w:val="00CD0DB1"/>
    <w:rsid w:val="00CD0F54"/>
    <w:rsid w:val="00CD27DC"/>
    <w:rsid w:val="00CD299B"/>
    <w:rsid w:val="00CD29D9"/>
    <w:rsid w:val="00CD2A38"/>
    <w:rsid w:val="00CD3073"/>
    <w:rsid w:val="00CD3565"/>
    <w:rsid w:val="00CD3CE3"/>
    <w:rsid w:val="00CD42AC"/>
    <w:rsid w:val="00CD442F"/>
    <w:rsid w:val="00CD47B3"/>
    <w:rsid w:val="00CD4D9D"/>
    <w:rsid w:val="00CD524C"/>
    <w:rsid w:val="00CD54C4"/>
    <w:rsid w:val="00CD5663"/>
    <w:rsid w:val="00CD5C2D"/>
    <w:rsid w:val="00CD6390"/>
    <w:rsid w:val="00CD713A"/>
    <w:rsid w:val="00CD7715"/>
    <w:rsid w:val="00CD7920"/>
    <w:rsid w:val="00CD7BD1"/>
    <w:rsid w:val="00CD7E1A"/>
    <w:rsid w:val="00CE05C0"/>
    <w:rsid w:val="00CE1C39"/>
    <w:rsid w:val="00CE1E4F"/>
    <w:rsid w:val="00CE2499"/>
    <w:rsid w:val="00CE28BC"/>
    <w:rsid w:val="00CE28E1"/>
    <w:rsid w:val="00CE2922"/>
    <w:rsid w:val="00CE2B62"/>
    <w:rsid w:val="00CE38AF"/>
    <w:rsid w:val="00CE3C3E"/>
    <w:rsid w:val="00CE431C"/>
    <w:rsid w:val="00CE4410"/>
    <w:rsid w:val="00CE4D06"/>
    <w:rsid w:val="00CE4EBB"/>
    <w:rsid w:val="00CE5D28"/>
    <w:rsid w:val="00CE5E27"/>
    <w:rsid w:val="00CE5E63"/>
    <w:rsid w:val="00CE5ECD"/>
    <w:rsid w:val="00CE5F04"/>
    <w:rsid w:val="00CE657C"/>
    <w:rsid w:val="00CE65D8"/>
    <w:rsid w:val="00CE6F02"/>
    <w:rsid w:val="00CE71B0"/>
    <w:rsid w:val="00CE7D41"/>
    <w:rsid w:val="00CF0030"/>
    <w:rsid w:val="00CF01A4"/>
    <w:rsid w:val="00CF0BF0"/>
    <w:rsid w:val="00CF0F1E"/>
    <w:rsid w:val="00CF13D2"/>
    <w:rsid w:val="00CF1BD3"/>
    <w:rsid w:val="00CF1CF6"/>
    <w:rsid w:val="00CF28C0"/>
    <w:rsid w:val="00CF2AF9"/>
    <w:rsid w:val="00CF2BF7"/>
    <w:rsid w:val="00CF2EE1"/>
    <w:rsid w:val="00CF3392"/>
    <w:rsid w:val="00CF39BC"/>
    <w:rsid w:val="00CF46D9"/>
    <w:rsid w:val="00CF4B08"/>
    <w:rsid w:val="00CF4E93"/>
    <w:rsid w:val="00CF4EBE"/>
    <w:rsid w:val="00CF5382"/>
    <w:rsid w:val="00CF5D22"/>
    <w:rsid w:val="00CF6373"/>
    <w:rsid w:val="00CF6C0F"/>
    <w:rsid w:val="00CF701B"/>
    <w:rsid w:val="00CF7216"/>
    <w:rsid w:val="00CF72DC"/>
    <w:rsid w:val="00CF7B54"/>
    <w:rsid w:val="00CF7D8D"/>
    <w:rsid w:val="00D00277"/>
    <w:rsid w:val="00D00B0B"/>
    <w:rsid w:val="00D010F3"/>
    <w:rsid w:val="00D0157B"/>
    <w:rsid w:val="00D01E9E"/>
    <w:rsid w:val="00D028DA"/>
    <w:rsid w:val="00D02AC6"/>
    <w:rsid w:val="00D02F4F"/>
    <w:rsid w:val="00D03447"/>
    <w:rsid w:val="00D03458"/>
    <w:rsid w:val="00D036AE"/>
    <w:rsid w:val="00D036E6"/>
    <w:rsid w:val="00D04128"/>
    <w:rsid w:val="00D0425F"/>
    <w:rsid w:val="00D04BF7"/>
    <w:rsid w:val="00D04FF2"/>
    <w:rsid w:val="00D0597E"/>
    <w:rsid w:val="00D05BD1"/>
    <w:rsid w:val="00D05F43"/>
    <w:rsid w:val="00D0608F"/>
    <w:rsid w:val="00D061A9"/>
    <w:rsid w:val="00D0620D"/>
    <w:rsid w:val="00D06298"/>
    <w:rsid w:val="00D062FD"/>
    <w:rsid w:val="00D063D3"/>
    <w:rsid w:val="00D06769"/>
    <w:rsid w:val="00D06C6F"/>
    <w:rsid w:val="00D076BF"/>
    <w:rsid w:val="00D07B55"/>
    <w:rsid w:val="00D07D2E"/>
    <w:rsid w:val="00D07D3B"/>
    <w:rsid w:val="00D1003A"/>
    <w:rsid w:val="00D101D7"/>
    <w:rsid w:val="00D10E90"/>
    <w:rsid w:val="00D10FC5"/>
    <w:rsid w:val="00D111C7"/>
    <w:rsid w:val="00D11A68"/>
    <w:rsid w:val="00D11BAF"/>
    <w:rsid w:val="00D11E56"/>
    <w:rsid w:val="00D1233E"/>
    <w:rsid w:val="00D12642"/>
    <w:rsid w:val="00D127EA"/>
    <w:rsid w:val="00D128A1"/>
    <w:rsid w:val="00D13F70"/>
    <w:rsid w:val="00D14E56"/>
    <w:rsid w:val="00D1550D"/>
    <w:rsid w:val="00D156A4"/>
    <w:rsid w:val="00D15968"/>
    <w:rsid w:val="00D1612D"/>
    <w:rsid w:val="00D16332"/>
    <w:rsid w:val="00D16338"/>
    <w:rsid w:val="00D17332"/>
    <w:rsid w:val="00D17569"/>
    <w:rsid w:val="00D17C71"/>
    <w:rsid w:val="00D2005D"/>
    <w:rsid w:val="00D2101E"/>
    <w:rsid w:val="00D21187"/>
    <w:rsid w:val="00D211A7"/>
    <w:rsid w:val="00D213AE"/>
    <w:rsid w:val="00D2175B"/>
    <w:rsid w:val="00D22010"/>
    <w:rsid w:val="00D221B1"/>
    <w:rsid w:val="00D223B9"/>
    <w:rsid w:val="00D225DD"/>
    <w:rsid w:val="00D227FA"/>
    <w:rsid w:val="00D228D0"/>
    <w:rsid w:val="00D22B78"/>
    <w:rsid w:val="00D22C1F"/>
    <w:rsid w:val="00D22DC8"/>
    <w:rsid w:val="00D22F48"/>
    <w:rsid w:val="00D231F4"/>
    <w:rsid w:val="00D23FEB"/>
    <w:rsid w:val="00D24252"/>
    <w:rsid w:val="00D24847"/>
    <w:rsid w:val="00D24F1E"/>
    <w:rsid w:val="00D2533A"/>
    <w:rsid w:val="00D256FC"/>
    <w:rsid w:val="00D261D1"/>
    <w:rsid w:val="00D27355"/>
    <w:rsid w:val="00D27464"/>
    <w:rsid w:val="00D2770E"/>
    <w:rsid w:val="00D27F7C"/>
    <w:rsid w:val="00D30282"/>
    <w:rsid w:val="00D304D4"/>
    <w:rsid w:val="00D311FA"/>
    <w:rsid w:val="00D31CD3"/>
    <w:rsid w:val="00D324B5"/>
    <w:rsid w:val="00D32669"/>
    <w:rsid w:val="00D329C1"/>
    <w:rsid w:val="00D32CE7"/>
    <w:rsid w:val="00D33334"/>
    <w:rsid w:val="00D33E97"/>
    <w:rsid w:val="00D3459B"/>
    <w:rsid w:val="00D34976"/>
    <w:rsid w:val="00D3541B"/>
    <w:rsid w:val="00D354E4"/>
    <w:rsid w:val="00D357D9"/>
    <w:rsid w:val="00D35CCB"/>
    <w:rsid w:val="00D3640C"/>
    <w:rsid w:val="00D365C5"/>
    <w:rsid w:val="00D3687F"/>
    <w:rsid w:val="00D368EE"/>
    <w:rsid w:val="00D36E50"/>
    <w:rsid w:val="00D370F3"/>
    <w:rsid w:val="00D37DAD"/>
    <w:rsid w:val="00D37DD5"/>
    <w:rsid w:val="00D37F2B"/>
    <w:rsid w:val="00D40373"/>
    <w:rsid w:val="00D40587"/>
    <w:rsid w:val="00D40BEA"/>
    <w:rsid w:val="00D40F90"/>
    <w:rsid w:val="00D410BC"/>
    <w:rsid w:val="00D411B7"/>
    <w:rsid w:val="00D41A13"/>
    <w:rsid w:val="00D41B47"/>
    <w:rsid w:val="00D420CC"/>
    <w:rsid w:val="00D423DD"/>
    <w:rsid w:val="00D427CE"/>
    <w:rsid w:val="00D42B4D"/>
    <w:rsid w:val="00D43189"/>
    <w:rsid w:val="00D434B4"/>
    <w:rsid w:val="00D438C4"/>
    <w:rsid w:val="00D439CE"/>
    <w:rsid w:val="00D43DE4"/>
    <w:rsid w:val="00D43FB2"/>
    <w:rsid w:val="00D445B2"/>
    <w:rsid w:val="00D44A19"/>
    <w:rsid w:val="00D44F09"/>
    <w:rsid w:val="00D45130"/>
    <w:rsid w:val="00D453D6"/>
    <w:rsid w:val="00D46D0E"/>
    <w:rsid w:val="00D46D96"/>
    <w:rsid w:val="00D46E07"/>
    <w:rsid w:val="00D46E6F"/>
    <w:rsid w:val="00D472DB"/>
    <w:rsid w:val="00D47327"/>
    <w:rsid w:val="00D479E3"/>
    <w:rsid w:val="00D47A4E"/>
    <w:rsid w:val="00D47A6C"/>
    <w:rsid w:val="00D47C49"/>
    <w:rsid w:val="00D47DDB"/>
    <w:rsid w:val="00D47F40"/>
    <w:rsid w:val="00D50105"/>
    <w:rsid w:val="00D50159"/>
    <w:rsid w:val="00D502B6"/>
    <w:rsid w:val="00D50317"/>
    <w:rsid w:val="00D503B6"/>
    <w:rsid w:val="00D50670"/>
    <w:rsid w:val="00D50835"/>
    <w:rsid w:val="00D510DC"/>
    <w:rsid w:val="00D513F6"/>
    <w:rsid w:val="00D51457"/>
    <w:rsid w:val="00D51789"/>
    <w:rsid w:val="00D51B4D"/>
    <w:rsid w:val="00D51D01"/>
    <w:rsid w:val="00D5279F"/>
    <w:rsid w:val="00D52D8D"/>
    <w:rsid w:val="00D5322D"/>
    <w:rsid w:val="00D532CB"/>
    <w:rsid w:val="00D54342"/>
    <w:rsid w:val="00D546A4"/>
    <w:rsid w:val="00D54D73"/>
    <w:rsid w:val="00D55416"/>
    <w:rsid w:val="00D557EF"/>
    <w:rsid w:val="00D5605A"/>
    <w:rsid w:val="00D5669E"/>
    <w:rsid w:val="00D57286"/>
    <w:rsid w:val="00D57366"/>
    <w:rsid w:val="00D579CE"/>
    <w:rsid w:val="00D57B33"/>
    <w:rsid w:val="00D57BB3"/>
    <w:rsid w:val="00D57F6B"/>
    <w:rsid w:val="00D57F6C"/>
    <w:rsid w:val="00D60490"/>
    <w:rsid w:val="00D605BF"/>
    <w:rsid w:val="00D6090D"/>
    <w:rsid w:val="00D60B01"/>
    <w:rsid w:val="00D613B7"/>
    <w:rsid w:val="00D61891"/>
    <w:rsid w:val="00D62B07"/>
    <w:rsid w:val="00D62F20"/>
    <w:rsid w:val="00D62F5B"/>
    <w:rsid w:val="00D634F8"/>
    <w:rsid w:val="00D63691"/>
    <w:rsid w:val="00D64256"/>
    <w:rsid w:val="00D647DD"/>
    <w:rsid w:val="00D6513A"/>
    <w:rsid w:val="00D6589D"/>
    <w:rsid w:val="00D658B5"/>
    <w:rsid w:val="00D659CE"/>
    <w:rsid w:val="00D65A57"/>
    <w:rsid w:val="00D65E96"/>
    <w:rsid w:val="00D660DE"/>
    <w:rsid w:val="00D675F5"/>
    <w:rsid w:val="00D678B2"/>
    <w:rsid w:val="00D678B6"/>
    <w:rsid w:val="00D67AA7"/>
    <w:rsid w:val="00D67DAB"/>
    <w:rsid w:val="00D7012D"/>
    <w:rsid w:val="00D70335"/>
    <w:rsid w:val="00D7035A"/>
    <w:rsid w:val="00D70916"/>
    <w:rsid w:val="00D70AA3"/>
    <w:rsid w:val="00D71437"/>
    <w:rsid w:val="00D729AE"/>
    <w:rsid w:val="00D73457"/>
    <w:rsid w:val="00D73988"/>
    <w:rsid w:val="00D7489B"/>
    <w:rsid w:val="00D750F6"/>
    <w:rsid w:val="00D75481"/>
    <w:rsid w:val="00D75D93"/>
    <w:rsid w:val="00D76300"/>
    <w:rsid w:val="00D76764"/>
    <w:rsid w:val="00D7683C"/>
    <w:rsid w:val="00D77239"/>
    <w:rsid w:val="00D774E5"/>
    <w:rsid w:val="00D77C80"/>
    <w:rsid w:val="00D800E2"/>
    <w:rsid w:val="00D800F5"/>
    <w:rsid w:val="00D8051A"/>
    <w:rsid w:val="00D80627"/>
    <w:rsid w:val="00D806DF"/>
    <w:rsid w:val="00D80797"/>
    <w:rsid w:val="00D80A07"/>
    <w:rsid w:val="00D811F2"/>
    <w:rsid w:val="00D81F0C"/>
    <w:rsid w:val="00D81F53"/>
    <w:rsid w:val="00D820AF"/>
    <w:rsid w:val="00D82190"/>
    <w:rsid w:val="00D8260A"/>
    <w:rsid w:val="00D8274D"/>
    <w:rsid w:val="00D83637"/>
    <w:rsid w:val="00D836F1"/>
    <w:rsid w:val="00D83F1A"/>
    <w:rsid w:val="00D84276"/>
    <w:rsid w:val="00D84BAA"/>
    <w:rsid w:val="00D84C64"/>
    <w:rsid w:val="00D85381"/>
    <w:rsid w:val="00D855E6"/>
    <w:rsid w:val="00D858C9"/>
    <w:rsid w:val="00D85B0B"/>
    <w:rsid w:val="00D85D89"/>
    <w:rsid w:val="00D861E2"/>
    <w:rsid w:val="00D866AC"/>
    <w:rsid w:val="00D8674D"/>
    <w:rsid w:val="00D867CC"/>
    <w:rsid w:val="00D869DE"/>
    <w:rsid w:val="00D86AA9"/>
    <w:rsid w:val="00D86D68"/>
    <w:rsid w:val="00D87047"/>
    <w:rsid w:val="00D87175"/>
    <w:rsid w:val="00D8788D"/>
    <w:rsid w:val="00D878BF"/>
    <w:rsid w:val="00D87DCB"/>
    <w:rsid w:val="00D90239"/>
    <w:rsid w:val="00D902F0"/>
    <w:rsid w:val="00D91A04"/>
    <w:rsid w:val="00D925EC"/>
    <w:rsid w:val="00D92A27"/>
    <w:rsid w:val="00D93C5E"/>
    <w:rsid w:val="00D947B4"/>
    <w:rsid w:val="00D94882"/>
    <w:rsid w:val="00D957D6"/>
    <w:rsid w:val="00D9596C"/>
    <w:rsid w:val="00D95B02"/>
    <w:rsid w:val="00D95D50"/>
    <w:rsid w:val="00D95E15"/>
    <w:rsid w:val="00D95F50"/>
    <w:rsid w:val="00D95FCF"/>
    <w:rsid w:val="00D9688A"/>
    <w:rsid w:val="00D96B46"/>
    <w:rsid w:val="00D96EEC"/>
    <w:rsid w:val="00D97ED6"/>
    <w:rsid w:val="00DA0792"/>
    <w:rsid w:val="00DA08FE"/>
    <w:rsid w:val="00DA0ACE"/>
    <w:rsid w:val="00DA1902"/>
    <w:rsid w:val="00DA1968"/>
    <w:rsid w:val="00DA1D73"/>
    <w:rsid w:val="00DA1F19"/>
    <w:rsid w:val="00DA211F"/>
    <w:rsid w:val="00DA2ACE"/>
    <w:rsid w:val="00DA2CD4"/>
    <w:rsid w:val="00DA362B"/>
    <w:rsid w:val="00DA368B"/>
    <w:rsid w:val="00DA39CA"/>
    <w:rsid w:val="00DA46A5"/>
    <w:rsid w:val="00DA4857"/>
    <w:rsid w:val="00DA4AE0"/>
    <w:rsid w:val="00DA4FC8"/>
    <w:rsid w:val="00DA5482"/>
    <w:rsid w:val="00DA61A7"/>
    <w:rsid w:val="00DA61DA"/>
    <w:rsid w:val="00DA6321"/>
    <w:rsid w:val="00DA671D"/>
    <w:rsid w:val="00DA6F26"/>
    <w:rsid w:val="00DA70E7"/>
    <w:rsid w:val="00DA71AC"/>
    <w:rsid w:val="00DA7321"/>
    <w:rsid w:val="00DA73E4"/>
    <w:rsid w:val="00DA74F6"/>
    <w:rsid w:val="00DA7A55"/>
    <w:rsid w:val="00DA7E4E"/>
    <w:rsid w:val="00DB02D7"/>
    <w:rsid w:val="00DB058E"/>
    <w:rsid w:val="00DB0BBE"/>
    <w:rsid w:val="00DB0C0D"/>
    <w:rsid w:val="00DB133C"/>
    <w:rsid w:val="00DB14AB"/>
    <w:rsid w:val="00DB14BB"/>
    <w:rsid w:val="00DB15EA"/>
    <w:rsid w:val="00DB17A3"/>
    <w:rsid w:val="00DB1E44"/>
    <w:rsid w:val="00DB29AC"/>
    <w:rsid w:val="00DB322F"/>
    <w:rsid w:val="00DB34A9"/>
    <w:rsid w:val="00DB3BF7"/>
    <w:rsid w:val="00DB425D"/>
    <w:rsid w:val="00DB51E2"/>
    <w:rsid w:val="00DB54FA"/>
    <w:rsid w:val="00DB5A4C"/>
    <w:rsid w:val="00DB6139"/>
    <w:rsid w:val="00DB7C49"/>
    <w:rsid w:val="00DB7CAD"/>
    <w:rsid w:val="00DC00F7"/>
    <w:rsid w:val="00DC072A"/>
    <w:rsid w:val="00DC083F"/>
    <w:rsid w:val="00DC09EB"/>
    <w:rsid w:val="00DC10B4"/>
    <w:rsid w:val="00DC2661"/>
    <w:rsid w:val="00DC26C3"/>
    <w:rsid w:val="00DC3830"/>
    <w:rsid w:val="00DC3BBB"/>
    <w:rsid w:val="00DC3D8F"/>
    <w:rsid w:val="00DC403C"/>
    <w:rsid w:val="00DC431C"/>
    <w:rsid w:val="00DC47EC"/>
    <w:rsid w:val="00DC4825"/>
    <w:rsid w:val="00DC4E0C"/>
    <w:rsid w:val="00DC5450"/>
    <w:rsid w:val="00DC583F"/>
    <w:rsid w:val="00DC5BE4"/>
    <w:rsid w:val="00DC5D37"/>
    <w:rsid w:val="00DC6297"/>
    <w:rsid w:val="00DC6408"/>
    <w:rsid w:val="00DC6658"/>
    <w:rsid w:val="00DC6728"/>
    <w:rsid w:val="00DC6911"/>
    <w:rsid w:val="00DC6B24"/>
    <w:rsid w:val="00DD02A1"/>
    <w:rsid w:val="00DD0763"/>
    <w:rsid w:val="00DD0EAE"/>
    <w:rsid w:val="00DD11F5"/>
    <w:rsid w:val="00DD1975"/>
    <w:rsid w:val="00DD1A15"/>
    <w:rsid w:val="00DD1A7C"/>
    <w:rsid w:val="00DD1AD2"/>
    <w:rsid w:val="00DD1C0D"/>
    <w:rsid w:val="00DD1E0F"/>
    <w:rsid w:val="00DD2625"/>
    <w:rsid w:val="00DD33ED"/>
    <w:rsid w:val="00DD3E0D"/>
    <w:rsid w:val="00DD3EE9"/>
    <w:rsid w:val="00DD41F4"/>
    <w:rsid w:val="00DD420B"/>
    <w:rsid w:val="00DD43B6"/>
    <w:rsid w:val="00DD4472"/>
    <w:rsid w:val="00DD512B"/>
    <w:rsid w:val="00DD5300"/>
    <w:rsid w:val="00DD530E"/>
    <w:rsid w:val="00DD56B4"/>
    <w:rsid w:val="00DD573D"/>
    <w:rsid w:val="00DD5B98"/>
    <w:rsid w:val="00DD61F3"/>
    <w:rsid w:val="00DD6AA1"/>
    <w:rsid w:val="00DD6DD4"/>
    <w:rsid w:val="00DD7308"/>
    <w:rsid w:val="00DD7601"/>
    <w:rsid w:val="00DD7625"/>
    <w:rsid w:val="00DD7AED"/>
    <w:rsid w:val="00DE06EA"/>
    <w:rsid w:val="00DE0960"/>
    <w:rsid w:val="00DE0E03"/>
    <w:rsid w:val="00DE10E7"/>
    <w:rsid w:val="00DE1C66"/>
    <w:rsid w:val="00DE2F35"/>
    <w:rsid w:val="00DE3436"/>
    <w:rsid w:val="00DE3790"/>
    <w:rsid w:val="00DE40A6"/>
    <w:rsid w:val="00DE447C"/>
    <w:rsid w:val="00DE4C6C"/>
    <w:rsid w:val="00DE5A1B"/>
    <w:rsid w:val="00DE664D"/>
    <w:rsid w:val="00DE6DB4"/>
    <w:rsid w:val="00DE745F"/>
    <w:rsid w:val="00DE77C1"/>
    <w:rsid w:val="00DE78D5"/>
    <w:rsid w:val="00DE7CBD"/>
    <w:rsid w:val="00DE7F02"/>
    <w:rsid w:val="00DF0C3E"/>
    <w:rsid w:val="00DF1CF0"/>
    <w:rsid w:val="00DF26E3"/>
    <w:rsid w:val="00DF2A72"/>
    <w:rsid w:val="00DF2BA1"/>
    <w:rsid w:val="00DF2E77"/>
    <w:rsid w:val="00DF3386"/>
    <w:rsid w:val="00DF3B0D"/>
    <w:rsid w:val="00DF3D3C"/>
    <w:rsid w:val="00DF41CC"/>
    <w:rsid w:val="00DF4B59"/>
    <w:rsid w:val="00DF5033"/>
    <w:rsid w:val="00DF5673"/>
    <w:rsid w:val="00DF582F"/>
    <w:rsid w:val="00DF5F55"/>
    <w:rsid w:val="00DF61B7"/>
    <w:rsid w:val="00DF6276"/>
    <w:rsid w:val="00DF6413"/>
    <w:rsid w:val="00DF6590"/>
    <w:rsid w:val="00DF661F"/>
    <w:rsid w:val="00DF6673"/>
    <w:rsid w:val="00DF6C2F"/>
    <w:rsid w:val="00DF6FE0"/>
    <w:rsid w:val="00DF7283"/>
    <w:rsid w:val="00DF7E98"/>
    <w:rsid w:val="00E0024F"/>
    <w:rsid w:val="00E005A4"/>
    <w:rsid w:val="00E00700"/>
    <w:rsid w:val="00E00C6B"/>
    <w:rsid w:val="00E01282"/>
    <w:rsid w:val="00E01A0B"/>
    <w:rsid w:val="00E01A81"/>
    <w:rsid w:val="00E01CD3"/>
    <w:rsid w:val="00E01D4F"/>
    <w:rsid w:val="00E03008"/>
    <w:rsid w:val="00E03213"/>
    <w:rsid w:val="00E03343"/>
    <w:rsid w:val="00E03425"/>
    <w:rsid w:val="00E037E8"/>
    <w:rsid w:val="00E04CF1"/>
    <w:rsid w:val="00E04F68"/>
    <w:rsid w:val="00E04FD3"/>
    <w:rsid w:val="00E05BD3"/>
    <w:rsid w:val="00E0608B"/>
    <w:rsid w:val="00E06273"/>
    <w:rsid w:val="00E06314"/>
    <w:rsid w:val="00E063F9"/>
    <w:rsid w:val="00E06FB1"/>
    <w:rsid w:val="00E0709F"/>
    <w:rsid w:val="00E0764A"/>
    <w:rsid w:val="00E07BAB"/>
    <w:rsid w:val="00E07DDC"/>
    <w:rsid w:val="00E1030C"/>
    <w:rsid w:val="00E10602"/>
    <w:rsid w:val="00E107BB"/>
    <w:rsid w:val="00E10EB4"/>
    <w:rsid w:val="00E1170A"/>
    <w:rsid w:val="00E11F59"/>
    <w:rsid w:val="00E1280D"/>
    <w:rsid w:val="00E12A59"/>
    <w:rsid w:val="00E12F45"/>
    <w:rsid w:val="00E13247"/>
    <w:rsid w:val="00E1365C"/>
    <w:rsid w:val="00E14CD3"/>
    <w:rsid w:val="00E15F6F"/>
    <w:rsid w:val="00E164D3"/>
    <w:rsid w:val="00E167CF"/>
    <w:rsid w:val="00E16DF0"/>
    <w:rsid w:val="00E170E7"/>
    <w:rsid w:val="00E171D8"/>
    <w:rsid w:val="00E17345"/>
    <w:rsid w:val="00E17A0D"/>
    <w:rsid w:val="00E2087C"/>
    <w:rsid w:val="00E20B07"/>
    <w:rsid w:val="00E21213"/>
    <w:rsid w:val="00E21344"/>
    <w:rsid w:val="00E21495"/>
    <w:rsid w:val="00E2149D"/>
    <w:rsid w:val="00E21D26"/>
    <w:rsid w:val="00E21EF4"/>
    <w:rsid w:val="00E22569"/>
    <w:rsid w:val="00E22A60"/>
    <w:rsid w:val="00E22D08"/>
    <w:rsid w:val="00E22F35"/>
    <w:rsid w:val="00E23A21"/>
    <w:rsid w:val="00E23A40"/>
    <w:rsid w:val="00E24278"/>
    <w:rsid w:val="00E24A9A"/>
    <w:rsid w:val="00E24CBF"/>
    <w:rsid w:val="00E260E0"/>
    <w:rsid w:val="00E261A6"/>
    <w:rsid w:val="00E27540"/>
    <w:rsid w:val="00E2767A"/>
    <w:rsid w:val="00E27723"/>
    <w:rsid w:val="00E27BEE"/>
    <w:rsid w:val="00E3044B"/>
    <w:rsid w:val="00E30886"/>
    <w:rsid w:val="00E30D9B"/>
    <w:rsid w:val="00E3147A"/>
    <w:rsid w:val="00E31B72"/>
    <w:rsid w:val="00E31C4F"/>
    <w:rsid w:val="00E31EE6"/>
    <w:rsid w:val="00E32305"/>
    <w:rsid w:val="00E325AE"/>
    <w:rsid w:val="00E32609"/>
    <w:rsid w:val="00E3299C"/>
    <w:rsid w:val="00E33498"/>
    <w:rsid w:val="00E336DC"/>
    <w:rsid w:val="00E33779"/>
    <w:rsid w:val="00E33DC2"/>
    <w:rsid w:val="00E3412B"/>
    <w:rsid w:val="00E34A70"/>
    <w:rsid w:val="00E357D8"/>
    <w:rsid w:val="00E35AF2"/>
    <w:rsid w:val="00E35CF0"/>
    <w:rsid w:val="00E35ED8"/>
    <w:rsid w:val="00E367C9"/>
    <w:rsid w:val="00E3698A"/>
    <w:rsid w:val="00E36EB2"/>
    <w:rsid w:val="00E36FEA"/>
    <w:rsid w:val="00E370DF"/>
    <w:rsid w:val="00E3719C"/>
    <w:rsid w:val="00E3783B"/>
    <w:rsid w:val="00E37B4C"/>
    <w:rsid w:val="00E37BBE"/>
    <w:rsid w:val="00E40442"/>
    <w:rsid w:val="00E404C4"/>
    <w:rsid w:val="00E40A52"/>
    <w:rsid w:val="00E40A7F"/>
    <w:rsid w:val="00E41399"/>
    <w:rsid w:val="00E4178E"/>
    <w:rsid w:val="00E41AF3"/>
    <w:rsid w:val="00E42340"/>
    <w:rsid w:val="00E4250D"/>
    <w:rsid w:val="00E4270F"/>
    <w:rsid w:val="00E427A2"/>
    <w:rsid w:val="00E43283"/>
    <w:rsid w:val="00E43D04"/>
    <w:rsid w:val="00E4403D"/>
    <w:rsid w:val="00E445EF"/>
    <w:rsid w:val="00E4508C"/>
    <w:rsid w:val="00E45273"/>
    <w:rsid w:val="00E45ABC"/>
    <w:rsid w:val="00E45C4E"/>
    <w:rsid w:val="00E461D9"/>
    <w:rsid w:val="00E46208"/>
    <w:rsid w:val="00E46442"/>
    <w:rsid w:val="00E46BB4"/>
    <w:rsid w:val="00E47010"/>
    <w:rsid w:val="00E50FB4"/>
    <w:rsid w:val="00E51470"/>
    <w:rsid w:val="00E516BE"/>
    <w:rsid w:val="00E51739"/>
    <w:rsid w:val="00E520C6"/>
    <w:rsid w:val="00E52711"/>
    <w:rsid w:val="00E52B97"/>
    <w:rsid w:val="00E52FAD"/>
    <w:rsid w:val="00E531E4"/>
    <w:rsid w:val="00E534A9"/>
    <w:rsid w:val="00E54388"/>
    <w:rsid w:val="00E54903"/>
    <w:rsid w:val="00E54B78"/>
    <w:rsid w:val="00E54E24"/>
    <w:rsid w:val="00E54FF6"/>
    <w:rsid w:val="00E55594"/>
    <w:rsid w:val="00E557CD"/>
    <w:rsid w:val="00E557F7"/>
    <w:rsid w:val="00E55896"/>
    <w:rsid w:val="00E559B8"/>
    <w:rsid w:val="00E55E32"/>
    <w:rsid w:val="00E5609C"/>
    <w:rsid w:val="00E560DD"/>
    <w:rsid w:val="00E56506"/>
    <w:rsid w:val="00E56685"/>
    <w:rsid w:val="00E56E75"/>
    <w:rsid w:val="00E60D66"/>
    <w:rsid w:val="00E61595"/>
    <w:rsid w:val="00E6181B"/>
    <w:rsid w:val="00E6196B"/>
    <w:rsid w:val="00E61A2A"/>
    <w:rsid w:val="00E621B2"/>
    <w:rsid w:val="00E62327"/>
    <w:rsid w:val="00E6346E"/>
    <w:rsid w:val="00E639C4"/>
    <w:rsid w:val="00E63C17"/>
    <w:rsid w:val="00E63C6E"/>
    <w:rsid w:val="00E64070"/>
    <w:rsid w:val="00E6415A"/>
    <w:rsid w:val="00E6453E"/>
    <w:rsid w:val="00E64C59"/>
    <w:rsid w:val="00E65545"/>
    <w:rsid w:val="00E6563E"/>
    <w:rsid w:val="00E6685A"/>
    <w:rsid w:val="00E66ABC"/>
    <w:rsid w:val="00E66B78"/>
    <w:rsid w:val="00E66D47"/>
    <w:rsid w:val="00E66E4A"/>
    <w:rsid w:val="00E66FBB"/>
    <w:rsid w:val="00E676DA"/>
    <w:rsid w:val="00E67B22"/>
    <w:rsid w:val="00E67B86"/>
    <w:rsid w:val="00E7002A"/>
    <w:rsid w:val="00E702DE"/>
    <w:rsid w:val="00E703BA"/>
    <w:rsid w:val="00E703EB"/>
    <w:rsid w:val="00E70614"/>
    <w:rsid w:val="00E70841"/>
    <w:rsid w:val="00E7090B"/>
    <w:rsid w:val="00E70FFD"/>
    <w:rsid w:val="00E7107B"/>
    <w:rsid w:val="00E71606"/>
    <w:rsid w:val="00E716A3"/>
    <w:rsid w:val="00E718CC"/>
    <w:rsid w:val="00E721AF"/>
    <w:rsid w:val="00E722F8"/>
    <w:rsid w:val="00E72ADB"/>
    <w:rsid w:val="00E73365"/>
    <w:rsid w:val="00E73756"/>
    <w:rsid w:val="00E737FE"/>
    <w:rsid w:val="00E73BA0"/>
    <w:rsid w:val="00E73BA4"/>
    <w:rsid w:val="00E73D46"/>
    <w:rsid w:val="00E74704"/>
    <w:rsid w:val="00E74870"/>
    <w:rsid w:val="00E74997"/>
    <w:rsid w:val="00E7505D"/>
    <w:rsid w:val="00E75254"/>
    <w:rsid w:val="00E75C71"/>
    <w:rsid w:val="00E75D3C"/>
    <w:rsid w:val="00E7614C"/>
    <w:rsid w:val="00E76A86"/>
    <w:rsid w:val="00E76C17"/>
    <w:rsid w:val="00E7773B"/>
    <w:rsid w:val="00E77949"/>
    <w:rsid w:val="00E77D84"/>
    <w:rsid w:val="00E77F5C"/>
    <w:rsid w:val="00E80784"/>
    <w:rsid w:val="00E80B53"/>
    <w:rsid w:val="00E80D07"/>
    <w:rsid w:val="00E80E9C"/>
    <w:rsid w:val="00E811CA"/>
    <w:rsid w:val="00E812C0"/>
    <w:rsid w:val="00E81627"/>
    <w:rsid w:val="00E82573"/>
    <w:rsid w:val="00E82C08"/>
    <w:rsid w:val="00E82EA5"/>
    <w:rsid w:val="00E839B8"/>
    <w:rsid w:val="00E83BBD"/>
    <w:rsid w:val="00E84C1C"/>
    <w:rsid w:val="00E84F5E"/>
    <w:rsid w:val="00E85CD2"/>
    <w:rsid w:val="00E87A1F"/>
    <w:rsid w:val="00E87D93"/>
    <w:rsid w:val="00E90899"/>
    <w:rsid w:val="00E90F3E"/>
    <w:rsid w:val="00E9188A"/>
    <w:rsid w:val="00E92548"/>
    <w:rsid w:val="00E92556"/>
    <w:rsid w:val="00E942BA"/>
    <w:rsid w:val="00E943BF"/>
    <w:rsid w:val="00E943EA"/>
    <w:rsid w:val="00E95111"/>
    <w:rsid w:val="00E9556E"/>
    <w:rsid w:val="00E956A1"/>
    <w:rsid w:val="00E9584A"/>
    <w:rsid w:val="00E95A59"/>
    <w:rsid w:val="00E95BAA"/>
    <w:rsid w:val="00E95C58"/>
    <w:rsid w:val="00E965C7"/>
    <w:rsid w:val="00E96DF4"/>
    <w:rsid w:val="00E96E62"/>
    <w:rsid w:val="00E96EEB"/>
    <w:rsid w:val="00E979E4"/>
    <w:rsid w:val="00EA043D"/>
    <w:rsid w:val="00EA09E6"/>
    <w:rsid w:val="00EA0E76"/>
    <w:rsid w:val="00EA1181"/>
    <w:rsid w:val="00EA277D"/>
    <w:rsid w:val="00EA28BF"/>
    <w:rsid w:val="00EA290C"/>
    <w:rsid w:val="00EA2F8A"/>
    <w:rsid w:val="00EA34BE"/>
    <w:rsid w:val="00EA3815"/>
    <w:rsid w:val="00EA3DDA"/>
    <w:rsid w:val="00EA3E2B"/>
    <w:rsid w:val="00EA3FFA"/>
    <w:rsid w:val="00EA4452"/>
    <w:rsid w:val="00EA473D"/>
    <w:rsid w:val="00EA4A8C"/>
    <w:rsid w:val="00EA52B4"/>
    <w:rsid w:val="00EA54EC"/>
    <w:rsid w:val="00EA5B52"/>
    <w:rsid w:val="00EA5BAF"/>
    <w:rsid w:val="00EA5CB4"/>
    <w:rsid w:val="00EA68BF"/>
    <w:rsid w:val="00EA77C8"/>
    <w:rsid w:val="00EA78B1"/>
    <w:rsid w:val="00EB0EB8"/>
    <w:rsid w:val="00EB0EEE"/>
    <w:rsid w:val="00EB10BA"/>
    <w:rsid w:val="00EB13BF"/>
    <w:rsid w:val="00EB1582"/>
    <w:rsid w:val="00EB1CE9"/>
    <w:rsid w:val="00EB2329"/>
    <w:rsid w:val="00EB272B"/>
    <w:rsid w:val="00EB2933"/>
    <w:rsid w:val="00EB2E8E"/>
    <w:rsid w:val="00EB3078"/>
    <w:rsid w:val="00EB3947"/>
    <w:rsid w:val="00EB3DBB"/>
    <w:rsid w:val="00EB4163"/>
    <w:rsid w:val="00EB441E"/>
    <w:rsid w:val="00EB465E"/>
    <w:rsid w:val="00EB4B2C"/>
    <w:rsid w:val="00EB52D6"/>
    <w:rsid w:val="00EB5ED8"/>
    <w:rsid w:val="00EB65B7"/>
    <w:rsid w:val="00EB6F7C"/>
    <w:rsid w:val="00EB721C"/>
    <w:rsid w:val="00EB780F"/>
    <w:rsid w:val="00EB7E4F"/>
    <w:rsid w:val="00EC00E5"/>
    <w:rsid w:val="00EC09B4"/>
    <w:rsid w:val="00EC0AEF"/>
    <w:rsid w:val="00EC1182"/>
    <w:rsid w:val="00EC19CA"/>
    <w:rsid w:val="00EC1F7F"/>
    <w:rsid w:val="00EC2015"/>
    <w:rsid w:val="00EC23C0"/>
    <w:rsid w:val="00EC247E"/>
    <w:rsid w:val="00EC257F"/>
    <w:rsid w:val="00EC311B"/>
    <w:rsid w:val="00EC34E2"/>
    <w:rsid w:val="00EC3DD3"/>
    <w:rsid w:val="00EC4047"/>
    <w:rsid w:val="00EC42B4"/>
    <w:rsid w:val="00EC46D8"/>
    <w:rsid w:val="00EC49F0"/>
    <w:rsid w:val="00EC4F79"/>
    <w:rsid w:val="00EC5063"/>
    <w:rsid w:val="00EC51CF"/>
    <w:rsid w:val="00EC554D"/>
    <w:rsid w:val="00EC56E0"/>
    <w:rsid w:val="00EC5C14"/>
    <w:rsid w:val="00EC5CE5"/>
    <w:rsid w:val="00EC5EE0"/>
    <w:rsid w:val="00EC6F9C"/>
    <w:rsid w:val="00ED020F"/>
    <w:rsid w:val="00ED093F"/>
    <w:rsid w:val="00ED15FF"/>
    <w:rsid w:val="00ED196E"/>
    <w:rsid w:val="00ED2057"/>
    <w:rsid w:val="00ED227E"/>
    <w:rsid w:val="00ED393F"/>
    <w:rsid w:val="00ED3FA3"/>
    <w:rsid w:val="00ED45E0"/>
    <w:rsid w:val="00ED534A"/>
    <w:rsid w:val="00ED5D71"/>
    <w:rsid w:val="00ED5D91"/>
    <w:rsid w:val="00ED673C"/>
    <w:rsid w:val="00ED6B34"/>
    <w:rsid w:val="00ED748A"/>
    <w:rsid w:val="00ED78F2"/>
    <w:rsid w:val="00ED7CCC"/>
    <w:rsid w:val="00ED7D6D"/>
    <w:rsid w:val="00EE02CF"/>
    <w:rsid w:val="00EE0624"/>
    <w:rsid w:val="00EE0811"/>
    <w:rsid w:val="00EE11B4"/>
    <w:rsid w:val="00EE16EA"/>
    <w:rsid w:val="00EE1E1C"/>
    <w:rsid w:val="00EE1F99"/>
    <w:rsid w:val="00EE253A"/>
    <w:rsid w:val="00EE2544"/>
    <w:rsid w:val="00EE2DBC"/>
    <w:rsid w:val="00EE354B"/>
    <w:rsid w:val="00EE410D"/>
    <w:rsid w:val="00EE413B"/>
    <w:rsid w:val="00EE4545"/>
    <w:rsid w:val="00EE4DFE"/>
    <w:rsid w:val="00EE50F5"/>
    <w:rsid w:val="00EE5175"/>
    <w:rsid w:val="00EE5245"/>
    <w:rsid w:val="00EE59B0"/>
    <w:rsid w:val="00EE5DAA"/>
    <w:rsid w:val="00EE5E0D"/>
    <w:rsid w:val="00EE5EBF"/>
    <w:rsid w:val="00EE5F17"/>
    <w:rsid w:val="00EE62F6"/>
    <w:rsid w:val="00EE641D"/>
    <w:rsid w:val="00EE6459"/>
    <w:rsid w:val="00EE671F"/>
    <w:rsid w:val="00EE7002"/>
    <w:rsid w:val="00EE7782"/>
    <w:rsid w:val="00EE7F7B"/>
    <w:rsid w:val="00EF0005"/>
    <w:rsid w:val="00EF01EF"/>
    <w:rsid w:val="00EF0450"/>
    <w:rsid w:val="00EF0742"/>
    <w:rsid w:val="00EF0A61"/>
    <w:rsid w:val="00EF15C8"/>
    <w:rsid w:val="00EF161E"/>
    <w:rsid w:val="00EF17A4"/>
    <w:rsid w:val="00EF1817"/>
    <w:rsid w:val="00EF1F79"/>
    <w:rsid w:val="00EF1F7F"/>
    <w:rsid w:val="00EF2060"/>
    <w:rsid w:val="00EF26B6"/>
    <w:rsid w:val="00EF2B33"/>
    <w:rsid w:val="00EF2F74"/>
    <w:rsid w:val="00EF311F"/>
    <w:rsid w:val="00EF3193"/>
    <w:rsid w:val="00EF31A9"/>
    <w:rsid w:val="00EF51B1"/>
    <w:rsid w:val="00EF5739"/>
    <w:rsid w:val="00EF5A20"/>
    <w:rsid w:val="00EF6159"/>
    <w:rsid w:val="00EF6704"/>
    <w:rsid w:val="00EF6BCC"/>
    <w:rsid w:val="00EF6F95"/>
    <w:rsid w:val="00EF75E2"/>
    <w:rsid w:val="00EF7C62"/>
    <w:rsid w:val="00F00B74"/>
    <w:rsid w:val="00F00E3F"/>
    <w:rsid w:val="00F01195"/>
    <w:rsid w:val="00F02541"/>
    <w:rsid w:val="00F0271D"/>
    <w:rsid w:val="00F02EE8"/>
    <w:rsid w:val="00F031FE"/>
    <w:rsid w:val="00F03AA2"/>
    <w:rsid w:val="00F03CC3"/>
    <w:rsid w:val="00F046C3"/>
    <w:rsid w:val="00F049EB"/>
    <w:rsid w:val="00F05266"/>
    <w:rsid w:val="00F055A9"/>
    <w:rsid w:val="00F062D9"/>
    <w:rsid w:val="00F07380"/>
    <w:rsid w:val="00F0769B"/>
    <w:rsid w:val="00F10393"/>
    <w:rsid w:val="00F10875"/>
    <w:rsid w:val="00F1097C"/>
    <w:rsid w:val="00F10E10"/>
    <w:rsid w:val="00F115AC"/>
    <w:rsid w:val="00F1198A"/>
    <w:rsid w:val="00F11BD0"/>
    <w:rsid w:val="00F11CB0"/>
    <w:rsid w:val="00F12431"/>
    <w:rsid w:val="00F1284E"/>
    <w:rsid w:val="00F12A52"/>
    <w:rsid w:val="00F12D8E"/>
    <w:rsid w:val="00F1308B"/>
    <w:rsid w:val="00F137AC"/>
    <w:rsid w:val="00F1396A"/>
    <w:rsid w:val="00F13CCD"/>
    <w:rsid w:val="00F147FA"/>
    <w:rsid w:val="00F14829"/>
    <w:rsid w:val="00F14989"/>
    <w:rsid w:val="00F14F75"/>
    <w:rsid w:val="00F1500B"/>
    <w:rsid w:val="00F15228"/>
    <w:rsid w:val="00F160CE"/>
    <w:rsid w:val="00F16FCA"/>
    <w:rsid w:val="00F17EA6"/>
    <w:rsid w:val="00F20440"/>
    <w:rsid w:val="00F213F2"/>
    <w:rsid w:val="00F21781"/>
    <w:rsid w:val="00F2223A"/>
    <w:rsid w:val="00F23341"/>
    <w:rsid w:val="00F249CF"/>
    <w:rsid w:val="00F24A1C"/>
    <w:rsid w:val="00F2511E"/>
    <w:rsid w:val="00F251E6"/>
    <w:rsid w:val="00F253B1"/>
    <w:rsid w:val="00F25931"/>
    <w:rsid w:val="00F25EC1"/>
    <w:rsid w:val="00F260C9"/>
    <w:rsid w:val="00F261E2"/>
    <w:rsid w:val="00F2625D"/>
    <w:rsid w:val="00F26428"/>
    <w:rsid w:val="00F26D00"/>
    <w:rsid w:val="00F26DEF"/>
    <w:rsid w:val="00F26E65"/>
    <w:rsid w:val="00F26F28"/>
    <w:rsid w:val="00F27262"/>
    <w:rsid w:val="00F30575"/>
    <w:rsid w:val="00F3058F"/>
    <w:rsid w:val="00F309C5"/>
    <w:rsid w:val="00F30D00"/>
    <w:rsid w:val="00F30DB9"/>
    <w:rsid w:val="00F31267"/>
    <w:rsid w:val="00F318E1"/>
    <w:rsid w:val="00F31964"/>
    <w:rsid w:val="00F31BBE"/>
    <w:rsid w:val="00F31CBA"/>
    <w:rsid w:val="00F31DBA"/>
    <w:rsid w:val="00F31E42"/>
    <w:rsid w:val="00F32353"/>
    <w:rsid w:val="00F3250E"/>
    <w:rsid w:val="00F32CA1"/>
    <w:rsid w:val="00F33B59"/>
    <w:rsid w:val="00F33D41"/>
    <w:rsid w:val="00F33EB0"/>
    <w:rsid w:val="00F33F40"/>
    <w:rsid w:val="00F344E0"/>
    <w:rsid w:val="00F34D37"/>
    <w:rsid w:val="00F34D6A"/>
    <w:rsid w:val="00F34D74"/>
    <w:rsid w:val="00F350EB"/>
    <w:rsid w:val="00F35436"/>
    <w:rsid w:val="00F35872"/>
    <w:rsid w:val="00F35AA5"/>
    <w:rsid w:val="00F36369"/>
    <w:rsid w:val="00F364AE"/>
    <w:rsid w:val="00F36BE1"/>
    <w:rsid w:val="00F36E3C"/>
    <w:rsid w:val="00F36EE3"/>
    <w:rsid w:val="00F37B48"/>
    <w:rsid w:val="00F4000D"/>
    <w:rsid w:val="00F40B13"/>
    <w:rsid w:val="00F40B4D"/>
    <w:rsid w:val="00F40FD3"/>
    <w:rsid w:val="00F4105E"/>
    <w:rsid w:val="00F416C4"/>
    <w:rsid w:val="00F4245C"/>
    <w:rsid w:val="00F42678"/>
    <w:rsid w:val="00F42798"/>
    <w:rsid w:val="00F42E8B"/>
    <w:rsid w:val="00F43046"/>
    <w:rsid w:val="00F43860"/>
    <w:rsid w:val="00F43B89"/>
    <w:rsid w:val="00F44406"/>
    <w:rsid w:val="00F4487D"/>
    <w:rsid w:val="00F44DD1"/>
    <w:rsid w:val="00F4524A"/>
    <w:rsid w:val="00F4534A"/>
    <w:rsid w:val="00F456F6"/>
    <w:rsid w:val="00F457C3"/>
    <w:rsid w:val="00F45CDD"/>
    <w:rsid w:val="00F4721D"/>
    <w:rsid w:val="00F478FF"/>
    <w:rsid w:val="00F47CF7"/>
    <w:rsid w:val="00F5076F"/>
    <w:rsid w:val="00F51203"/>
    <w:rsid w:val="00F51496"/>
    <w:rsid w:val="00F51D5D"/>
    <w:rsid w:val="00F51E47"/>
    <w:rsid w:val="00F52611"/>
    <w:rsid w:val="00F53388"/>
    <w:rsid w:val="00F544E8"/>
    <w:rsid w:val="00F54779"/>
    <w:rsid w:val="00F54DD1"/>
    <w:rsid w:val="00F5503D"/>
    <w:rsid w:val="00F55359"/>
    <w:rsid w:val="00F5537A"/>
    <w:rsid w:val="00F55E2D"/>
    <w:rsid w:val="00F567B0"/>
    <w:rsid w:val="00F56CA1"/>
    <w:rsid w:val="00F56EFA"/>
    <w:rsid w:val="00F56F38"/>
    <w:rsid w:val="00F57CCA"/>
    <w:rsid w:val="00F60005"/>
    <w:rsid w:val="00F603CD"/>
    <w:rsid w:val="00F604C1"/>
    <w:rsid w:val="00F6131B"/>
    <w:rsid w:val="00F61341"/>
    <w:rsid w:val="00F61452"/>
    <w:rsid w:val="00F6147A"/>
    <w:rsid w:val="00F61E9E"/>
    <w:rsid w:val="00F61FB8"/>
    <w:rsid w:val="00F62450"/>
    <w:rsid w:val="00F62758"/>
    <w:rsid w:val="00F629EC"/>
    <w:rsid w:val="00F63DCD"/>
    <w:rsid w:val="00F6458F"/>
    <w:rsid w:val="00F64767"/>
    <w:rsid w:val="00F64B18"/>
    <w:rsid w:val="00F650F8"/>
    <w:rsid w:val="00F65497"/>
    <w:rsid w:val="00F65F02"/>
    <w:rsid w:val="00F66090"/>
    <w:rsid w:val="00F66382"/>
    <w:rsid w:val="00F665AE"/>
    <w:rsid w:val="00F66BBE"/>
    <w:rsid w:val="00F67625"/>
    <w:rsid w:val="00F67BDD"/>
    <w:rsid w:val="00F67FA4"/>
    <w:rsid w:val="00F700E4"/>
    <w:rsid w:val="00F70125"/>
    <w:rsid w:val="00F70665"/>
    <w:rsid w:val="00F70DAB"/>
    <w:rsid w:val="00F70E63"/>
    <w:rsid w:val="00F717A1"/>
    <w:rsid w:val="00F72181"/>
    <w:rsid w:val="00F72701"/>
    <w:rsid w:val="00F72979"/>
    <w:rsid w:val="00F734FD"/>
    <w:rsid w:val="00F73850"/>
    <w:rsid w:val="00F7464B"/>
    <w:rsid w:val="00F74FA7"/>
    <w:rsid w:val="00F75C70"/>
    <w:rsid w:val="00F76585"/>
    <w:rsid w:val="00F769B9"/>
    <w:rsid w:val="00F76D8A"/>
    <w:rsid w:val="00F76ED3"/>
    <w:rsid w:val="00F76FD4"/>
    <w:rsid w:val="00F77026"/>
    <w:rsid w:val="00F771B7"/>
    <w:rsid w:val="00F77273"/>
    <w:rsid w:val="00F773E1"/>
    <w:rsid w:val="00F77438"/>
    <w:rsid w:val="00F77452"/>
    <w:rsid w:val="00F77ADE"/>
    <w:rsid w:val="00F77B65"/>
    <w:rsid w:val="00F77D16"/>
    <w:rsid w:val="00F80857"/>
    <w:rsid w:val="00F80C35"/>
    <w:rsid w:val="00F8162C"/>
    <w:rsid w:val="00F81638"/>
    <w:rsid w:val="00F81EE2"/>
    <w:rsid w:val="00F82630"/>
    <w:rsid w:val="00F827A8"/>
    <w:rsid w:val="00F82A20"/>
    <w:rsid w:val="00F82DD2"/>
    <w:rsid w:val="00F82EAD"/>
    <w:rsid w:val="00F830B6"/>
    <w:rsid w:val="00F8311B"/>
    <w:rsid w:val="00F84140"/>
    <w:rsid w:val="00F84BFD"/>
    <w:rsid w:val="00F84C9F"/>
    <w:rsid w:val="00F84E88"/>
    <w:rsid w:val="00F851A5"/>
    <w:rsid w:val="00F857E0"/>
    <w:rsid w:val="00F85AD9"/>
    <w:rsid w:val="00F85BA1"/>
    <w:rsid w:val="00F862DB"/>
    <w:rsid w:val="00F867B6"/>
    <w:rsid w:val="00F870B8"/>
    <w:rsid w:val="00F87D20"/>
    <w:rsid w:val="00F90F7D"/>
    <w:rsid w:val="00F919A7"/>
    <w:rsid w:val="00F921EC"/>
    <w:rsid w:val="00F92215"/>
    <w:rsid w:val="00F9252A"/>
    <w:rsid w:val="00F9257F"/>
    <w:rsid w:val="00F92DE9"/>
    <w:rsid w:val="00F92EA3"/>
    <w:rsid w:val="00F93418"/>
    <w:rsid w:val="00F9399E"/>
    <w:rsid w:val="00F9416B"/>
    <w:rsid w:val="00F944A8"/>
    <w:rsid w:val="00F95265"/>
    <w:rsid w:val="00F95384"/>
    <w:rsid w:val="00F95F9E"/>
    <w:rsid w:val="00F970D1"/>
    <w:rsid w:val="00F97579"/>
    <w:rsid w:val="00F978C0"/>
    <w:rsid w:val="00F97CAC"/>
    <w:rsid w:val="00F97CE0"/>
    <w:rsid w:val="00F97D92"/>
    <w:rsid w:val="00FA008D"/>
    <w:rsid w:val="00FA0265"/>
    <w:rsid w:val="00FA0625"/>
    <w:rsid w:val="00FA0A3B"/>
    <w:rsid w:val="00FA115B"/>
    <w:rsid w:val="00FA1D1B"/>
    <w:rsid w:val="00FA1DF9"/>
    <w:rsid w:val="00FA1EFC"/>
    <w:rsid w:val="00FA20DC"/>
    <w:rsid w:val="00FA24E3"/>
    <w:rsid w:val="00FA2931"/>
    <w:rsid w:val="00FA2D7F"/>
    <w:rsid w:val="00FA2D8B"/>
    <w:rsid w:val="00FA3974"/>
    <w:rsid w:val="00FA4386"/>
    <w:rsid w:val="00FA45FB"/>
    <w:rsid w:val="00FA4996"/>
    <w:rsid w:val="00FA527B"/>
    <w:rsid w:val="00FA5F4C"/>
    <w:rsid w:val="00FA6385"/>
    <w:rsid w:val="00FA71C5"/>
    <w:rsid w:val="00FA73B3"/>
    <w:rsid w:val="00FA74F7"/>
    <w:rsid w:val="00FA76C0"/>
    <w:rsid w:val="00FA7AF1"/>
    <w:rsid w:val="00FA7CBA"/>
    <w:rsid w:val="00FB082B"/>
    <w:rsid w:val="00FB0D39"/>
    <w:rsid w:val="00FB0E21"/>
    <w:rsid w:val="00FB13A2"/>
    <w:rsid w:val="00FB18B9"/>
    <w:rsid w:val="00FB1C25"/>
    <w:rsid w:val="00FB1C7C"/>
    <w:rsid w:val="00FB25D8"/>
    <w:rsid w:val="00FB2B40"/>
    <w:rsid w:val="00FB33EB"/>
    <w:rsid w:val="00FB3EDC"/>
    <w:rsid w:val="00FB424D"/>
    <w:rsid w:val="00FB4937"/>
    <w:rsid w:val="00FB49BF"/>
    <w:rsid w:val="00FB555D"/>
    <w:rsid w:val="00FB654C"/>
    <w:rsid w:val="00FB674D"/>
    <w:rsid w:val="00FB68C1"/>
    <w:rsid w:val="00FB70C9"/>
    <w:rsid w:val="00FC057D"/>
    <w:rsid w:val="00FC08A6"/>
    <w:rsid w:val="00FC0FAF"/>
    <w:rsid w:val="00FC15F6"/>
    <w:rsid w:val="00FC1B4B"/>
    <w:rsid w:val="00FC2C4D"/>
    <w:rsid w:val="00FC3324"/>
    <w:rsid w:val="00FC33D5"/>
    <w:rsid w:val="00FC3C0B"/>
    <w:rsid w:val="00FC3C35"/>
    <w:rsid w:val="00FC45F8"/>
    <w:rsid w:val="00FC4873"/>
    <w:rsid w:val="00FC4A9F"/>
    <w:rsid w:val="00FC50AE"/>
    <w:rsid w:val="00FC5570"/>
    <w:rsid w:val="00FC5781"/>
    <w:rsid w:val="00FC588F"/>
    <w:rsid w:val="00FC5B5F"/>
    <w:rsid w:val="00FC5C37"/>
    <w:rsid w:val="00FC5F37"/>
    <w:rsid w:val="00FC5FF6"/>
    <w:rsid w:val="00FC6FDE"/>
    <w:rsid w:val="00FC74E5"/>
    <w:rsid w:val="00FC788C"/>
    <w:rsid w:val="00FC7949"/>
    <w:rsid w:val="00FC7EC5"/>
    <w:rsid w:val="00FC7F01"/>
    <w:rsid w:val="00FD05EE"/>
    <w:rsid w:val="00FD0AB9"/>
    <w:rsid w:val="00FD0FAF"/>
    <w:rsid w:val="00FD1264"/>
    <w:rsid w:val="00FD194E"/>
    <w:rsid w:val="00FD1988"/>
    <w:rsid w:val="00FD21B9"/>
    <w:rsid w:val="00FD244C"/>
    <w:rsid w:val="00FD26CB"/>
    <w:rsid w:val="00FD2EA0"/>
    <w:rsid w:val="00FD33D0"/>
    <w:rsid w:val="00FD35B9"/>
    <w:rsid w:val="00FD367C"/>
    <w:rsid w:val="00FD36F7"/>
    <w:rsid w:val="00FD3AB5"/>
    <w:rsid w:val="00FD46D1"/>
    <w:rsid w:val="00FD488A"/>
    <w:rsid w:val="00FD5871"/>
    <w:rsid w:val="00FD6072"/>
    <w:rsid w:val="00FD770B"/>
    <w:rsid w:val="00FD7B72"/>
    <w:rsid w:val="00FE063C"/>
    <w:rsid w:val="00FE0C84"/>
    <w:rsid w:val="00FE0D3F"/>
    <w:rsid w:val="00FE17DA"/>
    <w:rsid w:val="00FE1CED"/>
    <w:rsid w:val="00FE1CF7"/>
    <w:rsid w:val="00FE22F1"/>
    <w:rsid w:val="00FE2511"/>
    <w:rsid w:val="00FE268A"/>
    <w:rsid w:val="00FE26AA"/>
    <w:rsid w:val="00FE27C5"/>
    <w:rsid w:val="00FE27E0"/>
    <w:rsid w:val="00FE293B"/>
    <w:rsid w:val="00FE2BC2"/>
    <w:rsid w:val="00FE2CE7"/>
    <w:rsid w:val="00FE3757"/>
    <w:rsid w:val="00FE3910"/>
    <w:rsid w:val="00FE3D68"/>
    <w:rsid w:val="00FE4BEE"/>
    <w:rsid w:val="00FE4F45"/>
    <w:rsid w:val="00FE5515"/>
    <w:rsid w:val="00FE6481"/>
    <w:rsid w:val="00FE6E2A"/>
    <w:rsid w:val="00FF0232"/>
    <w:rsid w:val="00FF0266"/>
    <w:rsid w:val="00FF0565"/>
    <w:rsid w:val="00FF05B0"/>
    <w:rsid w:val="00FF0C9C"/>
    <w:rsid w:val="00FF0CC1"/>
    <w:rsid w:val="00FF0F60"/>
    <w:rsid w:val="00FF120F"/>
    <w:rsid w:val="00FF129B"/>
    <w:rsid w:val="00FF131A"/>
    <w:rsid w:val="00FF1610"/>
    <w:rsid w:val="00FF2F6E"/>
    <w:rsid w:val="00FF37C5"/>
    <w:rsid w:val="00FF3D8C"/>
    <w:rsid w:val="00FF40A1"/>
    <w:rsid w:val="00FF42AD"/>
    <w:rsid w:val="00FF4AD0"/>
    <w:rsid w:val="00FF53FD"/>
    <w:rsid w:val="00FF541E"/>
    <w:rsid w:val="00FF5759"/>
    <w:rsid w:val="00FF59D7"/>
    <w:rsid w:val="00FF5B47"/>
    <w:rsid w:val="00FF5D8D"/>
    <w:rsid w:val="00FF62D5"/>
    <w:rsid w:val="00FF67B5"/>
    <w:rsid w:val="00FF6C51"/>
    <w:rsid w:val="00FF794F"/>
    <w:rsid w:val="00FF7DCD"/>
    <w:rsid w:val="014C49B3"/>
    <w:rsid w:val="015A6E61"/>
    <w:rsid w:val="016D0BA6"/>
    <w:rsid w:val="02045BC9"/>
    <w:rsid w:val="022B8307"/>
    <w:rsid w:val="02651305"/>
    <w:rsid w:val="02C50418"/>
    <w:rsid w:val="036492DB"/>
    <w:rsid w:val="04506521"/>
    <w:rsid w:val="04741FEA"/>
    <w:rsid w:val="048AFEA4"/>
    <w:rsid w:val="048B972B"/>
    <w:rsid w:val="04E98456"/>
    <w:rsid w:val="051CD830"/>
    <w:rsid w:val="05CB13D1"/>
    <w:rsid w:val="05F81B24"/>
    <w:rsid w:val="0609FF25"/>
    <w:rsid w:val="06DE2382"/>
    <w:rsid w:val="0A410E65"/>
    <w:rsid w:val="0A602B7C"/>
    <w:rsid w:val="0A71BA43"/>
    <w:rsid w:val="0A803075"/>
    <w:rsid w:val="0AA0D3C0"/>
    <w:rsid w:val="0ABE8DE0"/>
    <w:rsid w:val="0B7EEECA"/>
    <w:rsid w:val="0B956D53"/>
    <w:rsid w:val="0B99C732"/>
    <w:rsid w:val="0BBFDAC3"/>
    <w:rsid w:val="0BDEF76D"/>
    <w:rsid w:val="0BF4AC79"/>
    <w:rsid w:val="0C3E1067"/>
    <w:rsid w:val="0C44D6EE"/>
    <w:rsid w:val="0C87270C"/>
    <w:rsid w:val="0D610C72"/>
    <w:rsid w:val="0D670B62"/>
    <w:rsid w:val="0DA7600A"/>
    <w:rsid w:val="0DD5DDB5"/>
    <w:rsid w:val="0DE55872"/>
    <w:rsid w:val="0E9158AC"/>
    <w:rsid w:val="0EF3E479"/>
    <w:rsid w:val="0F1D3FAA"/>
    <w:rsid w:val="0F1E6615"/>
    <w:rsid w:val="0F4E53AA"/>
    <w:rsid w:val="0FC5B8E7"/>
    <w:rsid w:val="101A85CD"/>
    <w:rsid w:val="10ADC357"/>
    <w:rsid w:val="10B21D68"/>
    <w:rsid w:val="110DB73D"/>
    <w:rsid w:val="120EADBE"/>
    <w:rsid w:val="121D87BD"/>
    <w:rsid w:val="1241866A"/>
    <w:rsid w:val="12843BC3"/>
    <w:rsid w:val="12A721AB"/>
    <w:rsid w:val="130D4EA1"/>
    <w:rsid w:val="13529B26"/>
    <w:rsid w:val="138D1BB0"/>
    <w:rsid w:val="13F00C86"/>
    <w:rsid w:val="13F2C244"/>
    <w:rsid w:val="144ABBA8"/>
    <w:rsid w:val="149703B7"/>
    <w:rsid w:val="14C77BFB"/>
    <w:rsid w:val="1507A5ED"/>
    <w:rsid w:val="1510E22B"/>
    <w:rsid w:val="1521EDB4"/>
    <w:rsid w:val="15B74030"/>
    <w:rsid w:val="15BB77DE"/>
    <w:rsid w:val="1618BCF1"/>
    <w:rsid w:val="16440C67"/>
    <w:rsid w:val="16CF1631"/>
    <w:rsid w:val="16E52576"/>
    <w:rsid w:val="17362154"/>
    <w:rsid w:val="17749607"/>
    <w:rsid w:val="17BA769A"/>
    <w:rsid w:val="181E560D"/>
    <w:rsid w:val="182E828D"/>
    <w:rsid w:val="182EEB51"/>
    <w:rsid w:val="18341A9A"/>
    <w:rsid w:val="1897A86D"/>
    <w:rsid w:val="18E33870"/>
    <w:rsid w:val="190C0B05"/>
    <w:rsid w:val="1941DE03"/>
    <w:rsid w:val="196CB19B"/>
    <w:rsid w:val="19FDCFAC"/>
    <w:rsid w:val="19FE22A1"/>
    <w:rsid w:val="1A1D49E3"/>
    <w:rsid w:val="1A235B35"/>
    <w:rsid w:val="1B056784"/>
    <w:rsid w:val="1B47F856"/>
    <w:rsid w:val="1B7EE276"/>
    <w:rsid w:val="1B9D066E"/>
    <w:rsid w:val="1BADA803"/>
    <w:rsid w:val="1BB0D53F"/>
    <w:rsid w:val="1C40A12E"/>
    <w:rsid w:val="1C747382"/>
    <w:rsid w:val="1C8C225E"/>
    <w:rsid w:val="1C90E615"/>
    <w:rsid w:val="1CB0FE26"/>
    <w:rsid w:val="1D26714C"/>
    <w:rsid w:val="1EA025DC"/>
    <w:rsid w:val="1EA81299"/>
    <w:rsid w:val="1EAB9E6E"/>
    <w:rsid w:val="1FBA04F9"/>
    <w:rsid w:val="2012266F"/>
    <w:rsid w:val="201BE748"/>
    <w:rsid w:val="203C9BBD"/>
    <w:rsid w:val="20481515"/>
    <w:rsid w:val="20B0696A"/>
    <w:rsid w:val="20F3B938"/>
    <w:rsid w:val="2154C95E"/>
    <w:rsid w:val="2241E307"/>
    <w:rsid w:val="22785B0F"/>
    <w:rsid w:val="227EFC09"/>
    <w:rsid w:val="22FA8D42"/>
    <w:rsid w:val="23097778"/>
    <w:rsid w:val="23E34D8F"/>
    <w:rsid w:val="24441E4A"/>
    <w:rsid w:val="245E127D"/>
    <w:rsid w:val="2517D56A"/>
    <w:rsid w:val="251FBEFD"/>
    <w:rsid w:val="252275F1"/>
    <w:rsid w:val="25265610"/>
    <w:rsid w:val="265A3B95"/>
    <w:rsid w:val="265FB0FB"/>
    <w:rsid w:val="27EFB77B"/>
    <w:rsid w:val="284906E6"/>
    <w:rsid w:val="28607EFB"/>
    <w:rsid w:val="28A18151"/>
    <w:rsid w:val="28C3B22B"/>
    <w:rsid w:val="28CB9B49"/>
    <w:rsid w:val="29498996"/>
    <w:rsid w:val="298B2078"/>
    <w:rsid w:val="299F755D"/>
    <w:rsid w:val="29A04943"/>
    <w:rsid w:val="29A0C747"/>
    <w:rsid w:val="29F53F23"/>
    <w:rsid w:val="2A304421"/>
    <w:rsid w:val="2A74A655"/>
    <w:rsid w:val="2A88547C"/>
    <w:rsid w:val="2A8C7318"/>
    <w:rsid w:val="2ACC34C1"/>
    <w:rsid w:val="2B1E3D02"/>
    <w:rsid w:val="2C1CC235"/>
    <w:rsid w:val="2C2FA6CE"/>
    <w:rsid w:val="2C9E66BF"/>
    <w:rsid w:val="2C9F558C"/>
    <w:rsid w:val="2CC35FCC"/>
    <w:rsid w:val="2D553A35"/>
    <w:rsid w:val="2D7F9811"/>
    <w:rsid w:val="2DD664A3"/>
    <w:rsid w:val="2E09C557"/>
    <w:rsid w:val="2E5A6E4E"/>
    <w:rsid w:val="2F192615"/>
    <w:rsid w:val="2F7C61D0"/>
    <w:rsid w:val="2F8D1D5C"/>
    <w:rsid w:val="2F9311A9"/>
    <w:rsid w:val="2F9DB2FC"/>
    <w:rsid w:val="2FB11171"/>
    <w:rsid w:val="30313A0E"/>
    <w:rsid w:val="30F6B485"/>
    <w:rsid w:val="314A31F6"/>
    <w:rsid w:val="322A9A7D"/>
    <w:rsid w:val="32498E3E"/>
    <w:rsid w:val="32A05EE7"/>
    <w:rsid w:val="32C8ECBE"/>
    <w:rsid w:val="3371F8A9"/>
    <w:rsid w:val="33AD3CE5"/>
    <w:rsid w:val="33DB2276"/>
    <w:rsid w:val="3446E924"/>
    <w:rsid w:val="344AF76B"/>
    <w:rsid w:val="352B8072"/>
    <w:rsid w:val="35A5AE74"/>
    <w:rsid w:val="35C2762A"/>
    <w:rsid w:val="35DD5027"/>
    <w:rsid w:val="35E6EF0A"/>
    <w:rsid w:val="362324E7"/>
    <w:rsid w:val="3632F7C7"/>
    <w:rsid w:val="365BD7D8"/>
    <w:rsid w:val="366BE45E"/>
    <w:rsid w:val="36B4365E"/>
    <w:rsid w:val="370CD605"/>
    <w:rsid w:val="3761A3DE"/>
    <w:rsid w:val="37978F8F"/>
    <w:rsid w:val="37B01E16"/>
    <w:rsid w:val="37DD5901"/>
    <w:rsid w:val="37FA77B6"/>
    <w:rsid w:val="3896729D"/>
    <w:rsid w:val="38B61B7D"/>
    <w:rsid w:val="38DA4465"/>
    <w:rsid w:val="398DB8B3"/>
    <w:rsid w:val="39C2845B"/>
    <w:rsid w:val="39E3D517"/>
    <w:rsid w:val="39F32760"/>
    <w:rsid w:val="3AB865D4"/>
    <w:rsid w:val="3B0A9011"/>
    <w:rsid w:val="3BB3797A"/>
    <w:rsid w:val="3BCDAEB8"/>
    <w:rsid w:val="3C712B4E"/>
    <w:rsid w:val="3CBFD023"/>
    <w:rsid w:val="3D12CDD3"/>
    <w:rsid w:val="3D7C91BC"/>
    <w:rsid w:val="3DB8508A"/>
    <w:rsid w:val="3DC14F5F"/>
    <w:rsid w:val="3E0A23F8"/>
    <w:rsid w:val="3E2E3A3E"/>
    <w:rsid w:val="3E91BAD0"/>
    <w:rsid w:val="3ED33F77"/>
    <w:rsid w:val="3ED9F375"/>
    <w:rsid w:val="3EDAEC97"/>
    <w:rsid w:val="3F6604AC"/>
    <w:rsid w:val="3FA64DCC"/>
    <w:rsid w:val="402F8BF4"/>
    <w:rsid w:val="403C92BC"/>
    <w:rsid w:val="40674A96"/>
    <w:rsid w:val="40F1C090"/>
    <w:rsid w:val="41014B27"/>
    <w:rsid w:val="41319466"/>
    <w:rsid w:val="416CF2D4"/>
    <w:rsid w:val="4192E668"/>
    <w:rsid w:val="419FEC40"/>
    <w:rsid w:val="41B46D06"/>
    <w:rsid w:val="41BEFEAC"/>
    <w:rsid w:val="41CA2096"/>
    <w:rsid w:val="41D4B302"/>
    <w:rsid w:val="435777AC"/>
    <w:rsid w:val="43849D67"/>
    <w:rsid w:val="4459D735"/>
    <w:rsid w:val="447A0921"/>
    <w:rsid w:val="449BFD82"/>
    <w:rsid w:val="4526326B"/>
    <w:rsid w:val="452F06DB"/>
    <w:rsid w:val="454BCF60"/>
    <w:rsid w:val="45BC15D9"/>
    <w:rsid w:val="45C6FC35"/>
    <w:rsid w:val="45D42274"/>
    <w:rsid w:val="45D88EBD"/>
    <w:rsid w:val="461C12D8"/>
    <w:rsid w:val="46AE99BF"/>
    <w:rsid w:val="46BBBBE1"/>
    <w:rsid w:val="4702DDDF"/>
    <w:rsid w:val="476A7AEF"/>
    <w:rsid w:val="47A8823B"/>
    <w:rsid w:val="47FEDAE3"/>
    <w:rsid w:val="48198018"/>
    <w:rsid w:val="4A7672C8"/>
    <w:rsid w:val="4AC7C28B"/>
    <w:rsid w:val="4B408EB5"/>
    <w:rsid w:val="4B5C712D"/>
    <w:rsid w:val="4C0EB470"/>
    <w:rsid w:val="4C55E807"/>
    <w:rsid w:val="4C7ABD97"/>
    <w:rsid w:val="4D752F30"/>
    <w:rsid w:val="4D959096"/>
    <w:rsid w:val="4DA7647A"/>
    <w:rsid w:val="4DB3D601"/>
    <w:rsid w:val="4E762F29"/>
    <w:rsid w:val="4E78A792"/>
    <w:rsid w:val="4EC6BF3B"/>
    <w:rsid w:val="4F2746FF"/>
    <w:rsid w:val="4F3902C7"/>
    <w:rsid w:val="4FCDA391"/>
    <w:rsid w:val="4FCE08AD"/>
    <w:rsid w:val="505F1DF9"/>
    <w:rsid w:val="50D66B0E"/>
    <w:rsid w:val="50EE136F"/>
    <w:rsid w:val="51409A5C"/>
    <w:rsid w:val="51410D8E"/>
    <w:rsid w:val="5182086E"/>
    <w:rsid w:val="51E0B885"/>
    <w:rsid w:val="52444A35"/>
    <w:rsid w:val="5259E5C2"/>
    <w:rsid w:val="52C330F1"/>
    <w:rsid w:val="52E45FDE"/>
    <w:rsid w:val="531E5724"/>
    <w:rsid w:val="53352C39"/>
    <w:rsid w:val="534BB1AD"/>
    <w:rsid w:val="5363CF60"/>
    <w:rsid w:val="5366A29E"/>
    <w:rsid w:val="53A277F3"/>
    <w:rsid w:val="542B7EE2"/>
    <w:rsid w:val="5430E490"/>
    <w:rsid w:val="54766BB6"/>
    <w:rsid w:val="54958CE7"/>
    <w:rsid w:val="55006687"/>
    <w:rsid w:val="55048CFE"/>
    <w:rsid w:val="551246F1"/>
    <w:rsid w:val="55CE0639"/>
    <w:rsid w:val="55D88C78"/>
    <w:rsid w:val="5668B0C8"/>
    <w:rsid w:val="566A209F"/>
    <w:rsid w:val="56A32361"/>
    <w:rsid w:val="56A3A4AE"/>
    <w:rsid w:val="5759FAF4"/>
    <w:rsid w:val="5784485C"/>
    <w:rsid w:val="57A5373C"/>
    <w:rsid w:val="5818DDA9"/>
    <w:rsid w:val="5837840B"/>
    <w:rsid w:val="587CCDEF"/>
    <w:rsid w:val="59289AFE"/>
    <w:rsid w:val="5996FEF5"/>
    <w:rsid w:val="5A59E39A"/>
    <w:rsid w:val="5A5D5FE6"/>
    <w:rsid w:val="5B45C32C"/>
    <w:rsid w:val="5BBAA7DD"/>
    <w:rsid w:val="5C05F538"/>
    <w:rsid w:val="5D3A1856"/>
    <w:rsid w:val="5E0984CF"/>
    <w:rsid w:val="5E158B0A"/>
    <w:rsid w:val="5E7D3837"/>
    <w:rsid w:val="5E8AF1D1"/>
    <w:rsid w:val="5EC8368B"/>
    <w:rsid w:val="5F04645D"/>
    <w:rsid w:val="5F04FE84"/>
    <w:rsid w:val="5F08CF38"/>
    <w:rsid w:val="5F098A6B"/>
    <w:rsid w:val="5F09F497"/>
    <w:rsid w:val="5F7C0BBC"/>
    <w:rsid w:val="5FA0C2A4"/>
    <w:rsid w:val="5FBF3850"/>
    <w:rsid w:val="5FDF4A9E"/>
    <w:rsid w:val="5FE0CBFD"/>
    <w:rsid w:val="6052139F"/>
    <w:rsid w:val="6058206A"/>
    <w:rsid w:val="6122BA0D"/>
    <w:rsid w:val="61466D36"/>
    <w:rsid w:val="615A05ED"/>
    <w:rsid w:val="617B65BD"/>
    <w:rsid w:val="61B24229"/>
    <w:rsid w:val="622DE514"/>
    <w:rsid w:val="624714E2"/>
    <w:rsid w:val="62E4A21C"/>
    <w:rsid w:val="62F6C3E2"/>
    <w:rsid w:val="6335C589"/>
    <w:rsid w:val="6374A7DB"/>
    <w:rsid w:val="642658B8"/>
    <w:rsid w:val="643A62C9"/>
    <w:rsid w:val="64B6643C"/>
    <w:rsid w:val="65292D8E"/>
    <w:rsid w:val="65EAD03D"/>
    <w:rsid w:val="6620EF88"/>
    <w:rsid w:val="66A54328"/>
    <w:rsid w:val="6713A9D3"/>
    <w:rsid w:val="672B80D5"/>
    <w:rsid w:val="67701C60"/>
    <w:rsid w:val="679CB92E"/>
    <w:rsid w:val="67BC07AE"/>
    <w:rsid w:val="67BFC4CA"/>
    <w:rsid w:val="67BFD413"/>
    <w:rsid w:val="67CF4B9B"/>
    <w:rsid w:val="69618E29"/>
    <w:rsid w:val="6962F824"/>
    <w:rsid w:val="696B47F3"/>
    <w:rsid w:val="6A06876D"/>
    <w:rsid w:val="6A194750"/>
    <w:rsid w:val="6A8FFAAE"/>
    <w:rsid w:val="6AABDBE5"/>
    <w:rsid w:val="6AC6A757"/>
    <w:rsid w:val="6AD11FBE"/>
    <w:rsid w:val="6B084744"/>
    <w:rsid w:val="6B5FF3BC"/>
    <w:rsid w:val="6BEAF440"/>
    <w:rsid w:val="6BF47406"/>
    <w:rsid w:val="6C59F815"/>
    <w:rsid w:val="6C5E93D6"/>
    <w:rsid w:val="6CBC9811"/>
    <w:rsid w:val="6D03DB3F"/>
    <w:rsid w:val="6D102F57"/>
    <w:rsid w:val="6D85441F"/>
    <w:rsid w:val="6D90B084"/>
    <w:rsid w:val="6DCFB6A4"/>
    <w:rsid w:val="6DFC972F"/>
    <w:rsid w:val="6F1EF9F0"/>
    <w:rsid w:val="6F53103E"/>
    <w:rsid w:val="6FDA2FDB"/>
    <w:rsid w:val="706BF557"/>
    <w:rsid w:val="708A882C"/>
    <w:rsid w:val="7090DB01"/>
    <w:rsid w:val="70924D79"/>
    <w:rsid w:val="709595C6"/>
    <w:rsid w:val="70978C48"/>
    <w:rsid w:val="711DA045"/>
    <w:rsid w:val="717E1A18"/>
    <w:rsid w:val="720CCE43"/>
    <w:rsid w:val="7232A8E4"/>
    <w:rsid w:val="725EDA02"/>
    <w:rsid w:val="726FE561"/>
    <w:rsid w:val="727FD87C"/>
    <w:rsid w:val="7349BE44"/>
    <w:rsid w:val="73EFD374"/>
    <w:rsid w:val="73F37967"/>
    <w:rsid w:val="74426ECD"/>
    <w:rsid w:val="7446A3CC"/>
    <w:rsid w:val="74629F83"/>
    <w:rsid w:val="746937EA"/>
    <w:rsid w:val="7493B71A"/>
    <w:rsid w:val="74BDCDD4"/>
    <w:rsid w:val="74BE3952"/>
    <w:rsid w:val="74C35822"/>
    <w:rsid w:val="74DB7090"/>
    <w:rsid w:val="7507326F"/>
    <w:rsid w:val="754DAF60"/>
    <w:rsid w:val="76101A3A"/>
    <w:rsid w:val="769909F7"/>
    <w:rsid w:val="76C6A1E9"/>
    <w:rsid w:val="76D3A9B5"/>
    <w:rsid w:val="7727F7EC"/>
    <w:rsid w:val="7772DA44"/>
    <w:rsid w:val="77893BA1"/>
    <w:rsid w:val="7790FA7E"/>
    <w:rsid w:val="788E0F06"/>
    <w:rsid w:val="78C14125"/>
    <w:rsid w:val="792AE464"/>
    <w:rsid w:val="79FF059A"/>
    <w:rsid w:val="7A192F3F"/>
    <w:rsid w:val="7A485C2D"/>
    <w:rsid w:val="7A48F147"/>
    <w:rsid w:val="7A582D65"/>
    <w:rsid w:val="7A6A8BCE"/>
    <w:rsid w:val="7A7B1287"/>
    <w:rsid w:val="7AC08DE7"/>
    <w:rsid w:val="7AE5A64F"/>
    <w:rsid w:val="7AF6BED9"/>
    <w:rsid w:val="7B4C248C"/>
    <w:rsid w:val="7B5558EC"/>
    <w:rsid w:val="7B586993"/>
    <w:rsid w:val="7B989669"/>
    <w:rsid w:val="7BA33885"/>
    <w:rsid w:val="7BAFAECE"/>
    <w:rsid w:val="7C0C0647"/>
    <w:rsid w:val="7C54EBF0"/>
    <w:rsid w:val="7CE56BB2"/>
    <w:rsid w:val="7D087934"/>
    <w:rsid w:val="7D5BA128"/>
    <w:rsid w:val="7D67BE81"/>
    <w:rsid w:val="7E2C4AF2"/>
    <w:rsid w:val="7ECA7351"/>
    <w:rsid w:val="7F1689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2174103"/>
  <w15:docId w15:val="{13794250-B818-4C2E-88DB-46C5BFE88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iPriority="9"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lsdException w:name="heading 8" w:locked="1" w:semiHidden="1" w:unhideWhenUsed="1"/>
    <w:lsdException w:name="heading 9" w:locked="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lsdException w:name="FollowedHyperlink" w:semiHidden="1" w:uiPriority="99" w:unhideWhenUsed="1"/>
    <w:lsdException w:name="Strong" w:uiPriority="22" w:qFormat="1"/>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77CB"/>
    <w:rPr>
      <w:rFonts w:eastAsia="Times New Roman"/>
      <w:sz w:val="24"/>
      <w:szCs w:val="24"/>
      <w:lang w:val="en-NO" w:eastAsia="en-GB"/>
    </w:rPr>
  </w:style>
  <w:style w:type="paragraph" w:styleId="Heading1">
    <w:name w:val="heading 1"/>
    <w:basedOn w:val="Normal"/>
    <w:next w:val="Normal"/>
    <w:link w:val="Heading1Char"/>
    <w:qFormat/>
    <w:rsid w:val="006627E2"/>
    <w:pPr>
      <w:keepNext/>
      <w:pageBreakBefore/>
      <w:numPr>
        <w:numId w:val="2"/>
      </w:numPr>
      <w:adjustRightInd w:val="0"/>
      <w:snapToGrid w:val="0"/>
      <w:spacing w:before="480"/>
      <w:ind w:left="720" w:hanging="720"/>
      <w:textAlignment w:val="baseline"/>
      <w:outlineLvl w:val="0"/>
    </w:pPr>
    <w:rPr>
      <w:rFonts w:ascii="Times New Roman Bold" w:eastAsia="MS Gothic" w:hAnsi="Times New Roman Bold"/>
      <w:b/>
      <w:sz w:val="28"/>
      <w:lang w:eastAsia="ja-JP"/>
    </w:rPr>
  </w:style>
  <w:style w:type="paragraph" w:styleId="Heading2">
    <w:name w:val="heading 2"/>
    <w:basedOn w:val="Normal"/>
    <w:next w:val="Normal"/>
    <w:link w:val="Heading2Char"/>
    <w:qFormat/>
    <w:rsid w:val="00B80BEB"/>
    <w:pPr>
      <w:keepNext/>
      <w:numPr>
        <w:ilvl w:val="1"/>
        <w:numId w:val="2"/>
      </w:numPr>
      <w:tabs>
        <w:tab w:val="left" w:pos="1080"/>
      </w:tabs>
      <w:adjustRightInd w:val="0"/>
      <w:snapToGrid w:val="0"/>
      <w:spacing w:before="240"/>
      <w:ind w:left="1080"/>
      <w:textAlignment w:val="baseline"/>
      <w:outlineLvl w:val="1"/>
    </w:pPr>
    <w:rPr>
      <w:rFonts w:ascii="Times New Roman Bold" w:eastAsia="MS Gothic" w:hAnsi="Times New Roman Bold"/>
      <w:b/>
      <w:sz w:val="28"/>
      <w:lang w:eastAsia="ja-JP"/>
    </w:rPr>
  </w:style>
  <w:style w:type="paragraph" w:styleId="Heading3">
    <w:name w:val="heading 3"/>
    <w:basedOn w:val="Heading2"/>
    <w:next w:val="Normal"/>
    <w:link w:val="Heading3Char"/>
    <w:uiPriority w:val="9"/>
    <w:qFormat/>
    <w:rsid w:val="00A74861"/>
    <w:pPr>
      <w:numPr>
        <w:ilvl w:val="2"/>
      </w:numPr>
      <w:outlineLvl w:val="2"/>
    </w:pPr>
    <w:rPr>
      <w:sz w:val="24"/>
    </w:rPr>
  </w:style>
  <w:style w:type="paragraph" w:styleId="Heading4">
    <w:name w:val="heading 4"/>
    <w:basedOn w:val="Heading2"/>
    <w:next w:val="Normal"/>
    <w:link w:val="Heading4Char"/>
    <w:qFormat/>
    <w:rsid w:val="00B80BEB"/>
    <w:pPr>
      <w:numPr>
        <w:ilvl w:val="3"/>
      </w:numPr>
      <w:outlineLvl w:val="3"/>
    </w:pPr>
    <w:rPr>
      <w:sz w:val="24"/>
    </w:rPr>
  </w:style>
  <w:style w:type="paragraph" w:styleId="Heading5">
    <w:name w:val="heading 5"/>
    <w:basedOn w:val="Normal"/>
    <w:next w:val="Normal"/>
    <w:link w:val="Heading5Char"/>
    <w:qFormat/>
    <w:rsid w:val="00944580"/>
    <w:pPr>
      <w:keepNext/>
      <w:keepLines/>
      <w:numPr>
        <w:ilvl w:val="4"/>
        <w:numId w:val="2"/>
      </w:numPr>
      <w:adjustRightInd w:val="0"/>
      <w:snapToGrid w:val="0"/>
      <w:spacing w:before="216" w:line="219" w:lineRule="exact"/>
      <w:textAlignment w:val="baseline"/>
      <w:outlineLvl w:val="4"/>
    </w:pPr>
    <w:rPr>
      <w:rFonts w:eastAsia="MS Gothic"/>
      <w:b/>
      <w:i/>
      <w:lang w:eastAsia="ja-JP"/>
    </w:rPr>
  </w:style>
  <w:style w:type="paragraph" w:styleId="Heading6">
    <w:name w:val="heading 6"/>
    <w:basedOn w:val="Normal"/>
    <w:next w:val="Normal"/>
    <w:link w:val="Heading6Char"/>
    <w:qFormat/>
    <w:rsid w:val="00B43B70"/>
    <w:pPr>
      <w:keepNext/>
      <w:keepLines/>
      <w:numPr>
        <w:ilvl w:val="5"/>
        <w:numId w:val="2"/>
      </w:numPr>
      <w:adjustRightInd w:val="0"/>
      <w:snapToGrid w:val="0"/>
      <w:spacing w:before="216" w:line="219" w:lineRule="exact"/>
      <w:textAlignment w:val="baseline"/>
      <w:outlineLvl w:val="5"/>
    </w:pPr>
    <w:rPr>
      <w:rFonts w:ascii="Arial" w:eastAsia="MS Gothic" w:hAnsi="Arial"/>
      <w:b/>
      <w:lang w:eastAsia="ja-JP"/>
    </w:rPr>
  </w:style>
  <w:style w:type="paragraph" w:styleId="Heading7">
    <w:name w:val="heading 7"/>
    <w:aliases w:val="Appendix Heading"/>
    <w:basedOn w:val="Normal"/>
    <w:next w:val="Normal"/>
    <w:link w:val="Heading7Char"/>
    <w:rsid w:val="001F2BF3"/>
    <w:pPr>
      <w:numPr>
        <w:ilvl w:val="6"/>
        <w:numId w:val="1"/>
      </w:numPr>
      <w:adjustRightInd w:val="0"/>
      <w:snapToGrid w:val="0"/>
      <w:spacing w:before="216" w:line="219" w:lineRule="exact"/>
      <w:textAlignment w:val="baseline"/>
      <w:outlineLvl w:val="6"/>
    </w:pPr>
    <w:rPr>
      <w:rFonts w:ascii="Arial" w:eastAsia="MS Gothic" w:hAnsi="Arial"/>
      <w:b/>
      <w:i/>
      <w:lang w:eastAsia="ja-JP"/>
    </w:rPr>
  </w:style>
  <w:style w:type="paragraph" w:styleId="Heading8">
    <w:name w:val="heading 8"/>
    <w:basedOn w:val="Normal"/>
    <w:next w:val="Normal"/>
    <w:link w:val="Heading8Char"/>
    <w:rsid w:val="001F2BF3"/>
    <w:pPr>
      <w:numPr>
        <w:ilvl w:val="7"/>
        <w:numId w:val="1"/>
      </w:numPr>
      <w:adjustRightInd w:val="0"/>
      <w:snapToGrid w:val="0"/>
      <w:spacing w:before="216" w:line="240" w:lineRule="exact"/>
      <w:textAlignment w:val="baseline"/>
      <w:outlineLvl w:val="7"/>
    </w:pPr>
    <w:rPr>
      <w:rFonts w:ascii="Arial" w:eastAsia="MS Gothic" w:hAnsi="Arial"/>
      <w:b/>
      <w:sz w:val="21"/>
      <w:lang w:eastAsia="ja-JP"/>
    </w:rPr>
  </w:style>
  <w:style w:type="paragraph" w:styleId="Heading9">
    <w:name w:val="heading 9"/>
    <w:basedOn w:val="Normal"/>
    <w:next w:val="Normal"/>
    <w:link w:val="Heading9Char"/>
    <w:rsid w:val="00EE02CF"/>
    <w:pPr>
      <w:numPr>
        <w:ilvl w:val="8"/>
        <w:numId w:val="1"/>
      </w:numPr>
      <w:adjustRightInd w:val="0"/>
      <w:snapToGrid w:val="0"/>
      <w:spacing w:before="216" w:line="219" w:lineRule="exact"/>
      <w:textAlignment w:val="baseline"/>
      <w:outlineLvl w:val="8"/>
    </w:pPr>
    <w:rPr>
      <w:rFonts w:ascii="Arial" w:eastAsia="MS Gothic" w:hAnsi="Arial"/>
      <w:b/>
      <w:i/>
      <w:sz w:val="21"/>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link w:val="Heading1"/>
    <w:rsid w:val="006627E2"/>
    <w:rPr>
      <w:rFonts w:ascii="Times New Roman Bold" w:eastAsia="MS Gothic" w:hAnsi="Times New Roman Bold" w:cs="Cordia New"/>
      <w:b/>
      <w:sz w:val="28"/>
      <w:szCs w:val="22"/>
      <w:lang w:eastAsia="ja-JP"/>
    </w:rPr>
  </w:style>
  <w:style w:type="character" w:customStyle="1" w:styleId="Heading2Char">
    <w:name w:val="Heading 2 Char"/>
    <w:link w:val="Heading2"/>
    <w:rsid w:val="00B80BEB"/>
    <w:rPr>
      <w:rFonts w:ascii="Times New Roman Bold" w:eastAsia="MS Gothic" w:hAnsi="Times New Roman Bold" w:cs="Cordia New"/>
      <w:b/>
      <w:sz w:val="28"/>
      <w:szCs w:val="22"/>
      <w:lang w:eastAsia="ja-JP"/>
    </w:rPr>
  </w:style>
  <w:style w:type="character" w:customStyle="1" w:styleId="Heading3Char">
    <w:name w:val="Heading 3 Char"/>
    <w:link w:val="Heading3"/>
    <w:uiPriority w:val="9"/>
    <w:rsid w:val="00A74861"/>
    <w:rPr>
      <w:rFonts w:ascii="Times New Roman Bold" w:eastAsia="MS Gothic" w:hAnsi="Times New Roman Bold" w:cs="Cordia New"/>
      <w:b/>
      <w:sz w:val="24"/>
      <w:szCs w:val="22"/>
      <w:lang w:eastAsia="ja-JP"/>
    </w:rPr>
  </w:style>
  <w:style w:type="character" w:customStyle="1" w:styleId="Heading4Char">
    <w:name w:val="Heading 4 Char"/>
    <w:link w:val="Heading4"/>
    <w:rsid w:val="00B80BEB"/>
    <w:rPr>
      <w:rFonts w:ascii="Times New Roman Bold" w:eastAsia="MS Gothic" w:hAnsi="Times New Roman Bold" w:cs="Cordia New"/>
      <w:b/>
      <w:sz w:val="24"/>
      <w:szCs w:val="22"/>
      <w:lang w:eastAsia="ja-JP"/>
    </w:rPr>
  </w:style>
  <w:style w:type="character" w:customStyle="1" w:styleId="Heading5Char">
    <w:name w:val="Heading 5 Char"/>
    <w:link w:val="Heading5"/>
    <w:rsid w:val="00944580"/>
    <w:rPr>
      <w:rFonts w:eastAsia="MS Gothic"/>
      <w:b/>
      <w:i/>
      <w:sz w:val="24"/>
      <w:szCs w:val="24"/>
      <w:lang w:eastAsia="ja-JP"/>
    </w:rPr>
  </w:style>
  <w:style w:type="character" w:customStyle="1" w:styleId="Heading6Char">
    <w:name w:val="Heading 6 Char"/>
    <w:link w:val="Heading6"/>
    <w:rsid w:val="00B43B70"/>
    <w:rPr>
      <w:rFonts w:ascii="Arial" w:eastAsia="MS Gothic" w:hAnsi="Arial" w:cs="Cordia New"/>
      <w:b/>
      <w:sz w:val="24"/>
      <w:szCs w:val="22"/>
      <w:lang w:eastAsia="ja-JP"/>
    </w:rPr>
  </w:style>
  <w:style w:type="character" w:customStyle="1" w:styleId="Heading7Char">
    <w:name w:val="Heading 7 Char"/>
    <w:aliases w:val="Appendix Heading Char"/>
    <w:link w:val="Heading7"/>
    <w:rsid w:val="001F2BF3"/>
    <w:rPr>
      <w:rFonts w:ascii="Arial" w:eastAsia="MS Gothic" w:hAnsi="Arial" w:cs="Cordia New"/>
      <w:b/>
      <w:i/>
      <w:sz w:val="24"/>
      <w:szCs w:val="22"/>
      <w:lang w:eastAsia="ja-JP"/>
    </w:rPr>
  </w:style>
  <w:style w:type="character" w:customStyle="1" w:styleId="Heading8Char">
    <w:name w:val="Heading 8 Char"/>
    <w:link w:val="Heading8"/>
    <w:rsid w:val="001F2BF3"/>
    <w:rPr>
      <w:rFonts w:ascii="Arial" w:eastAsia="MS Gothic" w:hAnsi="Arial" w:cs="Cordia New"/>
      <w:b/>
      <w:sz w:val="21"/>
      <w:szCs w:val="22"/>
      <w:lang w:eastAsia="ja-JP"/>
    </w:rPr>
  </w:style>
  <w:style w:type="character" w:customStyle="1" w:styleId="Heading9Char">
    <w:name w:val="Heading 9 Char"/>
    <w:link w:val="Heading9"/>
    <w:rsid w:val="00EE02CF"/>
    <w:rPr>
      <w:rFonts w:ascii="Arial" w:eastAsia="MS Gothic" w:hAnsi="Arial" w:cs="Cordia New"/>
      <w:b/>
      <w:i/>
      <w:sz w:val="21"/>
      <w:szCs w:val="22"/>
      <w:lang w:eastAsia="ja-JP"/>
    </w:rPr>
  </w:style>
  <w:style w:type="paragraph" w:styleId="TOC1">
    <w:name w:val="toc 1"/>
    <w:basedOn w:val="Normal"/>
    <w:next w:val="Normal"/>
    <w:uiPriority w:val="39"/>
    <w:rsid w:val="00AB3040"/>
    <w:pPr>
      <w:keepLines/>
      <w:tabs>
        <w:tab w:val="right" w:leader="dot" w:pos="9360"/>
      </w:tabs>
      <w:spacing w:line="259" w:lineRule="atLeast"/>
      <w:ind w:left="907" w:right="2160" w:hanging="907"/>
    </w:pPr>
    <w:rPr>
      <w:rFonts w:eastAsia="MS Gothic"/>
      <w:b/>
      <w:noProof/>
      <w:color w:val="0000FF"/>
    </w:rPr>
  </w:style>
  <w:style w:type="paragraph" w:styleId="TOC2">
    <w:name w:val="toc 2"/>
    <w:basedOn w:val="TOC1"/>
    <w:next w:val="Normal"/>
    <w:uiPriority w:val="39"/>
    <w:rsid w:val="00AB3040"/>
    <w:rPr>
      <w:b w:val="0"/>
    </w:rPr>
  </w:style>
  <w:style w:type="paragraph" w:styleId="TOC3">
    <w:name w:val="toc 3"/>
    <w:basedOn w:val="TOC1"/>
    <w:next w:val="Normal"/>
    <w:uiPriority w:val="39"/>
    <w:rsid w:val="005542E0"/>
    <w:pPr>
      <w:ind w:left="900" w:hanging="900"/>
    </w:pPr>
    <w:rPr>
      <w:b w:val="0"/>
    </w:rPr>
  </w:style>
  <w:style w:type="paragraph" w:styleId="TOC4">
    <w:name w:val="toc 4"/>
    <w:basedOn w:val="TOC1"/>
    <w:next w:val="Normal"/>
    <w:uiPriority w:val="39"/>
    <w:rsid w:val="00B20E11"/>
    <w:pPr>
      <w:ind w:left="1656" w:hanging="1123"/>
    </w:pPr>
    <w:rPr>
      <w:b w:val="0"/>
    </w:rPr>
  </w:style>
  <w:style w:type="paragraph" w:styleId="BalloonText">
    <w:name w:val="Balloon Text"/>
    <w:basedOn w:val="Normal"/>
    <w:link w:val="BalloonTextChar"/>
    <w:uiPriority w:val="99"/>
    <w:semiHidden/>
    <w:unhideWhenUsed/>
    <w:rsid w:val="00FD46D1"/>
    <w:rPr>
      <w:rFonts w:ascii="Tahoma" w:hAnsi="Tahoma" w:cs="Tahoma"/>
      <w:sz w:val="16"/>
      <w:szCs w:val="16"/>
    </w:rPr>
  </w:style>
  <w:style w:type="character" w:customStyle="1" w:styleId="BalloonTextChar">
    <w:name w:val="Balloon Text Char"/>
    <w:basedOn w:val="DefaultParagraphFont"/>
    <w:link w:val="BalloonText"/>
    <w:uiPriority w:val="99"/>
    <w:semiHidden/>
    <w:rsid w:val="00FD46D1"/>
    <w:rPr>
      <w:rFonts w:ascii="Tahoma" w:eastAsia="Calibri" w:hAnsi="Tahoma" w:cs="Tahoma"/>
      <w:sz w:val="16"/>
      <w:szCs w:val="16"/>
    </w:rPr>
  </w:style>
  <w:style w:type="table" w:styleId="TableGrid">
    <w:name w:val="Table Grid"/>
    <w:basedOn w:val="TableNormal"/>
    <w:uiPriority w:val="59"/>
    <w:rsid w:val="00D71437"/>
    <w:pPr>
      <w:spacing w:before="14" w:after="144" w:line="300" w:lineRule="atLeast"/>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styleId="PlaceholderText">
    <w:name w:val="Placeholder Text"/>
    <w:uiPriority w:val="99"/>
    <w:rsid w:val="00D71437"/>
    <w:rPr>
      <w:color w:val="808080"/>
    </w:rPr>
  </w:style>
  <w:style w:type="paragraph" w:styleId="ListParagraph">
    <w:name w:val="List Paragraph"/>
    <w:basedOn w:val="Normal"/>
    <w:link w:val="ListParagraphChar"/>
    <w:uiPriority w:val="34"/>
    <w:qFormat/>
    <w:rsid w:val="002C4DB0"/>
    <w:pPr>
      <w:spacing w:before="14" w:after="144" w:line="300" w:lineRule="atLeast"/>
      <w:contextualSpacing/>
    </w:pPr>
  </w:style>
  <w:style w:type="paragraph" w:customStyle="1" w:styleId="TblFootnote">
    <w:name w:val="Tbl Footnote"/>
    <w:basedOn w:val="Normal"/>
    <w:next w:val="Normal"/>
    <w:link w:val="TblFootnoteChar"/>
    <w:rsid w:val="009F6633"/>
    <w:pPr>
      <w:keepNext/>
      <w:keepLines/>
      <w:tabs>
        <w:tab w:val="left" w:pos="259"/>
      </w:tabs>
      <w:spacing w:line="259" w:lineRule="atLeast"/>
      <w:ind w:left="259" w:hanging="259"/>
    </w:pPr>
    <w:rPr>
      <w:sz w:val="20"/>
    </w:rPr>
  </w:style>
  <w:style w:type="paragraph" w:styleId="Revision">
    <w:name w:val="Revision"/>
    <w:hidden/>
    <w:uiPriority w:val="99"/>
    <w:semiHidden/>
    <w:rsid w:val="00625B33"/>
    <w:rPr>
      <w:rFonts w:eastAsia="Times New Roman"/>
      <w:sz w:val="24"/>
      <w:szCs w:val="24"/>
    </w:rPr>
  </w:style>
  <w:style w:type="table" w:styleId="TableList5">
    <w:name w:val="Table List 5"/>
    <w:basedOn w:val="TableNormal"/>
    <w:rsid w:val="00D23FEB"/>
    <w:pPr>
      <w:spacing w:before="14" w:after="144" w:line="30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rPr>
      <w:hidden/>
    </w:trPr>
    <w:tcPr>
      <w:shd w:val="clear" w:color="auto" w:fill="auto"/>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style>
  <w:style w:type="character" w:customStyle="1" w:styleId="TblFootnoteChar">
    <w:name w:val="Tbl Footnote Char"/>
    <w:link w:val="TblFootnote"/>
    <w:locked/>
    <w:rsid w:val="001B7646"/>
    <w:rPr>
      <w:rFonts w:eastAsia="Times New Roman"/>
      <w:szCs w:val="24"/>
    </w:rPr>
  </w:style>
  <w:style w:type="paragraph" w:styleId="TOCHeading">
    <w:name w:val="TOC Heading"/>
    <w:basedOn w:val="Heading1"/>
    <w:next w:val="Normal"/>
    <w:uiPriority w:val="39"/>
    <w:unhideWhenUsed/>
    <w:rsid w:val="00B60923"/>
    <w:pPr>
      <w:keepNext w:val="0"/>
      <w:pageBreakBefore w:val="0"/>
      <w:numPr>
        <w:numId w:val="0"/>
      </w:numPr>
      <w:adjustRightInd/>
      <w:snapToGrid/>
      <w:spacing w:before="0"/>
      <w:jc w:val="center"/>
      <w:textAlignment w:val="auto"/>
      <w:outlineLvl w:val="9"/>
    </w:pPr>
    <w:rPr>
      <w:rFonts w:ascii="Times New Roman" w:eastAsiaTheme="majorEastAsia" w:hAnsi="Times New Roman"/>
      <w:bCs/>
      <w:sz w:val="24"/>
      <w:lang w:eastAsia="en-US"/>
    </w:rPr>
  </w:style>
  <w:style w:type="paragraph" w:customStyle="1" w:styleId="TableText">
    <w:name w:val="Table Text"/>
    <w:link w:val="TableTextChar1"/>
    <w:qFormat/>
    <w:rsid w:val="00AE1B8D"/>
    <w:pPr>
      <w:tabs>
        <w:tab w:val="left" w:pos="288"/>
        <w:tab w:val="left" w:pos="576"/>
        <w:tab w:val="left" w:pos="864"/>
      </w:tabs>
      <w:spacing w:before="60" w:after="60"/>
    </w:pPr>
    <w:rPr>
      <w:rFonts w:eastAsia="Times New Roman"/>
      <w:sz w:val="24"/>
    </w:rPr>
  </w:style>
  <w:style w:type="character" w:customStyle="1" w:styleId="TableTextChar1">
    <w:name w:val="Table Text Char1"/>
    <w:link w:val="TableText"/>
    <w:rsid w:val="00AE1B8D"/>
    <w:rPr>
      <w:rFonts w:eastAsia="Times New Roman"/>
      <w:sz w:val="24"/>
    </w:rPr>
  </w:style>
  <w:style w:type="paragraph" w:customStyle="1" w:styleId="HeadingNoTOC">
    <w:name w:val="Heading (No TOC)"/>
    <w:next w:val="Normal"/>
    <w:uiPriority w:val="99"/>
    <w:qFormat/>
    <w:rsid w:val="001B14BF"/>
    <w:pPr>
      <w:spacing w:before="240"/>
    </w:pPr>
    <w:rPr>
      <w:rFonts w:ascii="Times New Roman Bold" w:eastAsia="Times New Roman" w:hAnsi="Times New Roman Bold" w:cs="Cordia New"/>
      <w:sz w:val="24"/>
      <w:szCs w:val="24"/>
      <w:lang w:eastAsia="ja-JP"/>
    </w:rPr>
  </w:style>
  <w:style w:type="paragraph" w:customStyle="1" w:styleId="TableHeaderText">
    <w:name w:val="Table Header Text"/>
    <w:basedOn w:val="Normal"/>
    <w:rsid w:val="009259D3"/>
    <w:pPr>
      <w:spacing w:before="60" w:after="60"/>
      <w:jc w:val="center"/>
    </w:pPr>
    <w:rPr>
      <w:b/>
      <w:color w:val="000000"/>
      <w:szCs w:val="20"/>
    </w:rPr>
  </w:style>
  <w:style w:type="paragraph" w:customStyle="1" w:styleId="CPTInstructional">
    <w:name w:val="CPT_Instructional"/>
    <w:basedOn w:val="Normal"/>
    <w:link w:val="CPTInstructionalChar"/>
    <w:qFormat/>
    <w:rsid w:val="00A34E22"/>
    <w:rPr>
      <w:rFonts w:cs="Arial"/>
      <w:vanish/>
      <w:color w:val="FF0000"/>
      <w:sz w:val="22"/>
      <w:szCs w:val="20"/>
    </w:rPr>
  </w:style>
  <w:style w:type="paragraph" w:styleId="Title">
    <w:name w:val="Title"/>
    <w:basedOn w:val="Normal"/>
    <w:next w:val="Normal"/>
    <w:link w:val="TitleChar"/>
    <w:qFormat/>
    <w:rsid w:val="007A7A30"/>
    <w:pPr>
      <w:spacing w:line="360" w:lineRule="auto"/>
      <w:contextualSpacing/>
      <w:jc w:val="center"/>
    </w:pPr>
    <w:rPr>
      <w:rFonts w:ascii="Times New Roman Bold" w:eastAsiaTheme="majorEastAsia" w:hAnsi="Times New Roman Bold" w:cstheme="majorBidi"/>
      <w:b/>
      <w:spacing w:val="-10"/>
      <w:kern w:val="28"/>
      <w:sz w:val="32"/>
      <w:szCs w:val="56"/>
    </w:rPr>
  </w:style>
  <w:style w:type="character" w:customStyle="1" w:styleId="TitleChar">
    <w:name w:val="Title Char"/>
    <w:basedOn w:val="DefaultParagraphFont"/>
    <w:link w:val="Title"/>
    <w:rsid w:val="007A7A30"/>
    <w:rPr>
      <w:rFonts w:ascii="Times New Roman Bold" w:eastAsiaTheme="majorEastAsia" w:hAnsi="Times New Roman Bold" w:cstheme="majorBidi"/>
      <w:b/>
      <w:spacing w:val="-10"/>
      <w:kern w:val="28"/>
      <w:sz w:val="32"/>
      <w:szCs w:val="56"/>
    </w:rPr>
  </w:style>
  <w:style w:type="paragraph" w:customStyle="1" w:styleId="Heading2non-numbered">
    <w:name w:val="Heading 2 (non-numbered)"/>
    <w:basedOn w:val="Heading2"/>
    <w:next w:val="Normal"/>
    <w:rsid w:val="004643A9"/>
    <w:pPr>
      <w:numPr>
        <w:ilvl w:val="0"/>
        <w:numId w:val="0"/>
      </w:numPr>
    </w:pPr>
    <w:rPr>
      <w:noProof/>
    </w:rPr>
  </w:style>
  <w:style w:type="paragraph" w:customStyle="1" w:styleId="Heading3non-numbered">
    <w:name w:val="Heading 3 (non-numbered)"/>
    <w:basedOn w:val="Heading3"/>
    <w:next w:val="Normal"/>
    <w:qFormat/>
    <w:rsid w:val="004A5444"/>
    <w:pPr>
      <w:numPr>
        <w:ilvl w:val="3"/>
        <w:numId w:val="0"/>
      </w:numPr>
      <w:tabs>
        <w:tab w:val="left" w:pos="1152"/>
        <w:tab w:val="num" w:pos="5954"/>
      </w:tabs>
      <w:adjustRightInd/>
      <w:snapToGrid/>
      <w:spacing w:before="120" w:after="240"/>
      <w:ind w:left="1080" w:hanging="1080"/>
      <w:textAlignment w:val="auto"/>
    </w:pPr>
  </w:style>
  <w:style w:type="paragraph" w:customStyle="1" w:styleId="Heading4non-numbered">
    <w:name w:val="Heading 4 (non-numbered)"/>
    <w:basedOn w:val="Heading4"/>
    <w:rsid w:val="00B80BEB"/>
    <w:pPr>
      <w:numPr>
        <w:ilvl w:val="0"/>
        <w:numId w:val="0"/>
      </w:numPr>
    </w:pPr>
  </w:style>
  <w:style w:type="paragraph" w:customStyle="1" w:styleId="CPTExample">
    <w:name w:val="CPT_Example"/>
    <w:basedOn w:val="Normal"/>
    <w:next w:val="Normal"/>
    <w:link w:val="CPTExampleChar"/>
    <w:uiPriority w:val="1"/>
    <w:qFormat/>
    <w:rsid w:val="00355A35"/>
    <w:rPr>
      <w:rFonts w:ascii="Arial" w:hAnsi="Arial"/>
      <w:i/>
      <w:color w:val="00B050"/>
      <w:sz w:val="20"/>
      <w:szCs w:val="20"/>
    </w:rPr>
  </w:style>
  <w:style w:type="numbering" w:styleId="111111">
    <w:name w:val="Outline List 2"/>
    <w:basedOn w:val="NoList"/>
    <w:semiHidden/>
    <w:unhideWhenUsed/>
    <w:rsid w:val="002D66D8"/>
    <w:pPr>
      <w:numPr>
        <w:numId w:val="4"/>
      </w:numPr>
    </w:pPr>
  </w:style>
  <w:style w:type="numbering" w:styleId="1ai">
    <w:name w:val="Outline List 1"/>
    <w:basedOn w:val="NoList"/>
    <w:semiHidden/>
    <w:unhideWhenUsed/>
    <w:rsid w:val="002D66D8"/>
    <w:pPr>
      <w:numPr>
        <w:numId w:val="5"/>
      </w:numPr>
    </w:pPr>
  </w:style>
  <w:style w:type="numbering" w:styleId="ArticleSection">
    <w:name w:val="Outline List 3"/>
    <w:basedOn w:val="NoList"/>
    <w:semiHidden/>
    <w:unhideWhenUsed/>
    <w:rsid w:val="002D66D8"/>
    <w:pPr>
      <w:numPr>
        <w:numId w:val="6"/>
      </w:numPr>
    </w:pPr>
  </w:style>
  <w:style w:type="paragraph" w:styleId="Bibliography">
    <w:name w:val="Bibliography"/>
    <w:basedOn w:val="Normal"/>
    <w:next w:val="Normal"/>
    <w:uiPriority w:val="37"/>
    <w:semiHidden/>
    <w:unhideWhenUsed/>
    <w:rsid w:val="002D66D8"/>
  </w:style>
  <w:style w:type="paragraph" w:styleId="BodyText2">
    <w:name w:val="Body Text 2"/>
    <w:basedOn w:val="Normal"/>
    <w:link w:val="BodyText2Char"/>
    <w:semiHidden/>
    <w:unhideWhenUsed/>
    <w:rsid w:val="002D66D8"/>
    <w:pPr>
      <w:spacing w:line="480" w:lineRule="auto"/>
    </w:pPr>
  </w:style>
  <w:style w:type="character" w:customStyle="1" w:styleId="BodyText2Char">
    <w:name w:val="Body Text 2 Char"/>
    <w:basedOn w:val="DefaultParagraphFont"/>
    <w:link w:val="BodyText2"/>
    <w:semiHidden/>
    <w:rsid w:val="002D66D8"/>
    <w:rPr>
      <w:rFonts w:eastAsia="Calibri" w:cs="Cordia New"/>
      <w:sz w:val="24"/>
      <w:szCs w:val="22"/>
    </w:rPr>
  </w:style>
  <w:style w:type="paragraph" w:styleId="BodyText3">
    <w:name w:val="Body Text 3"/>
    <w:basedOn w:val="Normal"/>
    <w:link w:val="BodyText3Char"/>
    <w:semiHidden/>
    <w:unhideWhenUsed/>
    <w:rsid w:val="002D66D8"/>
    <w:rPr>
      <w:sz w:val="16"/>
      <w:szCs w:val="16"/>
    </w:rPr>
  </w:style>
  <w:style w:type="character" w:customStyle="1" w:styleId="BodyText3Char">
    <w:name w:val="Body Text 3 Char"/>
    <w:basedOn w:val="DefaultParagraphFont"/>
    <w:link w:val="BodyText3"/>
    <w:semiHidden/>
    <w:rsid w:val="002D66D8"/>
    <w:rPr>
      <w:rFonts w:eastAsia="Calibri" w:cs="Cordia New"/>
      <w:sz w:val="16"/>
      <w:szCs w:val="16"/>
    </w:rPr>
  </w:style>
  <w:style w:type="paragraph" w:styleId="BodyTextIndent">
    <w:name w:val="Body Text Indent"/>
    <w:basedOn w:val="Normal"/>
    <w:link w:val="BodyTextIndentChar"/>
    <w:semiHidden/>
    <w:unhideWhenUsed/>
    <w:rsid w:val="002D66D8"/>
    <w:pPr>
      <w:ind w:left="360"/>
    </w:pPr>
  </w:style>
  <w:style w:type="character" w:customStyle="1" w:styleId="BodyTextIndentChar">
    <w:name w:val="Body Text Indent Char"/>
    <w:basedOn w:val="DefaultParagraphFont"/>
    <w:link w:val="BodyTextIndent"/>
    <w:semiHidden/>
    <w:rsid w:val="002D66D8"/>
    <w:rPr>
      <w:rFonts w:eastAsia="Calibri" w:cs="Cordia New"/>
      <w:sz w:val="24"/>
      <w:szCs w:val="22"/>
    </w:rPr>
  </w:style>
  <w:style w:type="paragraph" w:styleId="BodyTextFirstIndent2">
    <w:name w:val="Body Text First Indent 2"/>
    <w:basedOn w:val="BodyTextIndent"/>
    <w:link w:val="BodyTextFirstIndent2Char"/>
    <w:semiHidden/>
    <w:unhideWhenUsed/>
    <w:rsid w:val="002D66D8"/>
    <w:pPr>
      <w:ind w:firstLine="360"/>
    </w:pPr>
  </w:style>
  <w:style w:type="character" w:customStyle="1" w:styleId="BodyTextFirstIndent2Char">
    <w:name w:val="Body Text First Indent 2 Char"/>
    <w:basedOn w:val="BodyTextIndentChar"/>
    <w:link w:val="BodyTextFirstIndent2"/>
    <w:semiHidden/>
    <w:rsid w:val="002D66D8"/>
    <w:rPr>
      <w:rFonts w:eastAsia="Calibri" w:cs="Cordia New"/>
      <w:sz w:val="24"/>
      <w:szCs w:val="22"/>
    </w:rPr>
  </w:style>
  <w:style w:type="paragraph" w:styleId="BodyTextIndent2">
    <w:name w:val="Body Text Indent 2"/>
    <w:basedOn w:val="Normal"/>
    <w:link w:val="BodyTextIndent2Char"/>
    <w:semiHidden/>
    <w:unhideWhenUsed/>
    <w:rsid w:val="002D66D8"/>
    <w:pPr>
      <w:spacing w:line="480" w:lineRule="auto"/>
      <w:ind w:left="360"/>
    </w:pPr>
  </w:style>
  <w:style w:type="character" w:customStyle="1" w:styleId="BodyTextIndent2Char">
    <w:name w:val="Body Text Indent 2 Char"/>
    <w:basedOn w:val="DefaultParagraphFont"/>
    <w:link w:val="BodyTextIndent2"/>
    <w:semiHidden/>
    <w:rsid w:val="002D66D8"/>
    <w:rPr>
      <w:rFonts w:eastAsia="Calibri" w:cs="Cordia New"/>
      <w:sz w:val="24"/>
      <w:szCs w:val="22"/>
    </w:rPr>
  </w:style>
  <w:style w:type="paragraph" w:styleId="BodyTextIndent3">
    <w:name w:val="Body Text Indent 3"/>
    <w:basedOn w:val="Normal"/>
    <w:link w:val="BodyTextIndent3Char"/>
    <w:semiHidden/>
    <w:unhideWhenUsed/>
    <w:rsid w:val="002D66D8"/>
    <w:pPr>
      <w:ind w:left="360"/>
    </w:pPr>
    <w:rPr>
      <w:sz w:val="16"/>
      <w:szCs w:val="16"/>
    </w:rPr>
  </w:style>
  <w:style w:type="character" w:customStyle="1" w:styleId="BodyTextIndent3Char">
    <w:name w:val="Body Text Indent 3 Char"/>
    <w:basedOn w:val="DefaultParagraphFont"/>
    <w:link w:val="BodyTextIndent3"/>
    <w:semiHidden/>
    <w:rsid w:val="002D66D8"/>
    <w:rPr>
      <w:rFonts w:eastAsia="Calibri" w:cs="Cordia New"/>
      <w:sz w:val="16"/>
      <w:szCs w:val="16"/>
    </w:rPr>
  </w:style>
  <w:style w:type="paragraph" w:styleId="Closing">
    <w:name w:val="Closing"/>
    <w:basedOn w:val="Normal"/>
    <w:link w:val="ClosingChar"/>
    <w:semiHidden/>
    <w:unhideWhenUsed/>
    <w:rsid w:val="002D66D8"/>
    <w:pPr>
      <w:ind w:left="4320"/>
    </w:pPr>
  </w:style>
  <w:style w:type="character" w:customStyle="1" w:styleId="ClosingChar">
    <w:name w:val="Closing Char"/>
    <w:basedOn w:val="DefaultParagraphFont"/>
    <w:link w:val="Closing"/>
    <w:semiHidden/>
    <w:rsid w:val="002D66D8"/>
    <w:rPr>
      <w:rFonts w:eastAsia="Calibri" w:cs="Cordia New"/>
      <w:sz w:val="24"/>
      <w:szCs w:val="22"/>
    </w:rPr>
  </w:style>
  <w:style w:type="table" w:styleId="ColourfulGrid">
    <w:name w:val="Colorful Grid"/>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CCCCCC" w:themeFill="text1" w:themeFillTint="33"/>
    </w:tcPr>
    <w:tblStylePr w:type="firstRow">
      <w:rPr>
        <w:b/>
        <w:bCs/>
      </w:rPr>
      <w:tblPr/>
      <w:trPr>
        <w:hidden/>
      </w:trPr>
      <w:tcPr>
        <w:shd w:val="clear" w:color="auto" w:fill="999999" w:themeFill="text1" w:themeFillTint="66"/>
      </w:tcPr>
    </w:tblStylePr>
    <w:tblStylePr w:type="lastRow">
      <w:rPr>
        <w:b/>
        <w:bCs/>
        <w:color w:val="000000" w:themeColor="text1"/>
      </w:rPr>
      <w:tblPr/>
      <w:trPr>
        <w:hidden/>
      </w:trPr>
      <w:tcPr>
        <w:shd w:val="clear" w:color="auto" w:fill="999999" w:themeFill="text1" w:themeFillTint="66"/>
      </w:tcPr>
    </w:tblStylePr>
    <w:tblStylePr w:type="firstCol">
      <w:rPr>
        <w:color w:val="FFFFFF" w:themeColor="background1"/>
      </w:rPr>
      <w:tblPr/>
      <w:trPr>
        <w:hidden/>
      </w:trPr>
      <w:tcPr>
        <w:shd w:val="clear" w:color="auto" w:fill="000000" w:themeFill="text1" w:themeFillShade="BF"/>
      </w:tcPr>
    </w:tblStylePr>
    <w:tblStylePr w:type="lastCol">
      <w:rPr>
        <w:color w:val="FFFFFF" w:themeColor="background1"/>
      </w:rPr>
      <w:tblPr/>
      <w:trPr>
        <w:hidden/>
      </w:trPr>
      <w:tcPr>
        <w:shd w:val="clear" w:color="auto" w:fill="000000" w:themeFill="text1" w:themeFillShade="BF"/>
      </w:tc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ColourfulGridAccent1">
    <w:name w:val="Colorful Grid Accent 1"/>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DBE5F1" w:themeFill="accent1" w:themeFillTint="33"/>
    </w:tcPr>
    <w:tblStylePr w:type="firstRow">
      <w:rPr>
        <w:b/>
        <w:bCs/>
      </w:rPr>
      <w:tblPr/>
      <w:trPr>
        <w:hidden/>
      </w:trPr>
      <w:tcPr>
        <w:shd w:val="clear" w:color="auto" w:fill="B8CCE4" w:themeFill="accent1" w:themeFillTint="66"/>
      </w:tcPr>
    </w:tblStylePr>
    <w:tblStylePr w:type="lastRow">
      <w:rPr>
        <w:b/>
        <w:bCs/>
        <w:color w:val="000000" w:themeColor="text1"/>
      </w:rPr>
      <w:tblPr/>
      <w:trPr>
        <w:hidden/>
      </w:trPr>
      <w:tcPr>
        <w:shd w:val="clear" w:color="auto" w:fill="B8CCE4" w:themeFill="accent1" w:themeFillTint="66"/>
      </w:tcPr>
    </w:tblStylePr>
    <w:tblStylePr w:type="firstCol">
      <w:rPr>
        <w:color w:val="FFFFFF" w:themeColor="background1"/>
      </w:rPr>
      <w:tblPr/>
      <w:trPr>
        <w:hidden/>
      </w:trPr>
      <w:tcPr>
        <w:shd w:val="clear" w:color="auto" w:fill="365F91" w:themeFill="accent1" w:themeFillShade="BF"/>
      </w:tcPr>
    </w:tblStylePr>
    <w:tblStylePr w:type="lastCol">
      <w:rPr>
        <w:color w:val="FFFFFF" w:themeColor="background1"/>
      </w:rPr>
      <w:tblPr/>
      <w:trPr>
        <w:hidden/>
      </w:trPr>
      <w:tcPr>
        <w:shd w:val="clear" w:color="auto" w:fill="365F91" w:themeFill="accent1" w:themeFillShade="BF"/>
      </w:tc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ColourfulGridAccent2">
    <w:name w:val="Colorful Grid Accent 2"/>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F2DBDB" w:themeFill="accent2" w:themeFillTint="33"/>
    </w:tcPr>
    <w:tblStylePr w:type="firstRow">
      <w:rPr>
        <w:b/>
        <w:bCs/>
      </w:rPr>
      <w:tblPr/>
      <w:trPr>
        <w:hidden/>
      </w:trPr>
      <w:tcPr>
        <w:shd w:val="clear" w:color="auto" w:fill="E5B8B7" w:themeFill="accent2" w:themeFillTint="66"/>
      </w:tcPr>
    </w:tblStylePr>
    <w:tblStylePr w:type="lastRow">
      <w:rPr>
        <w:b/>
        <w:bCs/>
        <w:color w:val="000000" w:themeColor="text1"/>
      </w:rPr>
      <w:tblPr/>
      <w:trPr>
        <w:hidden/>
      </w:trPr>
      <w:tcPr>
        <w:shd w:val="clear" w:color="auto" w:fill="E5B8B7" w:themeFill="accent2" w:themeFillTint="66"/>
      </w:tcPr>
    </w:tblStylePr>
    <w:tblStylePr w:type="firstCol">
      <w:rPr>
        <w:color w:val="FFFFFF" w:themeColor="background1"/>
      </w:rPr>
      <w:tblPr/>
      <w:trPr>
        <w:hidden/>
      </w:trPr>
      <w:tcPr>
        <w:shd w:val="clear" w:color="auto" w:fill="943634" w:themeFill="accent2" w:themeFillShade="BF"/>
      </w:tcPr>
    </w:tblStylePr>
    <w:tblStylePr w:type="lastCol">
      <w:rPr>
        <w:color w:val="FFFFFF" w:themeColor="background1"/>
      </w:rPr>
      <w:tblPr/>
      <w:trPr>
        <w:hidden/>
      </w:trPr>
      <w:tcPr>
        <w:shd w:val="clear" w:color="auto" w:fill="943634" w:themeFill="accent2" w:themeFillShade="BF"/>
      </w:tc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ColourfulGridAccent3">
    <w:name w:val="Colorful Grid Accent 3"/>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EAF1DD" w:themeFill="accent3" w:themeFillTint="33"/>
    </w:tcPr>
    <w:tblStylePr w:type="firstRow">
      <w:rPr>
        <w:b/>
        <w:bCs/>
      </w:rPr>
      <w:tblPr/>
      <w:trPr>
        <w:hidden/>
      </w:trPr>
      <w:tcPr>
        <w:shd w:val="clear" w:color="auto" w:fill="D6E3BC" w:themeFill="accent3" w:themeFillTint="66"/>
      </w:tcPr>
    </w:tblStylePr>
    <w:tblStylePr w:type="lastRow">
      <w:rPr>
        <w:b/>
        <w:bCs/>
        <w:color w:val="000000" w:themeColor="text1"/>
      </w:rPr>
      <w:tblPr/>
      <w:trPr>
        <w:hidden/>
      </w:trPr>
      <w:tcPr>
        <w:shd w:val="clear" w:color="auto" w:fill="D6E3BC" w:themeFill="accent3" w:themeFillTint="66"/>
      </w:tcPr>
    </w:tblStylePr>
    <w:tblStylePr w:type="firstCol">
      <w:rPr>
        <w:color w:val="FFFFFF" w:themeColor="background1"/>
      </w:rPr>
      <w:tblPr/>
      <w:trPr>
        <w:hidden/>
      </w:trPr>
      <w:tcPr>
        <w:shd w:val="clear" w:color="auto" w:fill="76923C" w:themeFill="accent3" w:themeFillShade="BF"/>
      </w:tcPr>
    </w:tblStylePr>
    <w:tblStylePr w:type="lastCol">
      <w:rPr>
        <w:color w:val="FFFFFF" w:themeColor="background1"/>
      </w:rPr>
      <w:tblPr/>
      <w:trPr>
        <w:hidden/>
      </w:trPr>
      <w:tcPr>
        <w:shd w:val="clear" w:color="auto" w:fill="76923C" w:themeFill="accent3" w:themeFillShade="BF"/>
      </w:tc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ColourfulGridAccent4">
    <w:name w:val="Colorful Grid Accent 4"/>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E5DFEC" w:themeFill="accent4" w:themeFillTint="33"/>
    </w:tcPr>
    <w:tblStylePr w:type="firstRow">
      <w:rPr>
        <w:b/>
        <w:bCs/>
      </w:rPr>
      <w:tblPr/>
      <w:trPr>
        <w:hidden/>
      </w:trPr>
      <w:tcPr>
        <w:shd w:val="clear" w:color="auto" w:fill="CCC0D9" w:themeFill="accent4" w:themeFillTint="66"/>
      </w:tcPr>
    </w:tblStylePr>
    <w:tblStylePr w:type="lastRow">
      <w:rPr>
        <w:b/>
        <w:bCs/>
        <w:color w:val="000000" w:themeColor="text1"/>
      </w:rPr>
      <w:tblPr/>
      <w:trPr>
        <w:hidden/>
      </w:trPr>
      <w:tcPr>
        <w:shd w:val="clear" w:color="auto" w:fill="CCC0D9" w:themeFill="accent4" w:themeFillTint="66"/>
      </w:tcPr>
    </w:tblStylePr>
    <w:tblStylePr w:type="firstCol">
      <w:rPr>
        <w:color w:val="FFFFFF" w:themeColor="background1"/>
      </w:rPr>
      <w:tblPr/>
      <w:trPr>
        <w:hidden/>
      </w:trPr>
      <w:tcPr>
        <w:shd w:val="clear" w:color="auto" w:fill="5F497A" w:themeFill="accent4" w:themeFillShade="BF"/>
      </w:tcPr>
    </w:tblStylePr>
    <w:tblStylePr w:type="lastCol">
      <w:rPr>
        <w:color w:val="FFFFFF" w:themeColor="background1"/>
      </w:rPr>
      <w:tblPr/>
      <w:trPr>
        <w:hidden/>
      </w:trPr>
      <w:tcPr>
        <w:shd w:val="clear" w:color="auto" w:fill="5F497A" w:themeFill="accent4" w:themeFillShade="BF"/>
      </w:tc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ColourfulGridAccent5">
    <w:name w:val="Colorful Grid Accent 5"/>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DAEEF3" w:themeFill="accent5" w:themeFillTint="33"/>
    </w:tcPr>
    <w:tblStylePr w:type="firstRow">
      <w:rPr>
        <w:b/>
        <w:bCs/>
      </w:rPr>
      <w:tblPr/>
      <w:trPr>
        <w:hidden/>
      </w:trPr>
      <w:tcPr>
        <w:shd w:val="clear" w:color="auto" w:fill="B6DDE8" w:themeFill="accent5" w:themeFillTint="66"/>
      </w:tcPr>
    </w:tblStylePr>
    <w:tblStylePr w:type="lastRow">
      <w:rPr>
        <w:b/>
        <w:bCs/>
        <w:color w:val="000000" w:themeColor="text1"/>
      </w:rPr>
      <w:tblPr/>
      <w:trPr>
        <w:hidden/>
      </w:trPr>
      <w:tcPr>
        <w:shd w:val="clear" w:color="auto" w:fill="B6DDE8" w:themeFill="accent5" w:themeFillTint="66"/>
      </w:tcPr>
    </w:tblStylePr>
    <w:tblStylePr w:type="firstCol">
      <w:rPr>
        <w:color w:val="FFFFFF" w:themeColor="background1"/>
      </w:rPr>
      <w:tblPr/>
      <w:trPr>
        <w:hidden/>
      </w:trPr>
      <w:tcPr>
        <w:shd w:val="clear" w:color="auto" w:fill="31849B" w:themeFill="accent5" w:themeFillShade="BF"/>
      </w:tcPr>
    </w:tblStylePr>
    <w:tblStylePr w:type="lastCol">
      <w:rPr>
        <w:color w:val="FFFFFF" w:themeColor="background1"/>
      </w:rPr>
      <w:tblPr/>
      <w:trPr>
        <w:hidden/>
      </w:trPr>
      <w:tcPr>
        <w:shd w:val="clear" w:color="auto" w:fill="31849B" w:themeFill="accent5" w:themeFillShade="BF"/>
      </w:tc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ColourfulGridAccent6">
    <w:name w:val="Colorful Grid Accent 6"/>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FDE9D9" w:themeFill="accent6" w:themeFillTint="33"/>
    </w:tcPr>
    <w:tblStylePr w:type="firstRow">
      <w:rPr>
        <w:b/>
        <w:bCs/>
      </w:rPr>
      <w:tblPr/>
      <w:trPr>
        <w:hidden/>
      </w:trPr>
      <w:tcPr>
        <w:shd w:val="clear" w:color="auto" w:fill="FBD4B4" w:themeFill="accent6" w:themeFillTint="66"/>
      </w:tcPr>
    </w:tblStylePr>
    <w:tblStylePr w:type="lastRow">
      <w:rPr>
        <w:b/>
        <w:bCs/>
        <w:color w:val="000000" w:themeColor="text1"/>
      </w:rPr>
      <w:tblPr/>
      <w:trPr>
        <w:hidden/>
      </w:trPr>
      <w:tcPr>
        <w:shd w:val="clear" w:color="auto" w:fill="FBD4B4" w:themeFill="accent6" w:themeFillTint="66"/>
      </w:tcPr>
    </w:tblStylePr>
    <w:tblStylePr w:type="firstCol">
      <w:rPr>
        <w:color w:val="FFFFFF" w:themeColor="background1"/>
      </w:rPr>
      <w:tblPr/>
      <w:trPr>
        <w:hidden/>
      </w:trPr>
      <w:tcPr>
        <w:shd w:val="clear" w:color="auto" w:fill="E36C0A" w:themeFill="accent6" w:themeFillShade="BF"/>
      </w:tcPr>
    </w:tblStylePr>
    <w:tblStylePr w:type="lastCol">
      <w:rPr>
        <w:color w:val="FFFFFF" w:themeColor="background1"/>
      </w:rPr>
      <w:tblPr/>
      <w:trPr>
        <w:hidden/>
      </w:trPr>
      <w:tcPr>
        <w:shd w:val="clear" w:color="auto" w:fill="E36C0A" w:themeFill="accent6" w:themeFillShade="BF"/>
      </w:tc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styleId="ColourfulList">
    <w:name w:val="Colorful List"/>
    <w:basedOn w:val="TableNormal"/>
    <w:uiPriority w:val="72"/>
    <w:rsid w:val="002D66D8"/>
    <w:rPr>
      <w:color w:val="000000" w:themeColor="text1"/>
    </w:rPr>
    <w:tblPr>
      <w:tblStyleRowBandSize w:val="1"/>
      <w:tblStyleColBandSize w:val="1"/>
    </w:tblPr>
    <w:trPr>
      <w:hidden/>
    </w:trPr>
    <w:tcPr>
      <w:shd w:val="clear" w:color="auto" w:fill="E6E6E6" w:themeFill="tex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C0C0C0" w:themeFill="text1" w:themeFillTint="3F"/>
      </w:tcPr>
    </w:tblStylePr>
    <w:tblStylePr w:type="band1Horz">
      <w:tblPr/>
      <w:trPr>
        <w:hidden/>
      </w:trPr>
      <w:tcPr>
        <w:shd w:val="clear" w:color="auto" w:fill="CCCCCC" w:themeFill="text1" w:themeFillTint="33"/>
      </w:tcPr>
    </w:tblStylePr>
  </w:style>
  <w:style w:type="table" w:styleId="ColourfulListAccent1">
    <w:name w:val="Colorful List Accent 1"/>
    <w:basedOn w:val="TableNormal"/>
    <w:uiPriority w:val="72"/>
    <w:rsid w:val="002D66D8"/>
    <w:rPr>
      <w:color w:val="000000" w:themeColor="text1"/>
    </w:rPr>
    <w:tblPr>
      <w:tblStyleRowBandSize w:val="1"/>
      <w:tblStyleColBandSize w:val="1"/>
    </w:tblPr>
    <w:trPr>
      <w:hidden/>
    </w:trPr>
    <w:tcPr>
      <w:shd w:val="clear" w:color="auto" w:fill="EDF2F8" w:themeFill="accen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3DFEE" w:themeFill="accent1" w:themeFillTint="3F"/>
      </w:tcPr>
    </w:tblStylePr>
    <w:tblStylePr w:type="band1Horz">
      <w:tblPr/>
      <w:trPr>
        <w:hidden/>
      </w:trPr>
      <w:tcPr>
        <w:shd w:val="clear" w:color="auto" w:fill="DBE5F1" w:themeFill="accent1" w:themeFillTint="33"/>
      </w:tcPr>
    </w:tblStylePr>
  </w:style>
  <w:style w:type="table" w:styleId="ColourfulListAccent2">
    <w:name w:val="Colorful List Accent 2"/>
    <w:basedOn w:val="TableNormal"/>
    <w:uiPriority w:val="72"/>
    <w:rsid w:val="002D66D8"/>
    <w:rPr>
      <w:color w:val="000000" w:themeColor="text1"/>
    </w:rPr>
    <w:tblPr>
      <w:tblStyleRowBandSize w:val="1"/>
      <w:tblStyleColBandSize w:val="1"/>
    </w:tblPr>
    <w:trPr>
      <w:hidden/>
    </w:trPr>
    <w:tcPr>
      <w:shd w:val="clear" w:color="auto" w:fill="F8EDED" w:themeFill="accent2"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FD3D2" w:themeFill="accent2" w:themeFillTint="3F"/>
      </w:tcPr>
    </w:tblStylePr>
    <w:tblStylePr w:type="band1Horz">
      <w:tblPr/>
      <w:trPr>
        <w:hidden/>
      </w:trPr>
      <w:tcPr>
        <w:shd w:val="clear" w:color="auto" w:fill="F2DBDB" w:themeFill="accent2" w:themeFillTint="33"/>
      </w:tcPr>
    </w:tblStylePr>
  </w:style>
  <w:style w:type="table" w:styleId="ColourfulListAccent3">
    <w:name w:val="Colorful List Accent 3"/>
    <w:basedOn w:val="TableNormal"/>
    <w:uiPriority w:val="72"/>
    <w:rsid w:val="002D66D8"/>
    <w:rPr>
      <w:color w:val="000000" w:themeColor="text1"/>
    </w:rPr>
    <w:tblPr>
      <w:tblStyleRowBandSize w:val="1"/>
      <w:tblStyleColBandSize w:val="1"/>
    </w:tblPr>
    <w:trPr>
      <w:hidden/>
    </w:trPr>
    <w:tcPr>
      <w:shd w:val="clear" w:color="auto" w:fill="F5F8EE" w:themeFill="accent3" w:themeFillTint="19"/>
    </w:tcPr>
    <w:tblStylePr w:type="firstRow">
      <w:rPr>
        <w:b/>
        <w:bCs/>
        <w:color w:val="FFFFFF" w:themeColor="background1"/>
      </w:rPr>
      <w:tblPr/>
      <w:trPr>
        <w:hidden/>
      </w:tr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6EED5" w:themeFill="accent3" w:themeFillTint="3F"/>
      </w:tcPr>
    </w:tblStylePr>
    <w:tblStylePr w:type="band1Horz">
      <w:tblPr/>
      <w:trPr>
        <w:hidden/>
      </w:trPr>
      <w:tcPr>
        <w:shd w:val="clear" w:color="auto" w:fill="EAF1DD" w:themeFill="accent3" w:themeFillTint="33"/>
      </w:tcPr>
    </w:tblStylePr>
  </w:style>
  <w:style w:type="table" w:styleId="ColourfulListAccent4">
    <w:name w:val="Colorful List Accent 4"/>
    <w:basedOn w:val="TableNormal"/>
    <w:uiPriority w:val="72"/>
    <w:rsid w:val="002D66D8"/>
    <w:rPr>
      <w:color w:val="000000" w:themeColor="text1"/>
    </w:rPr>
    <w:tblPr>
      <w:tblStyleRowBandSize w:val="1"/>
      <w:tblStyleColBandSize w:val="1"/>
    </w:tblPr>
    <w:trPr>
      <w:hidden/>
    </w:trPr>
    <w:tcPr>
      <w:shd w:val="clear" w:color="auto" w:fill="F2EFF6" w:themeFill="accent4" w:themeFillTint="19"/>
    </w:tcPr>
    <w:tblStylePr w:type="firstRow">
      <w:rPr>
        <w:b/>
        <w:bCs/>
        <w:color w:val="FFFFFF" w:themeColor="background1"/>
      </w:rPr>
      <w:tblPr/>
      <w:trPr>
        <w:hidden/>
      </w:tr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FD8E8" w:themeFill="accent4" w:themeFillTint="3F"/>
      </w:tcPr>
    </w:tblStylePr>
    <w:tblStylePr w:type="band1Horz">
      <w:tblPr/>
      <w:trPr>
        <w:hidden/>
      </w:trPr>
      <w:tcPr>
        <w:shd w:val="clear" w:color="auto" w:fill="E5DFEC" w:themeFill="accent4" w:themeFillTint="33"/>
      </w:tcPr>
    </w:tblStylePr>
  </w:style>
  <w:style w:type="table" w:styleId="ColourfulListAccent5">
    <w:name w:val="Colorful List Accent 5"/>
    <w:basedOn w:val="TableNormal"/>
    <w:uiPriority w:val="72"/>
    <w:rsid w:val="002D66D8"/>
    <w:rPr>
      <w:color w:val="000000" w:themeColor="text1"/>
    </w:rPr>
    <w:tblPr>
      <w:tblStyleRowBandSize w:val="1"/>
      <w:tblStyleColBandSize w:val="1"/>
    </w:tblPr>
    <w:trPr>
      <w:hidden/>
    </w:trPr>
    <w:tcPr>
      <w:shd w:val="clear" w:color="auto" w:fill="EDF6F9" w:themeFill="accent5" w:themeFillTint="19"/>
    </w:tcPr>
    <w:tblStylePr w:type="firstRow">
      <w:rPr>
        <w:b/>
        <w:bCs/>
        <w:color w:val="FFFFFF" w:themeColor="background1"/>
      </w:rPr>
      <w:tblPr/>
      <w:trPr>
        <w:hidden/>
      </w:tr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2EAF1" w:themeFill="accent5" w:themeFillTint="3F"/>
      </w:tcPr>
    </w:tblStylePr>
    <w:tblStylePr w:type="band1Horz">
      <w:tblPr/>
      <w:trPr>
        <w:hidden/>
      </w:trPr>
      <w:tcPr>
        <w:shd w:val="clear" w:color="auto" w:fill="DAEEF3" w:themeFill="accent5" w:themeFillTint="33"/>
      </w:tcPr>
    </w:tblStylePr>
  </w:style>
  <w:style w:type="table" w:styleId="ColourfulListAccent6">
    <w:name w:val="Colorful List Accent 6"/>
    <w:basedOn w:val="TableNormal"/>
    <w:uiPriority w:val="72"/>
    <w:rsid w:val="002D66D8"/>
    <w:rPr>
      <w:color w:val="000000" w:themeColor="text1"/>
    </w:rPr>
    <w:tblPr>
      <w:tblStyleRowBandSize w:val="1"/>
      <w:tblStyleColBandSize w:val="1"/>
    </w:tblPr>
    <w:trPr>
      <w:hidden/>
    </w:trPr>
    <w:tcPr>
      <w:shd w:val="clear" w:color="auto" w:fill="FEF4EC" w:themeFill="accent6" w:themeFillTint="19"/>
    </w:tcPr>
    <w:tblStylePr w:type="firstRow">
      <w:rPr>
        <w:b/>
        <w:bCs/>
        <w:color w:val="FFFFFF" w:themeColor="background1"/>
      </w:rPr>
      <w:tblPr/>
      <w:trPr>
        <w:hidden/>
      </w:tr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FDE4D0" w:themeFill="accent6" w:themeFillTint="3F"/>
      </w:tcPr>
    </w:tblStylePr>
    <w:tblStylePr w:type="band1Horz">
      <w:tblPr/>
      <w:trPr>
        <w:hidden/>
      </w:trPr>
      <w:tcPr>
        <w:shd w:val="clear" w:color="auto" w:fill="FDE9D9" w:themeFill="accent6" w:themeFillTint="33"/>
      </w:tcPr>
    </w:tblStylePr>
  </w:style>
  <w:style w:type="table" w:styleId="ColourfulShading">
    <w:name w:val="Colorful Shading"/>
    <w:basedOn w:val="TableNormal"/>
    <w:uiPriority w:val="71"/>
    <w:rsid w:val="002D66D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rPr>
      <w:hidden/>
    </w:trPr>
    <w:tcPr>
      <w:shd w:val="clear" w:color="auto" w:fill="E6E6E6" w:themeFill="tex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000000" w:themeFill="text1" w:themeFillShade="99"/>
      </w:tcPr>
    </w:tblStylePr>
    <w:tblStylePr w:type="firstCol">
      <w:rPr>
        <w:color w:val="FFFFFF" w:themeColor="background1"/>
      </w:rPr>
      <w:tblPr/>
      <w:trPr>
        <w:hidden/>
      </w:tr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000000" w:themeFill="text1" w:themeFillShade="BF"/>
      </w:tcPr>
    </w:tblStylePr>
    <w:tblStylePr w:type="band1Vert">
      <w:tblPr/>
      <w:trPr>
        <w:hidden/>
      </w:trPr>
      <w:tcPr>
        <w:shd w:val="clear" w:color="auto" w:fill="999999" w:themeFill="text1" w:themeFillTint="66"/>
      </w:tcPr>
    </w:tblStylePr>
    <w:tblStylePr w:type="band1Horz">
      <w:tblPr/>
      <w:trPr>
        <w:hidden/>
      </w:tr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2D66D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rPr>
      <w:hidden/>
    </w:trPr>
    <w:tcPr>
      <w:shd w:val="clear" w:color="auto" w:fill="EDF2F8" w:themeFill="accen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C4C74" w:themeFill="accent1" w:themeFillShade="99"/>
      </w:tcPr>
    </w:tblStylePr>
    <w:tblStylePr w:type="firstCol">
      <w:rPr>
        <w:color w:val="FFFFFF" w:themeColor="background1"/>
      </w:rPr>
      <w:tblPr/>
      <w:trPr>
        <w:hidden/>
      </w:tr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C4C74" w:themeFill="accent1" w:themeFillShade="99"/>
      </w:tcPr>
    </w:tblStylePr>
    <w:tblStylePr w:type="band1Vert">
      <w:tblPr/>
      <w:trPr>
        <w:hidden/>
      </w:trPr>
      <w:tcPr>
        <w:shd w:val="clear" w:color="auto" w:fill="B8CCE4" w:themeFill="accent1" w:themeFillTint="66"/>
      </w:tcPr>
    </w:tblStylePr>
    <w:tblStylePr w:type="band1Horz">
      <w:tblPr/>
      <w:trPr>
        <w:hidden/>
      </w:tr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2D66D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rPr>
      <w:hidden/>
    </w:trPr>
    <w:tcPr>
      <w:shd w:val="clear" w:color="auto" w:fill="F8EDED" w:themeFill="accent2"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772C2A" w:themeFill="accent2" w:themeFillShade="99"/>
      </w:tcPr>
    </w:tblStylePr>
    <w:tblStylePr w:type="firstCol">
      <w:rPr>
        <w:color w:val="FFFFFF" w:themeColor="background1"/>
      </w:rPr>
      <w:tblPr/>
      <w:trPr>
        <w:hidden/>
      </w:tr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772C2A" w:themeFill="accent2" w:themeFillShade="99"/>
      </w:tcPr>
    </w:tblStylePr>
    <w:tblStylePr w:type="band1Vert">
      <w:tblPr/>
      <w:trPr>
        <w:hidden/>
      </w:trPr>
      <w:tcPr>
        <w:shd w:val="clear" w:color="auto" w:fill="E5B8B7" w:themeFill="accent2" w:themeFillTint="66"/>
      </w:tcPr>
    </w:tblStylePr>
    <w:tblStylePr w:type="band1Horz">
      <w:tblPr/>
      <w:trPr>
        <w:hidden/>
      </w:tr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2D66D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rPr>
      <w:hidden/>
    </w:trPr>
    <w:tcPr>
      <w:shd w:val="clear" w:color="auto" w:fill="F5F8EE" w:themeFill="accent3" w:themeFillTint="19"/>
    </w:tcPr>
    <w:tblStylePr w:type="firstRow">
      <w:rPr>
        <w:b/>
        <w:bCs/>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5E7530" w:themeFill="accent3" w:themeFillShade="99"/>
      </w:tcPr>
    </w:tblStylePr>
    <w:tblStylePr w:type="firstCol">
      <w:rPr>
        <w:color w:val="FFFFFF" w:themeColor="background1"/>
      </w:rPr>
      <w:tblPr/>
      <w:trPr>
        <w:hidden/>
      </w:tr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5E7530" w:themeFill="accent3" w:themeFillShade="99"/>
      </w:tcPr>
    </w:tblStylePr>
    <w:tblStylePr w:type="band1Vert">
      <w:tblPr/>
      <w:trPr>
        <w:hidden/>
      </w:trPr>
      <w:tcPr>
        <w:shd w:val="clear" w:color="auto" w:fill="D6E3BC" w:themeFill="accent3" w:themeFillTint="66"/>
      </w:tcPr>
    </w:tblStylePr>
    <w:tblStylePr w:type="band1Horz">
      <w:tblPr/>
      <w:trPr>
        <w:hidden/>
      </w:trPr>
      <w:tcPr>
        <w:shd w:val="clear" w:color="auto" w:fill="CDDDAC" w:themeFill="accent3" w:themeFillTint="7F"/>
      </w:tcPr>
    </w:tblStylePr>
  </w:style>
  <w:style w:type="table" w:styleId="ColourfulShadingAccent4">
    <w:name w:val="Colorful Shading Accent 4"/>
    <w:basedOn w:val="TableNormal"/>
    <w:uiPriority w:val="71"/>
    <w:rsid w:val="002D66D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rPr>
      <w:hidden/>
    </w:trPr>
    <w:tcPr>
      <w:shd w:val="clear" w:color="auto" w:fill="F2EFF6" w:themeFill="accent4" w:themeFillTint="19"/>
    </w:tcPr>
    <w:tblStylePr w:type="firstRow">
      <w:rPr>
        <w:b/>
        <w:bCs/>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4C3B62" w:themeFill="accent4" w:themeFillShade="99"/>
      </w:tcPr>
    </w:tblStylePr>
    <w:tblStylePr w:type="firstCol">
      <w:rPr>
        <w:color w:val="FFFFFF" w:themeColor="background1"/>
      </w:rPr>
      <w:tblPr/>
      <w:trPr>
        <w:hidden/>
      </w:tr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4C3B62" w:themeFill="accent4" w:themeFillShade="99"/>
      </w:tcPr>
    </w:tblStylePr>
    <w:tblStylePr w:type="band1Vert">
      <w:tblPr/>
      <w:trPr>
        <w:hidden/>
      </w:trPr>
      <w:tcPr>
        <w:shd w:val="clear" w:color="auto" w:fill="CCC0D9" w:themeFill="accent4" w:themeFillTint="66"/>
      </w:tcPr>
    </w:tblStylePr>
    <w:tblStylePr w:type="band1Horz">
      <w:tblPr/>
      <w:trPr>
        <w:hidden/>
      </w:tr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2D66D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rPr>
      <w:hidden/>
    </w:trPr>
    <w:tcPr>
      <w:shd w:val="clear" w:color="auto" w:fill="EDF6F9" w:themeFill="accent5" w:themeFillTint="19"/>
    </w:tcPr>
    <w:tblStylePr w:type="firstRow">
      <w:rPr>
        <w:b/>
        <w:bCs/>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76A7C" w:themeFill="accent5" w:themeFillShade="99"/>
      </w:tcPr>
    </w:tblStylePr>
    <w:tblStylePr w:type="firstCol">
      <w:rPr>
        <w:color w:val="FFFFFF" w:themeColor="background1"/>
      </w:rPr>
      <w:tblPr/>
      <w:trPr>
        <w:hidden/>
      </w:tr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76A7C" w:themeFill="accent5" w:themeFillShade="99"/>
      </w:tcPr>
    </w:tblStylePr>
    <w:tblStylePr w:type="band1Vert">
      <w:tblPr/>
      <w:trPr>
        <w:hidden/>
      </w:trPr>
      <w:tcPr>
        <w:shd w:val="clear" w:color="auto" w:fill="B6DDE8" w:themeFill="accent5" w:themeFillTint="66"/>
      </w:tcPr>
    </w:tblStylePr>
    <w:tblStylePr w:type="band1Horz">
      <w:tblPr/>
      <w:trPr>
        <w:hidden/>
      </w:tr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2D66D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rPr>
      <w:hidden/>
    </w:trPr>
    <w:tcPr>
      <w:shd w:val="clear" w:color="auto" w:fill="FEF4EC" w:themeFill="accent6" w:themeFillTint="19"/>
    </w:tcPr>
    <w:tblStylePr w:type="firstRow">
      <w:rPr>
        <w:b/>
        <w:bCs/>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B65608" w:themeFill="accent6" w:themeFillShade="99"/>
      </w:tcPr>
    </w:tblStylePr>
    <w:tblStylePr w:type="firstCol">
      <w:rPr>
        <w:color w:val="FFFFFF" w:themeColor="background1"/>
      </w:rPr>
      <w:tblPr/>
      <w:trPr>
        <w:hidden/>
      </w:tr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B65608" w:themeFill="accent6" w:themeFillShade="99"/>
      </w:tcPr>
    </w:tblStylePr>
    <w:tblStylePr w:type="band1Vert">
      <w:tblPr/>
      <w:trPr>
        <w:hidden/>
      </w:trPr>
      <w:tcPr>
        <w:shd w:val="clear" w:color="auto" w:fill="FBD4B4" w:themeFill="accent6" w:themeFillTint="66"/>
      </w:tcPr>
    </w:tblStylePr>
    <w:tblStylePr w:type="band1Horz">
      <w:tblPr/>
      <w:trPr>
        <w:hidden/>
      </w:tr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2D66D8"/>
    <w:rPr>
      <w:color w:val="FFFFFF" w:themeColor="background1"/>
    </w:rPr>
    <w:tblPr>
      <w:tblStyleRowBandSize w:val="1"/>
      <w:tblStyleColBandSize w:val="1"/>
    </w:tblPr>
    <w:trPr>
      <w:hidden/>
    </w:trPr>
    <w:tcPr>
      <w:shd w:val="clear" w:color="auto" w:fill="000000" w:themeFill="tex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rPr>
        <w:hidden/>
      </w:trPr>
      <w:tcPr>
        <w:tcBorders>
          <w:top w:val="nil"/>
          <w:left w:val="nil"/>
          <w:bottom w:val="nil"/>
          <w:right w:val="nil"/>
          <w:insideH w:val="nil"/>
          <w:insideV w:val="nil"/>
        </w:tcBorders>
        <w:shd w:val="clear" w:color="auto" w:fill="000000" w:themeFill="text1" w:themeFillShade="BF"/>
      </w:tcPr>
    </w:tblStylePr>
    <w:tblStylePr w:type="band1Horz">
      <w:tblPr/>
      <w:trPr>
        <w:hidden/>
      </w:tr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D66D8"/>
    <w:rPr>
      <w:color w:val="FFFFFF" w:themeColor="background1"/>
    </w:rPr>
    <w:tblPr>
      <w:tblStyleRowBandSize w:val="1"/>
      <w:tblStyleColBandSize w:val="1"/>
    </w:tblPr>
    <w:trPr>
      <w:hidden/>
    </w:trPr>
    <w:tcPr>
      <w:shd w:val="clear" w:color="auto" w:fill="4F81BD" w:themeFill="accen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rPr>
        <w:hidden/>
      </w:trPr>
      <w:tcPr>
        <w:tcBorders>
          <w:top w:val="nil"/>
          <w:left w:val="nil"/>
          <w:bottom w:val="nil"/>
          <w:right w:val="nil"/>
          <w:insideH w:val="nil"/>
          <w:insideV w:val="nil"/>
        </w:tcBorders>
        <w:shd w:val="clear" w:color="auto" w:fill="365F91" w:themeFill="accent1" w:themeFillShade="BF"/>
      </w:tcPr>
    </w:tblStylePr>
    <w:tblStylePr w:type="band1Horz">
      <w:tblPr/>
      <w:trPr>
        <w:hidden/>
      </w:tr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2D66D8"/>
    <w:rPr>
      <w:color w:val="FFFFFF" w:themeColor="background1"/>
    </w:rPr>
    <w:tblPr>
      <w:tblStyleRowBandSize w:val="1"/>
      <w:tblStyleColBandSize w:val="1"/>
    </w:tblPr>
    <w:trPr>
      <w:hidden/>
    </w:trPr>
    <w:tcPr>
      <w:shd w:val="clear" w:color="auto" w:fill="C0504D" w:themeFill="accent2"/>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rPr>
        <w:hidden/>
      </w:trPr>
      <w:tcPr>
        <w:tcBorders>
          <w:top w:val="nil"/>
          <w:left w:val="nil"/>
          <w:bottom w:val="nil"/>
          <w:right w:val="nil"/>
          <w:insideH w:val="nil"/>
          <w:insideV w:val="nil"/>
        </w:tcBorders>
        <w:shd w:val="clear" w:color="auto" w:fill="943634" w:themeFill="accent2" w:themeFillShade="BF"/>
      </w:tcPr>
    </w:tblStylePr>
    <w:tblStylePr w:type="band1Horz">
      <w:tblPr/>
      <w:trPr>
        <w:hidden/>
      </w:tr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2D66D8"/>
    <w:rPr>
      <w:color w:val="FFFFFF" w:themeColor="background1"/>
    </w:rPr>
    <w:tblPr>
      <w:tblStyleRowBandSize w:val="1"/>
      <w:tblStyleColBandSize w:val="1"/>
    </w:tblPr>
    <w:trPr>
      <w:hidden/>
    </w:trPr>
    <w:tcPr>
      <w:shd w:val="clear" w:color="auto" w:fill="9BBB59" w:themeFill="accent3"/>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rPr>
        <w:hidden/>
      </w:trPr>
      <w:tcPr>
        <w:tcBorders>
          <w:top w:val="nil"/>
          <w:left w:val="nil"/>
          <w:bottom w:val="nil"/>
          <w:right w:val="nil"/>
          <w:insideH w:val="nil"/>
          <w:insideV w:val="nil"/>
        </w:tcBorders>
        <w:shd w:val="clear" w:color="auto" w:fill="76923C" w:themeFill="accent3" w:themeFillShade="BF"/>
      </w:tcPr>
    </w:tblStylePr>
    <w:tblStylePr w:type="band1Horz">
      <w:tblPr/>
      <w:trPr>
        <w:hidden/>
      </w:tr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2D66D8"/>
    <w:rPr>
      <w:color w:val="FFFFFF" w:themeColor="background1"/>
    </w:rPr>
    <w:tblPr>
      <w:tblStyleRowBandSize w:val="1"/>
      <w:tblStyleColBandSize w:val="1"/>
    </w:tblPr>
    <w:trPr>
      <w:hidden/>
    </w:trPr>
    <w:tcPr>
      <w:shd w:val="clear" w:color="auto" w:fill="8064A2" w:themeFill="accent4"/>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rPr>
        <w:hidden/>
      </w:trPr>
      <w:tcPr>
        <w:tcBorders>
          <w:top w:val="nil"/>
          <w:left w:val="nil"/>
          <w:bottom w:val="nil"/>
          <w:right w:val="nil"/>
          <w:insideH w:val="nil"/>
          <w:insideV w:val="nil"/>
        </w:tcBorders>
        <w:shd w:val="clear" w:color="auto" w:fill="5F497A" w:themeFill="accent4" w:themeFillShade="BF"/>
      </w:tcPr>
    </w:tblStylePr>
    <w:tblStylePr w:type="band1Horz">
      <w:tblPr/>
      <w:trPr>
        <w:hidden/>
      </w:tr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2D66D8"/>
    <w:rPr>
      <w:color w:val="FFFFFF" w:themeColor="background1"/>
    </w:rPr>
    <w:tblPr>
      <w:tblStyleRowBandSize w:val="1"/>
      <w:tblStyleColBandSize w:val="1"/>
    </w:tblPr>
    <w:trPr>
      <w:hidden/>
    </w:trPr>
    <w:tcPr>
      <w:shd w:val="clear" w:color="auto" w:fill="4BACC6" w:themeFill="accent5"/>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rPr>
        <w:hidden/>
      </w:trPr>
      <w:tcPr>
        <w:tcBorders>
          <w:top w:val="nil"/>
          <w:left w:val="nil"/>
          <w:bottom w:val="nil"/>
          <w:right w:val="nil"/>
          <w:insideH w:val="nil"/>
          <w:insideV w:val="nil"/>
        </w:tcBorders>
        <w:shd w:val="clear" w:color="auto" w:fill="31849B" w:themeFill="accent5" w:themeFillShade="BF"/>
      </w:tcPr>
    </w:tblStylePr>
    <w:tblStylePr w:type="band1Horz">
      <w:tblPr/>
      <w:trPr>
        <w:hidden/>
      </w:tr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2D66D8"/>
    <w:rPr>
      <w:color w:val="FFFFFF" w:themeColor="background1"/>
    </w:rPr>
    <w:tblPr>
      <w:tblStyleRowBandSize w:val="1"/>
      <w:tblStyleColBandSize w:val="1"/>
    </w:tblPr>
    <w:trPr>
      <w:hidden/>
    </w:trPr>
    <w:tcPr>
      <w:shd w:val="clear" w:color="auto" w:fill="F79646" w:themeFill="accent6"/>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rPr>
        <w:hidden/>
      </w:trPr>
      <w:tcPr>
        <w:tcBorders>
          <w:top w:val="nil"/>
          <w:left w:val="nil"/>
          <w:bottom w:val="nil"/>
          <w:right w:val="nil"/>
          <w:insideH w:val="nil"/>
          <w:insideV w:val="nil"/>
        </w:tcBorders>
        <w:shd w:val="clear" w:color="auto" w:fill="E36C0A" w:themeFill="accent6" w:themeFillShade="BF"/>
      </w:tcPr>
    </w:tblStylePr>
    <w:tblStylePr w:type="band1Horz">
      <w:tblPr/>
      <w:trPr>
        <w:hidden/>
      </w:trPr>
      <w:tcPr>
        <w:tcBorders>
          <w:top w:val="nil"/>
          <w:left w:val="nil"/>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semiHidden/>
    <w:unhideWhenUsed/>
    <w:rsid w:val="002D66D8"/>
  </w:style>
  <w:style w:type="character" w:customStyle="1" w:styleId="EmailSignatureChar">
    <w:name w:val="Email Signature Char"/>
    <w:basedOn w:val="DefaultParagraphFont"/>
    <w:link w:val="EmailSignature"/>
    <w:semiHidden/>
    <w:rsid w:val="002D66D8"/>
    <w:rPr>
      <w:rFonts w:eastAsia="Calibri" w:cs="Cordia New"/>
      <w:sz w:val="24"/>
      <w:szCs w:val="22"/>
    </w:rPr>
  </w:style>
  <w:style w:type="character" w:styleId="EndnoteReference">
    <w:name w:val="endnote reference"/>
    <w:basedOn w:val="DefaultParagraphFont"/>
    <w:semiHidden/>
    <w:unhideWhenUsed/>
    <w:rsid w:val="002D66D8"/>
    <w:rPr>
      <w:vertAlign w:val="superscript"/>
    </w:rPr>
  </w:style>
  <w:style w:type="paragraph" w:styleId="EnvelopeAddress">
    <w:name w:val="envelope address"/>
    <w:basedOn w:val="Normal"/>
    <w:semiHidden/>
    <w:unhideWhenUsed/>
    <w:rsid w:val="002D66D8"/>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semiHidden/>
    <w:unhideWhenUsed/>
    <w:rsid w:val="002D66D8"/>
    <w:rPr>
      <w:rFonts w:asciiTheme="majorHAnsi" w:eastAsiaTheme="majorEastAsia" w:hAnsiTheme="majorHAnsi" w:cstheme="majorBidi"/>
      <w:sz w:val="20"/>
      <w:szCs w:val="20"/>
    </w:rPr>
  </w:style>
  <w:style w:type="character" w:styleId="FootnoteReference">
    <w:name w:val="footnote reference"/>
    <w:basedOn w:val="DefaultParagraphFont"/>
    <w:semiHidden/>
    <w:unhideWhenUsed/>
    <w:rsid w:val="002D66D8"/>
    <w:rPr>
      <w:vertAlign w:val="superscript"/>
    </w:rPr>
  </w:style>
  <w:style w:type="character" w:styleId="HTMLAcronym">
    <w:name w:val="HTML Acronym"/>
    <w:basedOn w:val="DefaultParagraphFont"/>
    <w:semiHidden/>
    <w:unhideWhenUsed/>
    <w:rsid w:val="002D66D8"/>
  </w:style>
  <w:style w:type="paragraph" w:styleId="HTMLAddress">
    <w:name w:val="HTML Address"/>
    <w:basedOn w:val="Normal"/>
    <w:link w:val="HTMLAddressChar"/>
    <w:semiHidden/>
    <w:unhideWhenUsed/>
    <w:rsid w:val="002D66D8"/>
    <w:rPr>
      <w:i/>
      <w:iCs/>
    </w:rPr>
  </w:style>
  <w:style w:type="character" w:customStyle="1" w:styleId="HTMLAddressChar">
    <w:name w:val="HTML Address Char"/>
    <w:basedOn w:val="DefaultParagraphFont"/>
    <w:link w:val="HTMLAddress"/>
    <w:semiHidden/>
    <w:rsid w:val="002D66D8"/>
    <w:rPr>
      <w:rFonts w:eastAsia="Calibri" w:cs="Cordia New"/>
      <w:i/>
      <w:iCs/>
      <w:sz w:val="24"/>
      <w:szCs w:val="22"/>
    </w:rPr>
  </w:style>
  <w:style w:type="character" w:styleId="HTMLCite">
    <w:name w:val="HTML Cite"/>
    <w:basedOn w:val="DefaultParagraphFont"/>
    <w:semiHidden/>
    <w:unhideWhenUsed/>
    <w:rsid w:val="002D66D8"/>
    <w:rPr>
      <w:i/>
      <w:iCs/>
    </w:rPr>
  </w:style>
  <w:style w:type="character" w:styleId="HTMLCode">
    <w:name w:val="HTML Code"/>
    <w:basedOn w:val="DefaultParagraphFont"/>
    <w:uiPriority w:val="99"/>
    <w:semiHidden/>
    <w:unhideWhenUsed/>
    <w:rsid w:val="002D66D8"/>
    <w:rPr>
      <w:rFonts w:ascii="Consolas" w:hAnsi="Consolas" w:cs="Consolas"/>
      <w:sz w:val="20"/>
      <w:szCs w:val="20"/>
    </w:rPr>
  </w:style>
  <w:style w:type="character" w:styleId="HTMLDefinition">
    <w:name w:val="HTML Definition"/>
    <w:basedOn w:val="DefaultParagraphFont"/>
    <w:semiHidden/>
    <w:unhideWhenUsed/>
    <w:rsid w:val="002D66D8"/>
    <w:rPr>
      <w:i/>
      <w:iCs/>
    </w:rPr>
  </w:style>
  <w:style w:type="character" w:styleId="HTMLKeyboard">
    <w:name w:val="HTML Keyboard"/>
    <w:basedOn w:val="DefaultParagraphFont"/>
    <w:semiHidden/>
    <w:unhideWhenUsed/>
    <w:rsid w:val="002D66D8"/>
    <w:rPr>
      <w:rFonts w:ascii="Consolas" w:hAnsi="Consolas" w:cs="Consolas"/>
      <w:sz w:val="20"/>
      <w:szCs w:val="20"/>
    </w:rPr>
  </w:style>
  <w:style w:type="paragraph" w:styleId="HTMLPreformatted">
    <w:name w:val="HTML Preformatted"/>
    <w:basedOn w:val="Normal"/>
    <w:link w:val="HTMLPreformattedChar"/>
    <w:semiHidden/>
    <w:unhideWhenUsed/>
    <w:rsid w:val="002D66D8"/>
    <w:rPr>
      <w:rFonts w:ascii="Consolas" w:hAnsi="Consolas" w:cs="Consolas"/>
      <w:sz w:val="20"/>
      <w:szCs w:val="20"/>
    </w:rPr>
  </w:style>
  <w:style w:type="character" w:customStyle="1" w:styleId="HTMLPreformattedChar">
    <w:name w:val="HTML Preformatted Char"/>
    <w:basedOn w:val="DefaultParagraphFont"/>
    <w:link w:val="HTMLPreformatted"/>
    <w:semiHidden/>
    <w:rsid w:val="002D66D8"/>
    <w:rPr>
      <w:rFonts w:ascii="Consolas" w:eastAsia="Calibri" w:hAnsi="Consolas" w:cs="Consolas"/>
    </w:rPr>
  </w:style>
  <w:style w:type="character" w:styleId="HTMLSample">
    <w:name w:val="HTML Sample"/>
    <w:basedOn w:val="DefaultParagraphFont"/>
    <w:semiHidden/>
    <w:unhideWhenUsed/>
    <w:rsid w:val="002D66D8"/>
    <w:rPr>
      <w:rFonts w:ascii="Consolas" w:hAnsi="Consolas" w:cs="Consolas"/>
      <w:sz w:val="24"/>
      <w:szCs w:val="24"/>
    </w:rPr>
  </w:style>
  <w:style w:type="character" w:styleId="HTMLVariable">
    <w:name w:val="HTML Variable"/>
    <w:basedOn w:val="DefaultParagraphFont"/>
    <w:semiHidden/>
    <w:unhideWhenUsed/>
    <w:rsid w:val="002D66D8"/>
    <w:rPr>
      <w:i/>
      <w:iCs/>
    </w:rPr>
  </w:style>
  <w:style w:type="paragraph" w:styleId="Index1">
    <w:name w:val="index 1"/>
    <w:basedOn w:val="Normal"/>
    <w:next w:val="Normal"/>
    <w:autoRedefine/>
    <w:semiHidden/>
    <w:unhideWhenUsed/>
    <w:rsid w:val="002D66D8"/>
    <w:pPr>
      <w:ind w:left="240" w:hanging="240"/>
    </w:pPr>
  </w:style>
  <w:style w:type="paragraph" w:styleId="Index2">
    <w:name w:val="index 2"/>
    <w:basedOn w:val="Normal"/>
    <w:next w:val="Normal"/>
    <w:autoRedefine/>
    <w:semiHidden/>
    <w:unhideWhenUsed/>
    <w:rsid w:val="002D66D8"/>
    <w:pPr>
      <w:ind w:left="480" w:hanging="240"/>
    </w:pPr>
  </w:style>
  <w:style w:type="paragraph" w:styleId="Index3">
    <w:name w:val="index 3"/>
    <w:basedOn w:val="Normal"/>
    <w:next w:val="Normal"/>
    <w:autoRedefine/>
    <w:semiHidden/>
    <w:unhideWhenUsed/>
    <w:rsid w:val="002D66D8"/>
    <w:pPr>
      <w:ind w:left="720" w:hanging="240"/>
    </w:pPr>
  </w:style>
  <w:style w:type="paragraph" w:styleId="Index4">
    <w:name w:val="index 4"/>
    <w:basedOn w:val="Normal"/>
    <w:next w:val="Normal"/>
    <w:autoRedefine/>
    <w:semiHidden/>
    <w:unhideWhenUsed/>
    <w:rsid w:val="002D66D8"/>
    <w:pPr>
      <w:ind w:left="960" w:hanging="240"/>
    </w:pPr>
  </w:style>
  <w:style w:type="paragraph" w:styleId="Index5">
    <w:name w:val="index 5"/>
    <w:basedOn w:val="Normal"/>
    <w:next w:val="Normal"/>
    <w:autoRedefine/>
    <w:semiHidden/>
    <w:unhideWhenUsed/>
    <w:rsid w:val="002D66D8"/>
    <w:pPr>
      <w:ind w:left="1200" w:hanging="240"/>
    </w:pPr>
  </w:style>
  <w:style w:type="paragraph" w:styleId="Index6">
    <w:name w:val="index 6"/>
    <w:basedOn w:val="Normal"/>
    <w:next w:val="Normal"/>
    <w:autoRedefine/>
    <w:semiHidden/>
    <w:unhideWhenUsed/>
    <w:rsid w:val="002D66D8"/>
    <w:pPr>
      <w:ind w:left="1440" w:hanging="240"/>
    </w:pPr>
  </w:style>
  <w:style w:type="paragraph" w:styleId="Index7">
    <w:name w:val="index 7"/>
    <w:basedOn w:val="Normal"/>
    <w:next w:val="Normal"/>
    <w:autoRedefine/>
    <w:semiHidden/>
    <w:unhideWhenUsed/>
    <w:rsid w:val="002D66D8"/>
    <w:pPr>
      <w:ind w:left="1680" w:hanging="240"/>
    </w:pPr>
  </w:style>
  <w:style w:type="paragraph" w:styleId="Index8">
    <w:name w:val="index 8"/>
    <w:basedOn w:val="Normal"/>
    <w:next w:val="Normal"/>
    <w:autoRedefine/>
    <w:semiHidden/>
    <w:unhideWhenUsed/>
    <w:rsid w:val="002D66D8"/>
    <w:pPr>
      <w:ind w:left="1920" w:hanging="240"/>
    </w:pPr>
  </w:style>
  <w:style w:type="paragraph" w:styleId="Index9">
    <w:name w:val="index 9"/>
    <w:basedOn w:val="Normal"/>
    <w:next w:val="Normal"/>
    <w:autoRedefine/>
    <w:semiHidden/>
    <w:unhideWhenUsed/>
    <w:rsid w:val="002D66D8"/>
    <w:pPr>
      <w:ind w:left="2160" w:hanging="240"/>
    </w:pPr>
  </w:style>
  <w:style w:type="paragraph" w:styleId="IndexHeading">
    <w:name w:val="index heading"/>
    <w:basedOn w:val="Normal"/>
    <w:next w:val="Index1"/>
    <w:semiHidden/>
    <w:unhideWhenUsed/>
    <w:rsid w:val="002D66D8"/>
    <w:rPr>
      <w:rFonts w:asciiTheme="majorHAnsi" w:eastAsiaTheme="majorEastAsia" w:hAnsiTheme="majorHAnsi" w:cstheme="majorBidi"/>
      <w:b/>
      <w:bCs/>
    </w:rPr>
  </w:style>
  <w:style w:type="table" w:styleId="LightGrid">
    <w:name w:val="Light Grid"/>
    <w:basedOn w:val="TableNormal"/>
    <w:uiPriority w:val="62"/>
    <w:rsid w:val="002D66D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D66D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2D66D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2D66D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2D66D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2D66D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2D66D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2D66D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pPr>
        <w:spacing w:before="0" w:after="0" w:line="240" w:lineRule="auto"/>
      </w:pPr>
      <w:rPr>
        <w:b/>
        <w:bCs/>
        <w:color w:val="FFFFFF" w:themeColor="background1"/>
      </w:rPr>
      <w:tblPr/>
      <w:trPr>
        <w:hidden/>
      </w:trPr>
      <w:tcPr>
        <w:shd w:val="clear" w:color="auto" w:fill="000000" w:themeFill="text1"/>
      </w:tcPr>
    </w:tblStylePr>
    <w:tblStylePr w:type="lastRow">
      <w:pPr>
        <w:spacing w:before="0" w:after="0" w:line="240" w:lineRule="auto"/>
      </w:pPr>
      <w:rPr>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D66D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pPr>
        <w:spacing w:before="0" w:after="0" w:line="240" w:lineRule="auto"/>
      </w:pPr>
      <w:rPr>
        <w:b/>
        <w:bCs/>
        <w:color w:val="FFFFFF" w:themeColor="background1"/>
      </w:rPr>
      <w:tblPr/>
      <w:trPr>
        <w:hidden/>
      </w:trPr>
      <w:tcPr>
        <w:shd w:val="clear" w:color="auto" w:fill="4F81BD" w:themeFill="accent1"/>
      </w:tcPr>
    </w:tblStylePr>
    <w:tblStylePr w:type="lastRow">
      <w:pPr>
        <w:spacing w:before="0" w:after="0" w:line="240" w:lineRule="auto"/>
      </w:pPr>
      <w:rPr>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2D66D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pPr>
        <w:spacing w:before="0" w:after="0" w:line="240" w:lineRule="auto"/>
      </w:pPr>
      <w:rPr>
        <w:b/>
        <w:bCs/>
        <w:color w:val="FFFFFF" w:themeColor="background1"/>
      </w:rPr>
      <w:tblPr/>
      <w:trPr>
        <w:hidden/>
      </w:trPr>
      <w:tcPr>
        <w:shd w:val="clear" w:color="auto" w:fill="C0504D" w:themeFill="accent2"/>
      </w:tcPr>
    </w:tblStylePr>
    <w:tblStylePr w:type="lastRow">
      <w:pPr>
        <w:spacing w:before="0" w:after="0" w:line="240" w:lineRule="auto"/>
      </w:pPr>
      <w:rPr>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2D66D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pPr>
        <w:spacing w:before="0" w:after="0" w:line="240" w:lineRule="auto"/>
      </w:pPr>
      <w:rPr>
        <w:b/>
        <w:bCs/>
        <w:color w:val="FFFFFF" w:themeColor="background1"/>
      </w:rPr>
      <w:tblPr/>
      <w:trPr>
        <w:hidden/>
      </w:trPr>
      <w:tcPr>
        <w:shd w:val="clear" w:color="auto" w:fill="9BBB59" w:themeFill="accent3"/>
      </w:tcPr>
    </w:tblStylePr>
    <w:tblStylePr w:type="lastRow">
      <w:pPr>
        <w:spacing w:before="0" w:after="0" w:line="240" w:lineRule="auto"/>
      </w:pPr>
      <w:rPr>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2D66D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pPr>
        <w:spacing w:before="0" w:after="0" w:line="240" w:lineRule="auto"/>
      </w:pPr>
      <w:rPr>
        <w:b/>
        <w:bCs/>
        <w:color w:val="FFFFFF" w:themeColor="background1"/>
      </w:rPr>
      <w:tblPr/>
      <w:trPr>
        <w:hidden/>
      </w:trPr>
      <w:tcPr>
        <w:shd w:val="clear" w:color="auto" w:fill="8064A2" w:themeFill="accent4"/>
      </w:tcPr>
    </w:tblStylePr>
    <w:tblStylePr w:type="lastRow">
      <w:pPr>
        <w:spacing w:before="0" w:after="0" w:line="240" w:lineRule="auto"/>
      </w:pPr>
      <w:rPr>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2D66D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pPr>
        <w:spacing w:before="0" w:after="0" w:line="240" w:lineRule="auto"/>
      </w:pPr>
      <w:rPr>
        <w:b/>
        <w:bCs/>
        <w:color w:val="FFFFFF" w:themeColor="background1"/>
      </w:rPr>
      <w:tblPr/>
      <w:trPr>
        <w:hidden/>
      </w:trPr>
      <w:tcPr>
        <w:shd w:val="clear" w:color="auto" w:fill="4BACC6" w:themeFill="accent5"/>
      </w:tcPr>
    </w:tblStylePr>
    <w:tblStylePr w:type="lastRow">
      <w:pPr>
        <w:spacing w:before="0" w:after="0" w:line="240" w:lineRule="auto"/>
      </w:pPr>
      <w:rPr>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2D66D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pPr>
        <w:spacing w:before="0" w:after="0" w:line="240" w:lineRule="auto"/>
      </w:pPr>
      <w:rPr>
        <w:b/>
        <w:bCs/>
        <w:color w:val="FFFFFF" w:themeColor="background1"/>
      </w:rPr>
      <w:tblPr/>
      <w:trPr>
        <w:hidden/>
      </w:trPr>
      <w:tcPr>
        <w:shd w:val="clear" w:color="auto" w:fill="F79646" w:themeFill="accent6"/>
      </w:tcPr>
    </w:tblStylePr>
    <w:tblStylePr w:type="lastRow">
      <w:pPr>
        <w:spacing w:before="0" w:after="0" w:line="240" w:lineRule="auto"/>
      </w:pPr>
      <w:rPr>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2D66D8"/>
    <w:rPr>
      <w:color w:val="000000" w:themeColor="text1" w:themeShade="BF"/>
    </w:rPr>
    <w:tblPr>
      <w:tblStyleRowBandSize w:val="1"/>
      <w:tblStyleColBandSize w:val="1"/>
      <w:tblBorders>
        <w:top w:val="single" w:sz="8" w:space="0" w:color="000000" w:themeColor="text1"/>
        <w:bottom w:val="single" w:sz="8" w:space="0" w:color="000000" w:themeColor="text1"/>
      </w:tblBorders>
    </w:tblPr>
    <w:trPr>
      <w:hidden/>
    </w:trPr>
    <w:tblStylePr w:type="fir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D66D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rPr>
      <w:hidden/>
    </w:trPr>
    <w:tblStylePr w:type="fir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2D66D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rPr>
      <w:hidden/>
    </w:trPr>
    <w:tblStylePr w:type="fir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2D66D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rPr>
      <w:hidden/>
    </w:trPr>
    <w:tblStylePr w:type="fir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2D66D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rPr>
      <w:hidden/>
    </w:trPr>
    <w:tblStylePr w:type="fir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2D66D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rPr>
      <w:hidden/>
    </w:trPr>
    <w:tblStylePr w:type="fir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2D66D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rPr>
      <w:hidden/>
    </w:trPr>
    <w:tblStylePr w:type="fir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2D66D8"/>
  </w:style>
  <w:style w:type="paragraph" w:styleId="List">
    <w:name w:val="List"/>
    <w:basedOn w:val="Normal"/>
    <w:semiHidden/>
    <w:unhideWhenUsed/>
    <w:rsid w:val="002D66D8"/>
    <w:pPr>
      <w:ind w:left="360" w:hanging="360"/>
      <w:contextualSpacing/>
    </w:pPr>
  </w:style>
  <w:style w:type="paragraph" w:styleId="List2">
    <w:name w:val="List 2"/>
    <w:basedOn w:val="Normal"/>
    <w:semiHidden/>
    <w:unhideWhenUsed/>
    <w:rsid w:val="002D66D8"/>
    <w:pPr>
      <w:ind w:left="720" w:hanging="360"/>
      <w:contextualSpacing/>
    </w:pPr>
  </w:style>
  <w:style w:type="paragraph" w:styleId="List3">
    <w:name w:val="List 3"/>
    <w:basedOn w:val="Normal"/>
    <w:semiHidden/>
    <w:unhideWhenUsed/>
    <w:rsid w:val="002D66D8"/>
    <w:pPr>
      <w:ind w:left="1080" w:hanging="360"/>
      <w:contextualSpacing/>
    </w:pPr>
  </w:style>
  <w:style w:type="paragraph" w:styleId="ListBullet3">
    <w:name w:val="List Bullet 3"/>
    <w:basedOn w:val="Normal"/>
    <w:semiHidden/>
    <w:unhideWhenUsed/>
    <w:rsid w:val="002D66D8"/>
    <w:pPr>
      <w:numPr>
        <w:numId w:val="7"/>
      </w:numPr>
      <w:contextualSpacing/>
    </w:pPr>
  </w:style>
  <w:style w:type="paragraph" w:styleId="ListBullet4">
    <w:name w:val="List Bullet 4"/>
    <w:basedOn w:val="Normal"/>
    <w:semiHidden/>
    <w:unhideWhenUsed/>
    <w:rsid w:val="002D66D8"/>
    <w:pPr>
      <w:numPr>
        <w:numId w:val="8"/>
      </w:numPr>
      <w:contextualSpacing/>
    </w:pPr>
  </w:style>
  <w:style w:type="paragraph" w:styleId="ListBullet5">
    <w:name w:val="List Bullet 5"/>
    <w:basedOn w:val="Normal"/>
    <w:semiHidden/>
    <w:unhideWhenUsed/>
    <w:rsid w:val="002D66D8"/>
    <w:pPr>
      <w:numPr>
        <w:numId w:val="9"/>
      </w:numPr>
      <w:contextualSpacing/>
    </w:pPr>
  </w:style>
  <w:style w:type="paragraph" w:styleId="ListContinue">
    <w:name w:val="List Continue"/>
    <w:basedOn w:val="Normal"/>
    <w:semiHidden/>
    <w:unhideWhenUsed/>
    <w:rsid w:val="002D66D8"/>
    <w:pPr>
      <w:ind w:left="360"/>
      <w:contextualSpacing/>
    </w:pPr>
  </w:style>
  <w:style w:type="paragraph" w:styleId="ListContinue2">
    <w:name w:val="List Continue 2"/>
    <w:basedOn w:val="Normal"/>
    <w:semiHidden/>
    <w:unhideWhenUsed/>
    <w:rsid w:val="002D66D8"/>
    <w:pPr>
      <w:ind w:left="720"/>
      <w:contextualSpacing/>
    </w:pPr>
  </w:style>
  <w:style w:type="paragraph" w:styleId="ListContinue3">
    <w:name w:val="List Continue 3"/>
    <w:basedOn w:val="Normal"/>
    <w:semiHidden/>
    <w:unhideWhenUsed/>
    <w:rsid w:val="002D66D8"/>
    <w:pPr>
      <w:ind w:left="1080"/>
      <w:contextualSpacing/>
    </w:pPr>
  </w:style>
  <w:style w:type="paragraph" w:styleId="ListContinue4">
    <w:name w:val="List Continue 4"/>
    <w:basedOn w:val="Normal"/>
    <w:semiHidden/>
    <w:unhideWhenUsed/>
    <w:rsid w:val="002D66D8"/>
    <w:pPr>
      <w:ind w:left="1440"/>
      <w:contextualSpacing/>
    </w:pPr>
  </w:style>
  <w:style w:type="paragraph" w:styleId="ListContinue5">
    <w:name w:val="List Continue 5"/>
    <w:basedOn w:val="Normal"/>
    <w:semiHidden/>
    <w:unhideWhenUsed/>
    <w:rsid w:val="002D66D8"/>
    <w:pPr>
      <w:ind w:left="1800"/>
      <w:contextualSpacing/>
    </w:pPr>
  </w:style>
  <w:style w:type="paragraph" w:styleId="ListNumber2">
    <w:name w:val="List Number 2"/>
    <w:basedOn w:val="Normal"/>
    <w:semiHidden/>
    <w:unhideWhenUsed/>
    <w:rsid w:val="002D66D8"/>
    <w:pPr>
      <w:numPr>
        <w:numId w:val="11"/>
      </w:numPr>
      <w:contextualSpacing/>
    </w:pPr>
  </w:style>
  <w:style w:type="paragraph" w:styleId="ListNumber3">
    <w:name w:val="List Number 3"/>
    <w:basedOn w:val="Normal"/>
    <w:semiHidden/>
    <w:unhideWhenUsed/>
    <w:rsid w:val="002D66D8"/>
    <w:pPr>
      <w:numPr>
        <w:numId w:val="12"/>
      </w:numPr>
      <w:contextualSpacing/>
    </w:pPr>
  </w:style>
  <w:style w:type="paragraph" w:styleId="ListNumber4">
    <w:name w:val="List Number 4"/>
    <w:basedOn w:val="Normal"/>
    <w:semiHidden/>
    <w:unhideWhenUsed/>
    <w:rsid w:val="002D66D8"/>
    <w:pPr>
      <w:numPr>
        <w:numId w:val="13"/>
      </w:numPr>
      <w:contextualSpacing/>
    </w:pPr>
  </w:style>
  <w:style w:type="paragraph" w:styleId="ListNumber5">
    <w:name w:val="List Number 5"/>
    <w:basedOn w:val="Normal"/>
    <w:semiHidden/>
    <w:unhideWhenUsed/>
    <w:rsid w:val="002D66D8"/>
    <w:pPr>
      <w:numPr>
        <w:numId w:val="14"/>
      </w:numPr>
      <w:contextualSpacing/>
    </w:pPr>
  </w:style>
  <w:style w:type="paragraph" w:styleId="MacroText">
    <w:name w:val="macro"/>
    <w:link w:val="MacroTextChar"/>
    <w:semiHidden/>
    <w:unhideWhenUsed/>
    <w:rsid w:val="002D66D8"/>
    <w:pPr>
      <w:tabs>
        <w:tab w:val="left" w:pos="480"/>
        <w:tab w:val="left" w:pos="960"/>
        <w:tab w:val="left" w:pos="1440"/>
        <w:tab w:val="left" w:pos="1920"/>
        <w:tab w:val="left" w:pos="2400"/>
        <w:tab w:val="left" w:pos="2880"/>
        <w:tab w:val="left" w:pos="3360"/>
        <w:tab w:val="left" w:pos="3840"/>
        <w:tab w:val="left" w:pos="4320"/>
      </w:tabs>
      <w:spacing w:before="120" w:line="280" w:lineRule="atLeast"/>
    </w:pPr>
    <w:rPr>
      <w:rFonts w:ascii="Consolas" w:eastAsia="Calibri" w:hAnsi="Consolas" w:cs="Consolas"/>
    </w:rPr>
  </w:style>
  <w:style w:type="character" w:customStyle="1" w:styleId="MacroTextChar">
    <w:name w:val="Macro Text Char"/>
    <w:basedOn w:val="DefaultParagraphFont"/>
    <w:link w:val="MacroText"/>
    <w:semiHidden/>
    <w:rsid w:val="002D66D8"/>
    <w:rPr>
      <w:rFonts w:ascii="Consolas" w:eastAsia="Calibri" w:hAnsi="Consolas" w:cs="Consolas"/>
    </w:rPr>
  </w:style>
  <w:style w:type="table" w:styleId="MediumGrid1">
    <w:name w:val="Medium Grid 1"/>
    <w:basedOn w:val="TableNormal"/>
    <w:uiPriority w:val="67"/>
    <w:rsid w:val="002D66D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rPr>
      <w:hidden/>
    </w:trPr>
    <w:tcPr>
      <w:shd w:val="clear" w:color="auto" w:fill="C0C0C0" w:themeFill="text1" w:themeFillTint="3F"/>
    </w:tcPr>
    <w:tblStylePr w:type="firstRow">
      <w:rPr>
        <w:b/>
        <w:bCs/>
      </w:rPr>
    </w:tblStylePr>
    <w:tblStylePr w:type="lastRow">
      <w:rPr>
        <w:b/>
        <w:bCs/>
      </w:rPr>
      <w:tblPr/>
      <w:trPr>
        <w:hidden/>
      </w:trPr>
      <w:tcPr>
        <w:tcBorders>
          <w:top w:val="single" w:sz="18" w:space="0" w:color="404040" w:themeColor="text1" w:themeTint="BF"/>
        </w:tcBorders>
      </w:tcPr>
    </w:tblStylePr>
    <w:tblStylePr w:type="firstCol">
      <w:rPr>
        <w:b/>
        <w:bCs/>
      </w:rPr>
    </w:tblStylePr>
    <w:tblStylePr w:type="lastCol">
      <w:rPr>
        <w:b/>
        <w:bCs/>
      </w:r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MediumGrid1-Accent1">
    <w:name w:val="Medium Grid 1 Accent 1"/>
    <w:basedOn w:val="TableNormal"/>
    <w:uiPriority w:val="67"/>
    <w:rsid w:val="002D66D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rPr>
      <w:hidden/>
    </w:trPr>
    <w:tcPr>
      <w:shd w:val="clear" w:color="auto" w:fill="D3DFEE" w:themeFill="accent1" w:themeFillTint="3F"/>
    </w:tcPr>
    <w:tblStylePr w:type="firstRow">
      <w:rPr>
        <w:b/>
        <w:bCs/>
      </w:rPr>
    </w:tblStylePr>
    <w:tblStylePr w:type="lastRow">
      <w:rPr>
        <w:b/>
        <w:bCs/>
      </w:rPr>
      <w:tblPr/>
      <w:trPr>
        <w:hidden/>
      </w:trPr>
      <w:tcPr>
        <w:tcBorders>
          <w:top w:val="single" w:sz="18" w:space="0" w:color="7BA0CD" w:themeColor="accent1" w:themeTint="BF"/>
        </w:tcBorders>
      </w:tcPr>
    </w:tblStylePr>
    <w:tblStylePr w:type="firstCol">
      <w:rPr>
        <w:b/>
        <w:bCs/>
      </w:rPr>
    </w:tblStylePr>
    <w:tblStylePr w:type="lastCol">
      <w:rPr>
        <w:b/>
        <w:bCs/>
      </w:r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MediumGrid1-Accent2">
    <w:name w:val="Medium Grid 1 Accent 2"/>
    <w:basedOn w:val="TableNormal"/>
    <w:uiPriority w:val="67"/>
    <w:rsid w:val="002D66D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rPr>
      <w:hidden/>
    </w:trPr>
    <w:tcPr>
      <w:shd w:val="clear" w:color="auto" w:fill="EFD3D2" w:themeFill="accent2" w:themeFillTint="3F"/>
    </w:tcPr>
    <w:tblStylePr w:type="firstRow">
      <w:rPr>
        <w:b/>
        <w:bCs/>
      </w:rPr>
    </w:tblStylePr>
    <w:tblStylePr w:type="lastRow">
      <w:rPr>
        <w:b/>
        <w:bCs/>
      </w:rPr>
      <w:tblPr/>
      <w:trPr>
        <w:hidden/>
      </w:trPr>
      <w:tcPr>
        <w:tcBorders>
          <w:top w:val="single" w:sz="18" w:space="0" w:color="CF7B79" w:themeColor="accent2" w:themeTint="BF"/>
        </w:tcBorders>
      </w:tcPr>
    </w:tblStylePr>
    <w:tblStylePr w:type="firstCol">
      <w:rPr>
        <w:b/>
        <w:bCs/>
      </w:rPr>
    </w:tblStylePr>
    <w:tblStylePr w:type="lastCol">
      <w:rPr>
        <w:b/>
        <w:bCs/>
      </w:r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MediumGrid1-Accent3">
    <w:name w:val="Medium Grid 1 Accent 3"/>
    <w:basedOn w:val="TableNormal"/>
    <w:uiPriority w:val="67"/>
    <w:rsid w:val="002D66D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rPr>
      <w:hidden/>
    </w:trPr>
    <w:tcPr>
      <w:shd w:val="clear" w:color="auto" w:fill="E6EED5" w:themeFill="accent3" w:themeFillTint="3F"/>
    </w:tcPr>
    <w:tblStylePr w:type="firstRow">
      <w:rPr>
        <w:b/>
        <w:bCs/>
      </w:rPr>
    </w:tblStylePr>
    <w:tblStylePr w:type="lastRow">
      <w:rPr>
        <w:b/>
        <w:bCs/>
      </w:rPr>
      <w:tblPr/>
      <w:trPr>
        <w:hidden/>
      </w:trPr>
      <w:tcPr>
        <w:tcBorders>
          <w:top w:val="single" w:sz="18" w:space="0" w:color="B3CC82" w:themeColor="accent3" w:themeTint="BF"/>
        </w:tcBorders>
      </w:tcPr>
    </w:tblStylePr>
    <w:tblStylePr w:type="firstCol">
      <w:rPr>
        <w:b/>
        <w:bCs/>
      </w:rPr>
    </w:tblStylePr>
    <w:tblStylePr w:type="lastCol">
      <w:rPr>
        <w:b/>
        <w:bCs/>
      </w:r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MediumGrid1-Accent4">
    <w:name w:val="Medium Grid 1 Accent 4"/>
    <w:basedOn w:val="TableNormal"/>
    <w:uiPriority w:val="67"/>
    <w:rsid w:val="002D66D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rPr>
      <w:hidden/>
    </w:trPr>
    <w:tcPr>
      <w:shd w:val="clear" w:color="auto" w:fill="DFD8E8" w:themeFill="accent4" w:themeFillTint="3F"/>
    </w:tcPr>
    <w:tblStylePr w:type="firstRow">
      <w:rPr>
        <w:b/>
        <w:bCs/>
      </w:rPr>
    </w:tblStylePr>
    <w:tblStylePr w:type="lastRow">
      <w:rPr>
        <w:b/>
        <w:bCs/>
      </w:rPr>
      <w:tblPr/>
      <w:trPr>
        <w:hidden/>
      </w:trPr>
      <w:tcPr>
        <w:tcBorders>
          <w:top w:val="single" w:sz="18" w:space="0" w:color="9F8AB9" w:themeColor="accent4" w:themeTint="BF"/>
        </w:tcBorders>
      </w:tcPr>
    </w:tblStylePr>
    <w:tblStylePr w:type="firstCol">
      <w:rPr>
        <w:b/>
        <w:bCs/>
      </w:rPr>
    </w:tblStylePr>
    <w:tblStylePr w:type="lastCol">
      <w:rPr>
        <w:b/>
        <w:bCs/>
      </w:r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MediumGrid1-Accent5">
    <w:name w:val="Medium Grid 1 Accent 5"/>
    <w:basedOn w:val="TableNormal"/>
    <w:uiPriority w:val="67"/>
    <w:rsid w:val="002D66D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rPr>
      <w:hidden/>
    </w:trPr>
    <w:tcPr>
      <w:shd w:val="clear" w:color="auto" w:fill="D2EAF1" w:themeFill="accent5" w:themeFillTint="3F"/>
    </w:tcPr>
    <w:tblStylePr w:type="firstRow">
      <w:rPr>
        <w:b/>
        <w:bCs/>
      </w:rPr>
    </w:tblStylePr>
    <w:tblStylePr w:type="lastRow">
      <w:rPr>
        <w:b/>
        <w:bCs/>
      </w:rPr>
      <w:tblPr/>
      <w:trPr>
        <w:hidden/>
      </w:trPr>
      <w:tcPr>
        <w:tcBorders>
          <w:top w:val="single" w:sz="18" w:space="0" w:color="78C0D4" w:themeColor="accent5" w:themeTint="BF"/>
        </w:tcBorders>
      </w:tcPr>
    </w:tblStylePr>
    <w:tblStylePr w:type="firstCol">
      <w:rPr>
        <w:b/>
        <w:bCs/>
      </w:rPr>
    </w:tblStylePr>
    <w:tblStylePr w:type="lastCol">
      <w:rPr>
        <w:b/>
        <w:bCs/>
      </w:r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MediumGrid1-Accent6">
    <w:name w:val="Medium Grid 1 Accent 6"/>
    <w:basedOn w:val="TableNormal"/>
    <w:uiPriority w:val="67"/>
    <w:rsid w:val="002D66D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rPr>
      <w:hidden/>
    </w:trPr>
    <w:tcPr>
      <w:shd w:val="clear" w:color="auto" w:fill="FDE4D0" w:themeFill="accent6" w:themeFillTint="3F"/>
    </w:tcPr>
    <w:tblStylePr w:type="firstRow">
      <w:rPr>
        <w:b/>
        <w:bCs/>
      </w:rPr>
    </w:tblStylePr>
    <w:tblStylePr w:type="lastRow">
      <w:rPr>
        <w:b/>
        <w:bCs/>
      </w:rPr>
      <w:tblPr/>
      <w:trPr>
        <w:hidden/>
      </w:trPr>
      <w:tcPr>
        <w:tcBorders>
          <w:top w:val="single" w:sz="18" w:space="0" w:color="F9B074" w:themeColor="accent6" w:themeTint="BF"/>
        </w:tcBorders>
      </w:tcPr>
    </w:tblStylePr>
    <w:tblStylePr w:type="firstCol">
      <w:rPr>
        <w:b/>
        <w:bCs/>
      </w:rPr>
    </w:tblStylePr>
    <w:tblStylePr w:type="lastCol">
      <w:rPr>
        <w:b/>
        <w:bCs/>
      </w:r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styleId="MediumGrid2">
    <w:name w:val="Medium Grid 2"/>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cPr>
      <w:shd w:val="clear" w:color="auto" w:fill="C0C0C0" w:themeFill="text1" w:themeFillTint="3F"/>
    </w:tcPr>
    <w:tblStylePr w:type="firstRow">
      <w:rPr>
        <w:b/>
        <w:bCs/>
        <w:color w:val="000000" w:themeColor="text1"/>
      </w:rPr>
      <w:tblPr/>
      <w:trPr>
        <w:hidden/>
      </w:trPr>
      <w:tcPr>
        <w:shd w:val="clear" w:color="auto" w:fill="E6E6E6" w:themeFill="tex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CCCCCC" w:themeFill="text1" w:themeFillTint="33"/>
      </w:tcPr>
    </w:tblStylePr>
    <w:tblStylePr w:type="band1Vert">
      <w:tblPr/>
      <w:trPr>
        <w:hidden/>
      </w:trPr>
      <w:tcPr>
        <w:shd w:val="clear" w:color="auto" w:fill="808080" w:themeFill="text1" w:themeFillTint="7F"/>
      </w:tcPr>
    </w:tblStylePr>
    <w:tblStylePr w:type="band1Horz">
      <w:tblPr/>
      <w:trPr>
        <w:hidden/>
      </w:trPr>
      <w:tcPr>
        <w:tcBorders>
          <w:insideH w:val="single" w:sz="6" w:space="0" w:color="000000" w:themeColor="text1"/>
          <w:insideV w:val="single" w:sz="6" w:space="0" w:color="000000" w:themeColor="text1"/>
        </w:tcBorders>
        <w:shd w:val="clear" w:color="auto" w:fill="808080" w:themeFill="text1" w:themeFillTint="7F"/>
      </w:tcPr>
    </w:tblStylePr>
    <w:tblStylePr w:type="nwCell">
      <w:tblPr/>
      <w:trPr>
        <w:hidden/>
      </w:trPr>
      <w:tcPr>
        <w:shd w:val="clear" w:color="auto" w:fill="FFFFFF" w:themeFill="background1"/>
      </w:tcPr>
    </w:tblStylePr>
  </w:style>
  <w:style w:type="table" w:styleId="MediumGrid2-Accent1">
    <w:name w:val="Medium Grid 2 Accent 1"/>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cPr>
      <w:shd w:val="clear" w:color="auto" w:fill="D3DFEE" w:themeFill="accent1" w:themeFillTint="3F"/>
    </w:tcPr>
    <w:tblStylePr w:type="firstRow">
      <w:rPr>
        <w:b/>
        <w:bCs/>
        <w:color w:val="000000" w:themeColor="text1"/>
      </w:rPr>
      <w:tblPr/>
      <w:trPr>
        <w:hidden/>
      </w:trPr>
      <w:tcPr>
        <w:shd w:val="clear" w:color="auto" w:fill="EDF2F8" w:themeFill="accen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BE5F1" w:themeFill="accent1" w:themeFillTint="33"/>
      </w:tcPr>
    </w:tblStylePr>
    <w:tblStylePr w:type="band1Vert">
      <w:tblPr/>
      <w:trPr>
        <w:hidden/>
      </w:trPr>
      <w:tcPr>
        <w:shd w:val="clear" w:color="auto" w:fill="A7BFDE" w:themeFill="accent1" w:themeFillTint="7F"/>
      </w:tcPr>
    </w:tblStylePr>
    <w:tblStylePr w:type="band1Horz">
      <w:tblPr/>
      <w:trPr>
        <w:hidden/>
      </w:tr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rPr>
        <w:hidden/>
      </w:trPr>
      <w:tcPr>
        <w:shd w:val="clear" w:color="auto" w:fill="FFFFFF" w:themeFill="background1"/>
      </w:tcPr>
    </w:tblStylePr>
  </w:style>
  <w:style w:type="table" w:styleId="MediumGrid2-Accent2">
    <w:name w:val="Medium Grid 2 Accent 2"/>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cPr>
      <w:shd w:val="clear" w:color="auto" w:fill="EFD3D2" w:themeFill="accent2" w:themeFillTint="3F"/>
    </w:tcPr>
    <w:tblStylePr w:type="firstRow">
      <w:rPr>
        <w:b/>
        <w:bCs/>
        <w:color w:val="000000" w:themeColor="text1"/>
      </w:rPr>
      <w:tblPr/>
      <w:trPr>
        <w:hidden/>
      </w:trPr>
      <w:tcPr>
        <w:shd w:val="clear" w:color="auto" w:fill="F8EDED" w:themeFill="accent2"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2DBDB" w:themeFill="accent2" w:themeFillTint="33"/>
      </w:tcPr>
    </w:tblStylePr>
    <w:tblStylePr w:type="band1Vert">
      <w:tblPr/>
      <w:trPr>
        <w:hidden/>
      </w:trPr>
      <w:tcPr>
        <w:shd w:val="clear" w:color="auto" w:fill="DFA7A6" w:themeFill="accent2" w:themeFillTint="7F"/>
      </w:tcPr>
    </w:tblStylePr>
    <w:tblStylePr w:type="band1Horz">
      <w:tblPr/>
      <w:trPr>
        <w:hidden/>
      </w:tr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rPr>
        <w:hidden/>
      </w:trPr>
      <w:tcPr>
        <w:shd w:val="clear" w:color="auto" w:fill="FFFFFF" w:themeFill="background1"/>
      </w:tcPr>
    </w:tblStylePr>
  </w:style>
  <w:style w:type="table" w:styleId="MediumGrid2-Accent3">
    <w:name w:val="Medium Grid 2 Accent 3"/>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cPr>
      <w:shd w:val="clear" w:color="auto" w:fill="E6EED5" w:themeFill="accent3" w:themeFillTint="3F"/>
    </w:tcPr>
    <w:tblStylePr w:type="firstRow">
      <w:rPr>
        <w:b/>
        <w:bCs/>
        <w:color w:val="000000" w:themeColor="text1"/>
      </w:rPr>
      <w:tblPr/>
      <w:trPr>
        <w:hidden/>
      </w:trPr>
      <w:tcPr>
        <w:shd w:val="clear" w:color="auto" w:fill="F5F8EE" w:themeFill="accent3"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AF1DD" w:themeFill="accent3" w:themeFillTint="33"/>
      </w:tcPr>
    </w:tblStylePr>
    <w:tblStylePr w:type="band1Vert">
      <w:tblPr/>
      <w:trPr>
        <w:hidden/>
      </w:trPr>
      <w:tcPr>
        <w:shd w:val="clear" w:color="auto" w:fill="CDDDAC" w:themeFill="accent3" w:themeFillTint="7F"/>
      </w:tcPr>
    </w:tblStylePr>
    <w:tblStylePr w:type="band1Horz">
      <w:tblPr/>
      <w:trPr>
        <w:hidden/>
      </w:tr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rPr>
        <w:hidden/>
      </w:trPr>
      <w:tcPr>
        <w:shd w:val="clear" w:color="auto" w:fill="FFFFFF" w:themeFill="background1"/>
      </w:tcPr>
    </w:tblStylePr>
  </w:style>
  <w:style w:type="table" w:styleId="MediumGrid2-Accent4">
    <w:name w:val="Medium Grid 2 Accent 4"/>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cPr>
      <w:shd w:val="clear" w:color="auto" w:fill="DFD8E8" w:themeFill="accent4" w:themeFillTint="3F"/>
    </w:tcPr>
    <w:tblStylePr w:type="firstRow">
      <w:rPr>
        <w:b/>
        <w:bCs/>
        <w:color w:val="000000" w:themeColor="text1"/>
      </w:rPr>
      <w:tblPr/>
      <w:trPr>
        <w:hidden/>
      </w:trPr>
      <w:tcPr>
        <w:shd w:val="clear" w:color="auto" w:fill="F2EFF6" w:themeFill="accent4"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5DFEC" w:themeFill="accent4" w:themeFillTint="33"/>
      </w:tcPr>
    </w:tblStylePr>
    <w:tblStylePr w:type="band1Vert">
      <w:tblPr/>
      <w:trPr>
        <w:hidden/>
      </w:trPr>
      <w:tcPr>
        <w:shd w:val="clear" w:color="auto" w:fill="BFB1D0" w:themeFill="accent4" w:themeFillTint="7F"/>
      </w:tcPr>
    </w:tblStylePr>
    <w:tblStylePr w:type="band1Horz">
      <w:tblPr/>
      <w:trPr>
        <w:hidden/>
      </w:tr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rPr>
        <w:hidden/>
      </w:trPr>
      <w:tcPr>
        <w:shd w:val="clear" w:color="auto" w:fill="FFFFFF" w:themeFill="background1"/>
      </w:tcPr>
    </w:tblStylePr>
  </w:style>
  <w:style w:type="table" w:styleId="MediumGrid2-Accent5">
    <w:name w:val="Medium Grid 2 Accent 5"/>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cPr>
      <w:shd w:val="clear" w:color="auto" w:fill="D2EAF1" w:themeFill="accent5" w:themeFillTint="3F"/>
    </w:tcPr>
    <w:tblStylePr w:type="firstRow">
      <w:rPr>
        <w:b/>
        <w:bCs/>
        <w:color w:val="000000" w:themeColor="text1"/>
      </w:rPr>
      <w:tblPr/>
      <w:trPr>
        <w:hidden/>
      </w:trPr>
      <w:tcPr>
        <w:shd w:val="clear" w:color="auto" w:fill="EDF6F9" w:themeFill="accent5"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AEEF3" w:themeFill="accent5" w:themeFillTint="33"/>
      </w:tcPr>
    </w:tblStylePr>
    <w:tblStylePr w:type="band1Vert">
      <w:tblPr/>
      <w:trPr>
        <w:hidden/>
      </w:trPr>
      <w:tcPr>
        <w:shd w:val="clear" w:color="auto" w:fill="A5D5E2" w:themeFill="accent5" w:themeFillTint="7F"/>
      </w:tcPr>
    </w:tblStylePr>
    <w:tblStylePr w:type="band1Horz">
      <w:tblPr/>
      <w:trPr>
        <w:hidden/>
      </w:tr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rPr>
        <w:hidden/>
      </w:trPr>
      <w:tcPr>
        <w:shd w:val="clear" w:color="auto" w:fill="FFFFFF" w:themeFill="background1"/>
      </w:tcPr>
    </w:tblStylePr>
  </w:style>
  <w:style w:type="table" w:styleId="MediumGrid2-Accent6">
    <w:name w:val="Medium Grid 2 Accent 6"/>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cPr>
      <w:shd w:val="clear" w:color="auto" w:fill="FDE4D0" w:themeFill="accent6" w:themeFillTint="3F"/>
    </w:tcPr>
    <w:tblStylePr w:type="firstRow">
      <w:rPr>
        <w:b/>
        <w:bCs/>
        <w:color w:val="000000" w:themeColor="text1"/>
      </w:rPr>
      <w:tblPr/>
      <w:trPr>
        <w:hidden/>
      </w:trPr>
      <w:tcPr>
        <w:shd w:val="clear" w:color="auto" w:fill="FEF4EC" w:themeFill="accent6"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DE9D9" w:themeFill="accent6" w:themeFillTint="33"/>
      </w:tcPr>
    </w:tblStylePr>
    <w:tblStylePr w:type="band1Vert">
      <w:tblPr/>
      <w:trPr>
        <w:hidden/>
      </w:trPr>
      <w:tcPr>
        <w:shd w:val="clear" w:color="auto" w:fill="FBCAA2" w:themeFill="accent6" w:themeFillTint="7F"/>
      </w:tcPr>
    </w:tblStylePr>
    <w:tblStylePr w:type="band1Horz">
      <w:tblPr/>
      <w:trPr>
        <w:hidden/>
      </w:tr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rPr>
        <w:hidden/>
      </w:trPr>
      <w:tcPr>
        <w:shd w:val="clear" w:color="auto" w:fill="FFFFFF" w:themeFill="background1"/>
      </w:tcPr>
    </w:tblStylePr>
  </w:style>
  <w:style w:type="table" w:styleId="MediumGrid3">
    <w:name w:val="Medium Grid 3"/>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C0C0C0" w:themeFill="tex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3DFEE" w:themeFill="accen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FD3D2" w:themeFill="accent2"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6EED5" w:themeFill="accent3"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FD8E8" w:themeFill="accent4"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2EAF1" w:themeFill="accent5"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FDE4D0" w:themeFill="accent6"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2D66D8"/>
    <w:rPr>
      <w:color w:val="000000" w:themeColor="text1"/>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table" w:styleId="MediumList1-Accent1">
    <w:name w:val="Medium List 1 Accent 1"/>
    <w:basedOn w:val="TableNormal"/>
    <w:uiPriority w:val="65"/>
    <w:rsid w:val="002D66D8"/>
    <w:rPr>
      <w:color w:val="000000" w:themeColor="text1"/>
    </w:rPr>
    <w:tblPr>
      <w:tblStyleRowBandSize w:val="1"/>
      <w:tblStyleColBandSize w:val="1"/>
      <w:tblBorders>
        <w:top w:val="single" w:sz="8" w:space="0" w:color="4F81BD" w:themeColor="accent1"/>
        <w:bottom w:val="single" w:sz="8" w:space="0" w:color="4F81BD" w:themeColor="accent1"/>
      </w:tblBorders>
    </w:tblPr>
    <w:trPr>
      <w:hidden/>
    </w:trPr>
    <w:tblStylePr w:type="firstRow">
      <w:rPr>
        <w:rFonts w:asciiTheme="majorHAnsi" w:eastAsiaTheme="majorEastAsia" w:hAnsiTheme="majorHAnsi" w:cstheme="majorBidi"/>
      </w:rPr>
      <w:tblPr/>
      <w:trPr>
        <w:hidden/>
      </w:trPr>
      <w:tcPr>
        <w:tcBorders>
          <w:top w:val="nil"/>
          <w:bottom w:val="single" w:sz="8" w:space="0" w:color="4F81BD" w:themeColor="accent1"/>
        </w:tcBorders>
      </w:tcPr>
    </w:tblStylePr>
    <w:tblStylePr w:type="lastRow">
      <w:rPr>
        <w:b/>
        <w:bCs/>
        <w:color w:val="1F497D" w:themeColor="text2"/>
      </w:rPr>
      <w:tblPr/>
      <w:trPr>
        <w:hidden/>
      </w:tr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rPr>
        <w:hidden/>
      </w:trPr>
      <w:tcPr>
        <w:tcBorders>
          <w:top w:val="single" w:sz="8" w:space="0" w:color="4F81BD" w:themeColor="accent1"/>
          <w:bottom w:val="single" w:sz="8" w:space="0" w:color="4F81BD" w:themeColor="accent1"/>
        </w:tcBorders>
      </w:tcPr>
    </w:tblStylePr>
    <w:tblStylePr w:type="band1Vert">
      <w:tblPr/>
      <w:trPr>
        <w:hidden/>
      </w:trPr>
      <w:tcPr>
        <w:shd w:val="clear" w:color="auto" w:fill="D3DFEE" w:themeFill="accent1" w:themeFillTint="3F"/>
      </w:tcPr>
    </w:tblStylePr>
    <w:tblStylePr w:type="band1Horz">
      <w:tblPr/>
      <w:trPr>
        <w:hidden/>
      </w:trPr>
      <w:tcPr>
        <w:shd w:val="clear" w:color="auto" w:fill="D3DFEE" w:themeFill="accent1" w:themeFillTint="3F"/>
      </w:tcPr>
    </w:tblStylePr>
  </w:style>
  <w:style w:type="table" w:styleId="MediumList1-Accent2">
    <w:name w:val="Medium List 1 Accent 2"/>
    <w:basedOn w:val="TableNormal"/>
    <w:uiPriority w:val="65"/>
    <w:rsid w:val="002D66D8"/>
    <w:rPr>
      <w:color w:val="000000" w:themeColor="text1"/>
    </w:rPr>
    <w:tblPr>
      <w:tblStyleRowBandSize w:val="1"/>
      <w:tblStyleColBandSize w:val="1"/>
      <w:tblBorders>
        <w:top w:val="single" w:sz="8" w:space="0" w:color="C0504D" w:themeColor="accent2"/>
        <w:bottom w:val="single" w:sz="8" w:space="0" w:color="C0504D" w:themeColor="accent2"/>
      </w:tblBorders>
    </w:tblPr>
    <w:trPr>
      <w:hidden/>
    </w:trPr>
    <w:tblStylePr w:type="firstRow">
      <w:rPr>
        <w:rFonts w:asciiTheme="majorHAnsi" w:eastAsiaTheme="majorEastAsia" w:hAnsiTheme="majorHAnsi" w:cstheme="majorBidi"/>
      </w:rPr>
      <w:tblPr/>
      <w:trPr>
        <w:hidden/>
      </w:trPr>
      <w:tcPr>
        <w:tcBorders>
          <w:top w:val="nil"/>
          <w:bottom w:val="single" w:sz="8" w:space="0" w:color="C0504D" w:themeColor="accent2"/>
        </w:tcBorders>
      </w:tcPr>
    </w:tblStylePr>
    <w:tblStylePr w:type="lastRow">
      <w:rPr>
        <w:b/>
        <w:bCs/>
        <w:color w:val="1F497D" w:themeColor="text2"/>
      </w:rPr>
      <w:tblPr/>
      <w:trPr>
        <w:hidden/>
      </w:tr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rPr>
        <w:hidden/>
      </w:trPr>
      <w:tcPr>
        <w:tcBorders>
          <w:top w:val="single" w:sz="8" w:space="0" w:color="C0504D" w:themeColor="accent2"/>
          <w:bottom w:val="single" w:sz="8" w:space="0" w:color="C0504D" w:themeColor="accent2"/>
        </w:tcBorders>
      </w:tcPr>
    </w:tblStylePr>
    <w:tblStylePr w:type="band1Vert">
      <w:tblPr/>
      <w:trPr>
        <w:hidden/>
      </w:trPr>
      <w:tcPr>
        <w:shd w:val="clear" w:color="auto" w:fill="EFD3D2" w:themeFill="accent2" w:themeFillTint="3F"/>
      </w:tcPr>
    </w:tblStylePr>
    <w:tblStylePr w:type="band1Horz">
      <w:tblPr/>
      <w:trPr>
        <w:hidden/>
      </w:trPr>
      <w:tcPr>
        <w:shd w:val="clear" w:color="auto" w:fill="EFD3D2" w:themeFill="accent2" w:themeFillTint="3F"/>
      </w:tcPr>
    </w:tblStylePr>
  </w:style>
  <w:style w:type="table" w:styleId="MediumList1-Accent3">
    <w:name w:val="Medium List 1 Accent 3"/>
    <w:basedOn w:val="TableNormal"/>
    <w:uiPriority w:val="65"/>
    <w:rsid w:val="002D66D8"/>
    <w:rPr>
      <w:color w:val="000000" w:themeColor="text1"/>
    </w:rPr>
    <w:tblPr>
      <w:tblStyleRowBandSize w:val="1"/>
      <w:tblStyleColBandSize w:val="1"/>
      <w:tblBorders>
        <w:top w:val="single" w:sz="8" w:space="0" w:color="9BBB59" w:themeColor="accent3"/>
        <w:bottom w:val="single" w:sz="8" w:space="0" w:color="9BBB59" w:themeColor="accent3"/>
      </w:tblBorders>
    </w:tblPr>
    <w:trPr>
      <w:hidden/>
    </w:trPr>
    <w:tblStylePr w:type="firstRow">
      <w:rPr>
        <w:rFonts w:asciiTheme="majorHAnsi" w:eastAsiaTheme="majorEastAsia" w:hAnsiTheme="majorHAnsi" w:cstheme="majorBidi"/>
      </w:rPr>
      <w:tblPr/>
      <w:trPr>
        <w:hidden/>
      </w:trPr>
      <w:tcPr>
        <w:tcBorders>
          <w:top w:val="nil"/>
          <w:bottom w:val="single" w:sz="8" w:space="0" w:color="9BBB59" w:themeColor="accent3"/>
        </w:tcBorders>
      </w:tcPr>
    </w:tblStylePr>
    <w:tblStylePr w:type="lastRow">
      <w:rPr>
        <w:b/>
        <w:bCs/>
        <w:color w:val="1F497D" w:themeColor="text2"/>
      </w:rPr>
      <w:tblPr/>
      <w:trPr>
        <w:hidden/>
      </w:tr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rPr>
        <w:hidden/>
      </w:trPr>
      <w:tcPr>
        <w:tcBorders>
          <w:top w:val="single" w:sz="8" w:space="0" w:color="9BBB59" w:themeColor="accent3"/>
          <w:bottom w:val="single" w:sz="8" w:space="0" w:color="9BBB59" w:themeColor="accent3"/>
        </w:tcBorders>
      </w:tcPr>
    </w:tblStylePr>
    <w:tblStylePr w:type="band1Vert">
      <w:tblPr/>
      <w:trPr>
        <w:hidden/>
      </w:trPr>
      <w:tcPr>
        <w:shd w:val="clear" w:color="auto" w:fill="E6EED5" w:themeFill="accent3" w:themeFillTint="3F"/>
      </w:tcPr>
    </w:tblStylePr>
    <w:tblStylePr w:type="band1Horz">
      <w:tblPr/>
      <w:trPr>
        <w:hidden/>
      </w:trPr>
      <w:tcPr>
        <w:shd w:val="clear" w:color="auto" w:fill="E6EED5" w:themeFill="accent3" w:themeFillTint="3F"/>
      </w:tcPr>
    </w:tblStylePr>
  </w:style>
  <w:style w:type="table" w:styleId="MediumList1-Accent4">
    <w:name w:val="Medium List 1 Accent 4"/>
    <w:basedOn w:val="TableNormal"/>
    <w:uiPriority w:val="65"/>
    <w:rsid w:val="002D66D8"/>
    <w:rPr>
      <w:color w:val="000000" w:themeColor="text1"/>
    </w:rPr>
    <w:tblPr>
      <w:tblStyleRowBandSize w:val="1"/>
      <w:tblStyleColBandSize w:val="1"/>
      <w:tblBorders>
        <w:top w:val="single" w:sz="8" w:space="0" w:color="8064A2" w:themeColor="accent4"/>
        <w:bottom w:val="single" w:sz="8" w:space="0" w:color="8064A2" w:themeColor="accent4"/>
      </w:tblBorders>
    </w:tblPr>
    <w:trPr>
      <w:hidden/>
    </w:trPr>
    <w:tblStylePr w:type="firstRow">
      <w:rPr>
        <w:rFonts w:asciiTheme="majorHAnsi" w:eastAsiaTheme="majorEastAsia" w:hAnsiTheme="majorHAnsi" w:cstheme="majorBidi"/>
      </w:rPr>
      <w:tblPr/>
      <w:trPr>
        <w:hidden/>
      </w:trPr>
      <w:tcPr>
        <w:tcBorders>
          <w:top w:val="nil"/>
          <w:bottom w:val="single" w:sz="8" w:space="0" w:color="8064A2" w:themeColor="accent4"/>
        </w:tcBorders>
      </w:tcPr>
    </w:tblStylePr>
    <w:tblStylePr w:type="lastRow">
      <w:rPr>
        <w:b/>
        <w:bCs/>
        <w:color w:val="1F497D" w:themeColor="text2"/>
      </w:rPr>
      <w:tblPr/>
      <w:trPr>
        <w:hidden/>
      </w:tr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rPr>
        <w:hidden/>
      </w:trPr>
      <w:tcPr>
        <w:tcBorders>
          <w:top w:val="single" w:sz="8" w:space="0" w:color="8064A2" w:themeColor="accent4"/>
          <w:bottom w:val="single" w:sz="8" w:space="0" w:color="8064A2" w:themeColor="accent4"/>
        </w:tcBorders>
      </w:tcPr>
    </w:tblStylePr>
    <w:tblStylePr w:type="band1Vert">
      <w:tblPr/>
      <w:trPr>
        <w:hidden/>
      </w:trPr>
      <w:tcPr>
        <w:shd w:val="clear" w:color="auto" w:fill="DFD8E8" w:themeFill="accent4" w:themeFillTint="3F"/>
      </w:tcPr>
    </w:tblStylePr>
    <w:tblStylePr w:type="band1Horz">
      <w:tblPr/>
      <w:trPr>
        <w:hidden/>
      </w:trPr>
      <w:tcPr>
        <w:shd w:val="clear" w:color="auto" w:fill="DFD8E8" w:themeFill="accent4" w:themeFillTint="3F"/>
      </w:tcPr>
    </w:tblStylePr>
  </w:style>
  <w:style w:type="table" w:styleId="MediumList1-Accent5">
    <w:name w:val="Medium List 1 Accent 5"/>
    <w:basedOn w:val="TableNormal"/>
    <w:uiPriority w:val="65"/>
    <w:rsid w:val="002D66D8"/>
    <w:rPr>
      <w:color w:val="000000" w:themeColor="text1"/>
    </w:rPr>
    <w:tblPr>
      <w:tblStyleRowBandSize w:val="1"/>
      <w:tblStyleColBandSize w:val="1"/>
      <w:tblBorders>
        <w:top w:val="single" w:sz="8" w:space="0" w:color="4BACC6" w:themeColor="accent5"/>
        <w:bottom w:val="single" w:sz="8" w:space="0" w:color="4BACC6" w:themeColor="accent5"/>
      </w:tblBorders>
    </w:tblPr>
    <w:trPr>
      <w:hidden/>
    </w:trPr>
    <w:tblStylePr w:type="firstRow">
      <w:rPr>
        <w:rFonts w:asciiTheme="majorHAnsi" w:eastAsiaTheme="majorEastAsia" w:hAnsiTheme="majorHAnsi" w:cstheme="majorBidi"/>
      </w:rPr>
      <w:tblPr/>
      <w:trPr>
        <w:hidden/>
      </w:trPr>
      <w:tcPr>
        <w:tcBorders>
          <w:top w:val="nil"/>
          <w:bottom w:val="single" w:sz="8" w:space="0" w:color="4BACC6" w:themeColor="accent5"/>
        </w:tcBorders>
      </w:tcPr>
    </w:tblStylePr>
    <w:tblStylePr w:type="lastRow">
      <w:rPr>
        <w:b/>
        <w:bCs/>
        <w:color w:val="1F497D" w:themeColor="text2"/>
      </w:rPr>
      <w:tblPr/>
      <w:trPr>
        <w:hidden/>
      </w:tr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rPr>
        <w:hidden/>
      </w:trPr>
      <w:tcPr>
        <w:tcBorders>
          <w:top w:val="single" w:sz="8" w:space="0" w:color="4BACC6" w:themeColor="accent5"/>
          <w:bottom w:val="single" w:sz="8" w:space="0" w:color="4BACC6" w:themeColor="accent5"/>
        </w:tcBorders>
      </w:tcPr>
    </w:tblStylePr>
    <w:tblStylePr w:type="band1Vert">
      <w:tblPr/>
      <w:trPr>
        <w:hidden/>
      </w:trPr>
      <w:tcPr>
        <w:shd w:val="clear" w:color="auto" w:fill="D2EAF1" w:themeFill="accent5" w:themeFillTint="3F"/>
      </w:tcPr>
    </w:tblStylePr>
    <w:tblStylePr w:type="band1Horz">
      <w:tblPr/>
      <w:trPr>
        <w:hidden/>
      </w:trPr>
      <w:tcPr>
        <w:shd w:val="clear" w:color="auto" w:fill="D2EAF1" w:themeFill="accent5" w:themeFillTint="3F"/>
      </w:tcPr>
    </w:tblStylePr>
  </w:style>
  <w:style w:type="table" w:styleId="MediumList1-Accent6">
    <w:name w:val="Medium List 1 Accent 6"/>
    <w:basedOn w:val="TableNormal"/>
    <w:uiPriority w:val="65"/>
    <w:rsid w:val="002D66D8"/>
    <w:rPr>
      <w:color w:val="000000" w:themeColor="text1"/>
    </w:rPr>
    <w:tblPr>
      <w:tblStyleRowBandSize w:val="1"/>
      <w:tblStyleColBandSize w:val="1"/>
      <w:tblBorders>
        <w:top w:val="single" w:sz="8" w:space="0" w:color="F79646" w:themeColor="accent6"/>
        <w:bottom w:val="single" w:sz="8" w:space="0" w:color="F79646" w:themeColor="accent6"/>
      </w:tblBorders>
    </w:tblPr>
    <w:trPr>
      <w:hidden/>
    </w:trPr>
    <w:tblStylePr w:type="firstRow">
      <w:rPr>
        <w:rFonts w:asciiTheme="majorHAnsi" w:eastAsiaTheme="majorEastAsia" w:hAnsiTheme="majorHAnsi" w:cstheme="majorBidi"/>
      </w:rPr>
      <w:tblPr/>
      <w:trPr>
        <w:hidden/>
      </w:trPr>
      <w:tcPr>
        <w:tcBorders>
          <w:top w:val="nil"/>
          <w:bottom w:val="single" w:sz="8" w:space="0" w:color="F79646" w:themeColor="accent6"/>
        </w:tcBorders>
      </w:tcPr>
    </w:tblStylePr>
    <w:tblStylePr w:type="lastRow">
      <w:rPr>
        <w:b/>
        <w:bCs/>
        <w:color w:val="1F497D" w:themeColor="text2"/>
      </w:rPr>
      <w:tblPr/>
      <w:trPr>
        <w:hidden/>
      </w:tr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rPr>
        <w:hidden/>
      </w:trPr>
      <w:tcPr>
        <w:tcBorders>
          <w:top w:val="single" w:sz="8" w:space="0" w:color="F79646" w:themeColor="accent6"/>
          <w:bottom w:val="single" w:sz="8" w:space="0" w:color="F79646" w:themeColor="accent6"/>
        </w:tcBorders>
      </w:tcPr>
    </w:tblStylePr>
    <w:tblStylePr w:type="band1Vert">
      <w:tblPr/>
      <w:trPr>
        <w:hidden/>
      </w:trPr>
      <w:tcPr>
        <w:shd w:val="clear" w:color="auto" w:fill="FDE4D0" w:themeFill="accent6" w:themeFillTint="3F"/>
      </w:tcPr>
    </w:tblStylePr>
    <w:tblStylePr w:type="band1Horz">
      <w:tblPr/>
      <w:trPr>
        <w:hidden/>
      </w:trPr>
      <w:tcPr>
        <w:shd w:val="clear" w:color="auto" w:fill="FDE4D0" w:themeFill="accent6" w:themeFillTint="3F"/>
      </w:tcPr>
    </w:tblStylePr>
  </w:style>
  <w:style w:type="table" w:styleId="MediumList2">
    <w:name w:val="Medium List 2"/>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rPr>
        <w:sz w:val="24"/>
        <w:szCs w:val="24"/>
      </w:rPr>
      <w:tblPr/>
      <w:trPr>
        <w:hidden/>
      </w:tr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rPr>
        <w:hidden/>
      </w:tr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rPr>
        <w:hidden/>
      </w:tr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top w:val="nil"/>
          <w:bottom w:val="nil"/>
          <w:insideH w:val="nil"/>
          <w:insideV w:val="nil"/>
        </w:tcBorders>
        <w:shd w:val="clear" w:color="auto" w:fill="C0C0C0" w:themeFill="tex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1">
    <w:name w:val="Medium List 2 Accent 1"/>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rPr>
        <w:sz w:val="24"/>
        <w:szCs w:val="24"/>
      </w:rPr>
      <w:tblPr/>
      <w:trPr>
        <w:hidden/>
      </w:tr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rPr>
        <w:hidden/>
      </w:tr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rPr>
        <w:hidden/>
      </w:tr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top w:val="nil"/>
          <w:bottom w:val="nil"/>
          <w:insideH w:val="nil"/>
          <w:insideV w:val="nil"/>
        </w:tcBorders>
        <w:shd w:val="clear" w:color="auto" w:fill="D3DFEE" w:themeFill="accen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2">
    <w:name w:val="Medium List 2 Accent 2"/>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rPr>
        <w:sz w:val="24"/>
        <w:szCs w:val="24"/>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rPr>
        <w:hidden/>
      </w:tr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rPr>
        <w:hidden/>
      </w:tr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top w:val="nil"/>
          <w:bottom w:val="nil"/>
          <w:insideH w:val="nil"/>
          <w:insideV w:val="nil"/>
        </w:tcBorders>
        <w:shd w:val="clear" w:color="auto" w:fill="EFD3D2" w:themeFill="accent2"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3">
    <w:name w:val="Medium List 2 Accent 3"/>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rPr>
        <w:sz w:val="24"/>
        <w:szCs w:val="24"/>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rPr>
        <w:hidden/>
      </w:tr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rPr>
        <w:hidden/>
      </w:tr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top w:val="nil"/>
          <w:bottom w:val="nil"/>
          <w:insideH w:val="nil"/>
          <w:insideV w:val="nil"/>
        </w:tcBorders>
        <w:shd w:val="clear" w:color="auto" w:fill="E6EED5" w:themeFill="accent3"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4">
    <w:name w:val="Medium List 2 Accent 4"/>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rPr>
        <w:sz w:val="24"/>
        <w:szCs w:val="24"/>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rPr>
        <w:hidden/>
      </w:tr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rPr>
        <w:hidden/>
      </w:tr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top w:val="nil"/>
          <w:bottom w:val="nil"/>
          <w:insideH w:val="nil"/>
          <w:insideV w:val="nil"/>
        </w:tcBorders>
        <w:shd w:val="clear" w:color="auto" w:fill="DFD8E8" w:themeFill="accent4"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5">
    <w:name w:val="Medium List 2 Accent 5"/>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rPr>
        <w:sz w:val="24"/>
        <w:szCs w:val="24"/>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rPr>
        <w:hidden/>
      </w:tr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rPr>
        <w:hidden/>
      </w:tr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top w:val="nil"/>
          <w:bottom w:val="nil"/>
          <w:insideH w:val="nil"/>
          <w:insideV w:val="nil"/>
        </w:tcBorders>
        <w:shd w:val="clear" w:color="auto" w:fill="D2EAF1" w:themeFill="accent5"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6">
    <w:name w:val="Medium List 2 Accent 6"/>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rPr>
        <w:sz w:val="24"/>
        <w:szCs w:val="24"/>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rPr>
        <w:hidden/>
      </w:tr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rPr>
        <w:hidden/>
      </w:tr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top w:val="nil"/>
          <w:bottom w:val="nil"/>
          <w:insideH w:val="nil"/>
          <w:insideV w:val="nil"/>
        </w:tcBorders>
        <w:shd w:val="clear" w:color="auto" w:fill="FDE4D0" w:themeFill="accent6"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Shading1">
    <w:name w:val="Medium Shading 1"/>
    <w:basedOn w:val="TableNormal"/>
    <w:uiPriority w:val="63"/>
    <w:rsid w:val="002D66D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rPr>
      <w:hidden/>
    </w:trPr>
    <w:tblStylePr w:type="firstRow">
      <w:pPr>
        <w:spacing w:before="0" w:after="0" w:line="240" w:lineRule="auto"/>
      </w:pPr>
      <w:rPr>
        <w:b/>
        <w:bCs/>
        <w:color w:val="FFFFFF" w:themeColor="background1"/>
      </w:rPr>
      <w:tblPr/>
      <w:trPr>
        <w:hidden/>
      </w:tr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rPr>
        <w:hidden/>
      </w:tr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C0C0C0" w:themeFill="text1" w:themeFillTint="3F"/>
      </w:tcPr>
    </w:tblStylePr>
    <w:tblStylePr w:type="band1Horz">
      <w:tblPr/>
      <w:trPr>
        <w:hidden/>
      </w:trPr>
      <w:tcPr>
        <w:tcBorders>
          <w:insideH w:val="nil"/>
          <w:insideV w:val="nil"/>
        </w:tcBorders>
        <w:shd w:val="clear" w:color="auto" w:fill="C0C0C0" w:themeFill="text1" w:themeFillTint="3F"/>
      </w:tcPr>
    </w:tblStylePr>
    <w:tblStylePr w:type="band2Horz">
      <w:tblPr/>
      <w:trPr>
        <w:hidden/>
      </w:trPr>
      <w:tcPr>
        <w:tcBorders>
          <w:insideH w:val="nil"/>
          <w:insideV w:val="nil"/>
        </w:tcBorders>
      </w:tcPr>
    </w:tblStylePr>
  </w:style>
  <w:style w:type="table" w:styleId="MediumShading1-Accent1">
    <w:name w:val="Medium Shading 1 Accent 1"/>
    <w:basedOn w:val="TableNormal"/>
    <w:uiPriority w:val="63"/>
    <w:rsid w:val="002D66D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rPr>
      <w:hidden/>
    </w:trPr>
    <w:tblStylePr w:type="firstRow">
      <w:pPr>
        <w:spacing w:before="0" w:after="0" w:line="240" w:lineRule="auto"/>
      </w:pPr>
      <w:rPr>
        <w:b/>
        <w:bCs/>
        <w:color w:val="FFFFFF" w:themeColor="background1"/>
      </w:rPr>
      <w:tblPr/>
      <w:trPr>
        <w:hidden/>
      </w:tr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rPr>
        <w:hidden/>
      </w:tr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3DFEE" w:themeFill="accent1" w:themeFillTint="3F"/>
      </w:tcPr>
    </w:tblStylePr>
    <w:tblStylePr w:type="band1Horz">
      <w:tblPr/>
      <w:trPr>
        <w:hidden/>
      </w:trPr>
      <w:tcPr>
        <w:tcBorders>
          <w:insideH w:val="nil"/>
          <w:insideV w:val="nil"/>
        </w:tcBorders>
        <w:shd w:val="clear" w:color="auto" w:fill="D3DFEE" w:themeFill="accent1" w:themeFillTint="3F"/>
      </w:tcPr>
    </w:tblStylePr>
    <w:tblStylePr w:type="band2Horz">
      <w:tblPr/>
      <w:trPr>
        <w:hidden/>
      </w:trPr>
      <w:tcPr>
        <w:tcBorders>
          <w:insideH w:val="nil"/>
          <w:insideV w:val="nil"/>
        </w:tcBorders>
      </w:tcPr>
    </w:tblStylePr>
  </w:style>
  <w:style w:type="table" w:styleId="MediumShading1-Accent2">
    <w:name w:val="Medium Shading 1 Accent 2"/>
    <w:basedOn w:val="TableNormal"/>
    <w:uiPriority w:val="63"/>
    <w:rsid w:val="002D66D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rPr>
      <w:hidden/>
    </w:trPr>
    <w:tblStylePr w:type="firstRow">
      <w:pPr>
        <w:spacing w:before="0" w:after="0" w:line="240" w:lineRule="auto"/>
      </w:pPr>
      <w:rPr>
        <w:b/>
        <w:bCs/>
        <w:color w:val="FFFFFF" w:themeColor="background1"/>
      </w:rPr>
      <w:tblPr/>
      <w:trPr>
        <w:hidden/>
      </w:tr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rPr>
        <w:hidden/>
      </w:tr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FD3D2" w:themeFill="accent2" w:themeFillTint="3F"/>
      </w:tcPr>
    </w:tblStylePr>
    <w:tblStylePr w:type="band1Horz">
      <w:tblPr/>
      <w:trPr>
        <w:hidden/>
      </w:trPr>
      <w:tcPr>
        <w:tcBorders>
          <w:insideH w:val="nil"/>
          <w:insideV w:val="nil"/>
        </w:tcBorders>
        <w:shd w:val="clear" w:color="auto" w:fill="EFD3D2" w:themeFill="accent2" w:themeFillTint="3F"/>
      </w:tcPr>
    </w:tblStylePr>
    <w:tblStylePr w:type="band2Horz">
      <w:tblPr/>
      <w:trPr>
        <w:hidden/>
      </w:trPr>
      <w:tcPr>
        <w:tcBorders>
          <w:insideH w:val="nil"/>
          <w:insideV w:val="nil"/>
        </w:tcBorders>
      </w:tcPr>
    </w:tblStylePr>
  </w:style>
  <w:style w:type="table" w:styleId="MediumShading1-Accent3">
    <w:name w:val="Medium Shading 1 Accent 3"/>
    <w:basedOn w:val="TableNormal"/>
    <w:uiPriority w:val="63"/>
    <w:rsid w:val="002D66D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rPr>
      <w:hidden/>
    </w:trPr>
    <w:tblStylePr w:type="firstRow">
      <w:pPr>
        <w:spacing w:before="0" w:after="0" w:line="240" w:lineRule="auto"/>
      </w:pPr>
      <w:rPr>
        <w:b/>
        <w:bCs/>
        <w:color w:val="FFFFFF" w:themeColor="background1"/>
      </w:rPr>
      <w:tblPr/>
      <w:trPr>
        <w:hidden/>
      </w:tr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rPr>
        <w:hidden/>
      </w:tr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6EED5" w:themeFill="accent3" w:themeFillTint="3F"/>
      </w:tcPr>
    </w:tblStylePr>
    <w:tblStylePr w:type="band1Horz">
      <w:tblPr/>
      <w:trPr>
        <w:hidden/>
      </w:trPr>
      <w:tcPr>
        <w:tcBorders>
          <w:insideH w:val="nil"/>
          <w:insideV w:val="nil"/>
        </w:tcBorders>
        <w:shd w:val="clear" w:color="auto" w:fill="E6EED5" w:themeFill="accent3" w:themeFillTint="3F"/>
      </w:tcPr>
    </w:tblStylePr>
    <w:tblStylePr w:type="band2Horz">
      <w:tblPr/>
      <w:trPr>
        <w:hidden/>
      </w:trPr>
      <w:tcPr>
        <w:tcBorders>
          <w:insideH w:val="nil"/>
          <w:insideV w:val="nil"/>
        </w:tcBorders>
      </w:tcPr>
    </w:tblStylePr>
  </w:style>
  <w:style w:type="table" w:styleId="MediumShading1-Accent4">
    <w:name w:val="Medium Shading 1 Accent 4"/>
    <w:basedOn w:val="TableNormal"/>
    <w:uiPriority w:val="63"/>
    <w:rsid w:val="002D66D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rPr>
      <w:hidden/>
    </w:trPr>
    <w:tblStylePr w:type="firstRow">
      <w:pPr>
        <w:spacing w:before="0" w:after="0" w:line="240" w:lineRule="auto"/>
      </w:pPr>
      <w:rPr>
        <w:b/>
        <w:bCs/>
        <w:color w:val="FFFFFF" w:themeColor="background1"/>
      </w:rPr>
      <w:tblPr/>
      <w:trPr>
        <w:hidden/>
      </w:tr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rPr>
        <w:hidden/>
      </w:tr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FD8E8" w:themeFill="accent4" w:themeFillTint="3F"/>
      </w:tcPr>
    </w:tblStylePr>
    <w:tblStylePr w:type="band1Horz">
      <w:tblPr/>
      <w:trPr>
        <w:hidden/>
      </w:trPr>
      <w:tcPr>
        <w:tcBorders>
          <w:insideH w:val="nil"/>
          <w:insideV w:val="nil"/>
        </w:tcBorders>
        <w:shd w:val="clear" w:color="auto" w:fill="DFD8E8" w:themeFill="accent4" w:themeFillTint="3F"/>
      </w:tcPr>
    </w:tblStylePr>
    <w:tblStylePr w:type="band2Horz">
      <w:tblPr/>
      <w:trPr>
        <w:hidden/>
      </w:trPr>
      <w:tcPr>
        <w:tcBorders>
          <w:insideH w:val="nil"/>
          <w:insideV w:val="nil"/>
        </w:tcBorders>
      </w:tcPr>
    </w:tblStylePr>
  </w:style>
  <w:style w:type="table" w:styleId="MediumShading1-Accent5">
    <w:name w:val="Medium Shading 1 Accent 5"/>
    <w:basedOn w:val="TableNormal"/>
    <w:uiPriority w:val="63"/>
    <w:rsid w:val="002D66D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rPr>
      <w:hidden/>
    </w:trPr>
    <w:tblStylePr w:type="firstRow">
      <w:pPr>
        <w:spacing w:before="0" w:after="0" w:line="240" w:lineRule="auto"/>
      </w:pPr>
      <w:rPr>
        <w:b/>
        <w:bCs/>
        <w:color w:val="FFFFFF" w:themeColor="background1"/>
      </w:rPr>
      <w:tblPr/>
      <w:trPr>
        <w:hidden/>
      </w:tr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rPr>
        <w:hidden/>
      </w:tr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2EAF1" w:themeFill="accent5" w:themeFillTint="3F"/>
      </w:tcPr>
    </w:tblStylePr>
    <w:tblStylePr w:type="band1Horz">
      <w:tblPr/>
      <w:trPr>
        <w:hidden/>
      </w:trPr>
      <w:tcPr>
        <w:tcBorders>
          <w:insideH w:val="nil"/>
          <w:insideV w:val="nil"/>
        </w:tcBorders>
        <w:shd w:val="clear" w:color="auto" w:fill="D2EAF1" w:themeFill="accent5" w:themeFillTint="3F"/>
      </w:tcPr>
    </w:tblStylePr>
    <w:tblStylePr w:type="band2Horz">
      <w:tblPr/>
      <w:trPr>
        <w:hidden/>
      </w:trPr>
      <w:tcPr>
        <w:tcBorders>
          <w:insideH w:val="nil"/>
          <w:insideV w:val="nil"/>
        </w:tcBorders>
      </w:tcPr>
    </w:tblStylePr>
  </w:style>
  <w:style w:type="table" w:styleId="MediumShading1-Accent6">
    <w:name w:val="Medium Shading 1 Accent 6"/>
    <w:basedOn w:val="TableNormal"/>
    <w:uiPriority w:val="63"/>
    <w:rsid w:val="002D66D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rPr>
      <w:hidden/>
    </w:trPr>
    <w:tblStylePr w:type="firstRow">
      <w:pPr>
        <w:spacing w:before="0" w:after="0" w:line="240" w:lineRule="auto"/>
      </w:pPr>
      <w:rPr>
        <w:b/>
        <w:bCs/>
        <w:color w:val="FFFFFF" w:themeColor="background1"/>
      </w:rPr>
      <w:tblPr/>
      <w:trPr>
        <w:hidden/>
      </w:tr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rPr>
        <w:hidden/>
      </w:tr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rPr>
        <w:hidden/>
      </w:trPr>
      <w:tcPr>
        <w:shd w:val="clear" w:color="auto" w:fill="FDE4D0" w:themeFill="accent6" w:themeFillTint="3F"/>
      </w:tcPr>
    </w:tblStylePr>
    <w:tblStylePr w:type="band1Horz">
      <w:tblPr/>
      <w:trPr>
        <w:hidden/>
      </w:trPr>
      <w:tcPr>
        <w:tcBorders>
          <w:insideH w:val="nil"/>
          <w:insideV w:val="nil"/>
        </w:tcBorders>
        <w:shd w:val="clear" w:color="auto" w:fill="FDE4D0" w:themeFill="accent6" w:themeFillTint="3F"/>
      </w:tcPr>
    </w:tblStylePr>
    <w:tblStylePr w:type="band2Horz">
      <w:tblPr/>
      <w:trPr>
        <w:hidden/>
      </w:trPr>
      <w:tcPr>
        <w:tcBorders>
          <w:insideH w:val="nil"/>
          <w:insideV w:val="nil"/>
        </w:tcBorders>
      </w:tcPr>
    </w:tblStylePr>
  </w:style>
  <w:style w:type="table" w:styleId="MediumShading2">
    <w:name w:val="Medium Shading 2"/>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rPr>
        <w:hidden/>
      </w:trPr>
      <w:tcPr>
        <w:tcBorders>
          <w:left w:val="nil"/>
          <w:right w:val="nil"/>
          <w:insideH w:val="nil"/>
          <w:insideV w:val="nil"/>
        </w:tcBorders>
        <w:shd w:val="clear" w:color="auto" w:fill="000000" w:themeFill="tex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rPr>
        <w:hidden/>
      </w:trPr>
      <w:tcPr>
        <w:tcBorders>
          <w:left w:val="nil"/>
          <w:right w:val="nil"/>
          <w:insideH w:val="nil"/>
          <w:insideV w:val="nil"/>
        </w:tcBorders>
        <w:shd w:val="clear" w:color="auto" w:fill="4F81BD" w:themeFill="accen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rPr>
        <w:hidden/>
      </w:trPr>
      <w:tcPr>
        <w:tcBorders>
          <w:left w:val="nil"/>
          <w:right w:val="nil"/>
          <w:insideH w:val="nil"/>
          <w:insideV w:val="nil"/>
        </w:tcBorders>
        <w:shd w:val="clear" w:color="auto" w:fill="C0504D" w:themeFill="accent2"/>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rPr>
        <w:hidden/>
      </w:trPr>
      <w:tcPr>
        <w:tcBorders>
          <w:left w:val="nil"/>
          <w:right w:val="nil"/>
          <w:insideH w:val="nil"/>
          <w:insideV w:val="nil"/>
        </w:tcBorders>
        <w:shd w:val="clear" w:color="auto" w:fill="9BBB59" w:themeFill="accent3"/>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rPr>
        <w:hidden/>
      </w:trPr>
      <w:tcPr>
        <w:tcBorders>
          <w:left w:val="nil"/>
          <w:right w:val="nil"/>
          <w:insideH w:val="nil"/>
          <w:insideV w:val="nil"/>
        </w:tcBorders>
        <w:shd w:val="clear" w:color="auto" w:fill="8064A2" w:themeFill="accent4"/>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rPr>
        <w:hidden/>
      </w:trPr>
      <w:tcPr>
        <w:tcBorders>
          <w:left w:val="nil"/>
          <w:right w:val="nil"/>
          <w:insideH w:val="nil"/>
          <w:insideV w:val="nil"/>
        </w:tcBorders>
        <w:shd w:val="clear" w:color="auto" w:fill="4BACC6" w:themeFill="accent5"/>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rPr>
        <w:hidden/>
      </w:trPr>
      <w:tcPr>
        <w:tcBorders>
          <w:left w:val="nil"/>
          <w:right w:val="nil"/>
          <w:insideH w:val="nil"/>
          <w:insideV w:val="nil"/>
        </w:tcBorders>
        <w:shd w:val="clear" w:color="auto" w:fill="F79646" w:themeFill="accent6"/>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2D66D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semiHidden/>
    <w:rsid w:val="002D66D8"/>
    <w:rPr>
      <w:rFonts w:asciiTheme="majorHAnsi" w:eastAsiaTheme="majorEastAsia" w:hAnsiTheme="majorHAnsi" w:cstheme="majorBidi"/>
      <w:sz w:val="24"/>
      <w:szCs w:val="24"/>
      <w:shd w:val="pct20" w:color="auto" w:fill="auto"/>
    </w:rPr>
  </w:style>
  <w:style w:type="paragraph" w:styleId="NoteHeading">
    <w:name w:val="Note Heading"/>
    <w:basedOn w:val="Normal"/>
    <w:next w:val="Normal"/>
    <w:link w:val="NoteHeadingChar"/>
    <w:semiHidden/>
    <w:unhideWhenUsed/>
    <w:rsid w:val="002D66D8"/>
  </w:style>
  <w:style w:type="character" w:customStyle="1" w:styleId="NoteHeadingChar">
    <w:name w:val="Note Heading Char"/>
    <w:basedOn w:val="DefaultParagraphFont"/>
    <w:link w:val="NoteHeading"/>
    <w:semiHidden/>
    <w:rsid w:val="002D66D8"/>
    <w:rPr>
      <w:rFonts w:eastAsia="Calibri" w:cs="Cordia New"/>
      <w:sz w:val="24"/>
      <w:szCs w:val="22"/>
    </w:rPr>
  </w:style>
  <w:style w:type="paragraph" w:styleId="PlainText">
    <w:name w:val="Plain Text"/>
    <w:basedOn w:val="Normal"/>
    <w:link w:val="PlainTextChar"/>
    <w:semiHidden/>
    <w:unhideWhenUsed/>
    <w:rsid w:val="002D66D8"/>
    <w:rPr>
      <w:rFonts w:ascii="Consolas" w:hAnsi="Consolas" w:cs="Consolas"/>
      <w:sz w:val="21"/>
      <w:szCs w:val="21"/>
    </w:rPr>
  </w:style>
  <w:style w:type="character" w:customStyle="1" w:styleId="PlainTextChar">
    <w:name w:val="Plain Text Char"/>
    <w:basedOn w:val="DefaultParagraphFont"/>
    <w:link w:val="PlainText"/>
    <w:semiHidden/>
    <w:rsid w:val="002D66D8"/>
    <w:rPr>
      <w:rFonts w:ascii="Consolas" w:eastAsia="Calibri" w:hAnsi="Consolas" w:cs="Consolas"/>
      <w:sz w:val="21"/>
      <w:szCs w:val="21"/>
    </w:rPr>
  </w:style>
  <w:style w:type="paragraph" w:styleId="Signature">
    <w:name w:val="Signature"/>
    <w:basedOn w:val="Normal"/>
    <w:link w:val="SignatureChar"/>
    <w:semiHidden/>
    <w:unhideWhenUsed/>
    <w:rsid w:val="002D66D8"/>
    <w:pPr>
      <w:ind w:left="4320"/>
    </w:pPr>
  </w:style>
  <w:style w:type="character" w:customStyle="1" w:styleId="SignatureChar">
    <w:name w:val="Signature Char"/>
    <w:basedOn w:val="DefaultParagraphFont"/>
    <w:link w:val="Signature"/>
    <w:semiHidden/>
    <w:rsid w:val="002D66D8"/>
    <w:rPr>
      <w:rFonts w:eastAsia="Calibri" w:cs="Cordia New"/>
      <w:sz w:val="24"/>
      <w:szCs w:val="22"/>
    </w:rPr>
  </w:style>
  <w:style w:type="table" w:styleId="Table3Deffects1">
    <w:name w:val="Table 3D effects 1"/>
    <w:basedOn w:val="TableNormal"/>
    <w:semiHidden/>
    <w:unhideWhenUsed/>
    <w:rsid w:val="002D66D8"/>
    <w:pPr>
      <w:spacing w:before="120" w:after="120" w:line="280" w:lineRule="atLeast"/>
    </w:pPr>
    <w:tblPr/>
    <w:trPr>
      <w:hidden/>
    </w:trPr>
    <w:tcPr>
      <w:shd w:val="solid" w:color="C0C0C0" w:fill="FFFFFF"/>
    </w:tcPr>
    <w:tblStylePr w:type="firstRow">
      <w:rPr>
        <w:b/>
        <w:bCs/>
        <w:color w:val="800080"/>
      </w:rPr>
      <w:tblPr/>
      <w:trPr>
        <w:hidden/>
      </w:trPr>
      <w:tcPr>
        <w:tcBorders>
          <w:bottom w:val="single" w:sz="6" w:space="0" w:color="808080"/>
          <w:tl2br w:val="none" w:sz="0" w:space="0" w:color="auto"/>
          <w:tr2bl w:val="none" w:sz="0" w:space="0" w:color="auto"/>
        </w:tcBorders>
      </w:tcPr>
    </w:tblStylePr>
    <w:tblStylePr w:type="lastRow">
      <w:tblPr/>
      <w:trPr>
        <w:hidden/>
      </w:trPr>
      <w:tcPr>
        <w:tcBorders>
          <w:top w:val="single" w:sz="6" w:space="0" w:color="FFFFFF"/>
          <w:tl2br w:val="none" w:sz="0" w:space="0" w:color="auto"/>
          <w:tr2bl w:val="none" w:sz="0" w:space="0" w:color="auto"/>
        </w:tcBorders>
      </w:tcPr>
    </w:tblStylePr>
    <w:tblStylePr w:type="firstCol">
      <w:rPr>
        <w:b/>
        <w:bCs/>
      </w:rPr>
      <w:tblPr/>
      <w:trPr>
        <w:hidden/>
      </w:trPr>
      <w:tcPr>
        <w:tcBorders>
          <w:right w:val="single" w:sz="6" w:space="0" w:color="808080"/>
          <w:tl2br w:val="none" w:sz="0" w:space="0" w:color="auto"/>
          <w:tr2bl w:val="none" w:sz="0" w:space="0" w:color="auto"/>
        </w:tcBorders>
      </w:tcPr>
    </w:tblStylePr>
    <w:tblStylePr w:type="lastCol">
      <w:tblPr/>
      <w:trPr>
        <w:hidden/>
      </w:trPr>
      <w:tcPr>
        <w:tcBorders>
          <w:left w:val="single" w:sz="6" w:space="0" w:color="FFFFFF"/>
          <w:tl2br w:val="none" w:sz="0" w:space="0" w:color="auto"/>
          <w:tr2bl w:val="none" w:sz="0" w:space="0" w:color="auto"/>
        </w:tcBorders>
      </w:tcPr>
    </w:tblStylePr>
    <w:tblStylePr w:type="neCell">
      <w:tblPr/>
      <w:trPr>
        <w:hidden/>
      </w:trPr>
      <w:tcPr>
        <w:tcBorders>
          <w:left w:val="none" w:sz="0" w:space="0" w:color="auto"/>
          <w:bottom w:val="none" w:sz="0" w:space="0" w:color="auto"/>
          <w:tl2br w:val="none" w:sz="0" w:space="0" w:color="auto"/>
          <w:tr2bl w:val="none" w:sz="0" w:space="0" w:color="auto"/>
        </w:tcBorders>
      </w:tcPr>
    </w:tblStylePr>
    <w:tblStylePr w:type="nwCell">
      <w:tblPr/>
      <w:trPr>
        <w:hidden/>
      </w:trPr>
      <w:tcPr>
        <w:tcBorders>
          <w:bottom w:val="none" w:sz="0" w:space="0" w:color="auto"/>
          <w:right w:val="none" w:sz="0" w:space="0" w:color="auto"/>
          <w:tl2br w:val="none" w:sz="0" w:space="0" w:color="auto"/>
          <w:tr2bl w:val="none" w:sz="0" w:space="0" w:color="auto"/>
        </w:tcBorders>
      </w:tcPr>
    </w:tblStylePr>
    <w:tblStylePr w:type="seCell">
      <w:tblPr/>
      <w:trPr>
        <w:hidden/>
      </w:trPr>
      <w:tcPr>
        <w:tcBorders>
          <w:top w:val="none" w:sz="0" w:space="0" w:color="auto"/>
          <w:left w:val="none" w:sz="0" w:space="0" w:color="auto"/>
          <w:tl2br w:val="none" w:sz="0" w:space="0" w:color="auto"/>
          <w:tr2bl w:val="none" w:sz="0" w:space="0" w:color="auto"/>
        </w:tcBorders>
      </w:tcPr>
    </w:tblStylePr>
    <w:tblStylePr w:type="swCell">
      <w:rPr>
        <w:color w:val="000080"/>
      </w:rPr>
      <w:tblPr/>
      <w:trPr>
        <w:hidden/>
      </w:tr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2D66D8"/>
    <w:pPr>
      <w:spacing w:before="120" w:after="120" w:line="280" w:lineRule="atLeast"/>
    </w:pPr>
    <w:tblPr>
      <w:tblStyleRowBandSize w:val="1"/>
    </w:tblPr>
    <w:trPr>
      <w:hidden/>
    </w:trPr>
    <w:tcPr>
      <w:shd w:val="solid" w:color="C0C0C0" w:fill="FFFFFF"/>
    </w:tc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3Deffects3">
    <w:name w:val="Table 3D effects 3"/>
    <w:basedOn w:val="TableNormal"/>
    <w:semiHidden/>
    <w:unhideWhenUsed/>
    <w:rsid w:val="002D66D8"/>
    <w:pPr>
      <w:spacing w:before="120" w:after="120" w:line="280" w:lineRule="atLeast"/>
    </w:pPr>
    <w:tblPr>
      <w:tblStyleRowBandSize w:val="1"/>
      <w:tblStyleColBandSize w:val="1"/>
    </w:tblPr>
    <w:trPr>
      <w:hidden/>
    </w:tr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50" w:color="C0C0C0" w:fill="FFFFFF"/>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1">
    <w:name w:val="Table Classic 1"/>
    <w:basedOn w:val="TableNormal"/>
    <w:semiHidden/>
    <w:unhideWhenUsed/>
    <w:rsid w:val="002D66D8"/>
    <w:pPr>
      <w:spacing w:before="120" w:after="120" w:line="280" w:lineRule="atLeast"/>
    </w:pPr>
    <w:tblPr>
      <w:tblBorders>
        <w:top w:val="single" w:sz="12" w:space="0" w:color="000000"/>
        <w:bottom w:val="single" w:sz="12" w:space="0" w:color="000000"/>
      </w:tblBorders>
    </w:tblPr>
    <w:trPr>
      <w:hidden/>
    </w:trPr>
    <w:tcPr>
      <w:shd w:val="clear" w:color="auto" w:fill="auto"/>
    </w:tcPr>
    <w:tblStylePr w:type="firstRow">
      <w:rPr>
        <w:i/>
        <w:i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tblPr/>
      <w:trPr>
        <w:hidden/>
      </w:trPr>
      <w:tcPr>
        <w:tcBorders>
          <w:right w:val="single" w:sz="6" w:space="0" w:color="000000"/>
          <w:tl2br w:val="none" w:sz="0" w:space="0" w:color="auto"/>
          <w:tr2bl w:val="none" w:sz="0" w:space="0" w:color="auto"/>
        </w:tcBorders>
      </w:tcPr>
    </w:tblStylePr>
    <w:tblStylePr w:type="neCell">
      <w:rPr>
        <w:b/>
        <w:bCs/>
        <w:i w:val="0"/>
        <w:iCs w:val="0"/>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2">
    <w:name w:val="Table Classic 2"/>
    <w:basedOn w:val="TableNormal"/>
    <w:semiHidden/>
    <w:unhideWhenUsed/>
    <w:rsid w:val="002D66D8"/>
    <w:pPr>
      <w:spacing w:before="120" w:after="120" w:line="280" w:lineRule="atLeast"/>
    </w:pPr>
    <w:tblPr>
      <w:tblBorders>
        <w:top w:val="single" w:sz="12" w:space="0" w:color="000000"/>
        <w:bottom w:val="single" w:sz="12" w:space="0" w:color="000000"/>
      </w:tblBorders>
    </w:tblPr>
    <w:trPr>
      <w:hidden/>
    </w:trPr>
    <w:tcPr>
      <w:shd w:val="clear" w:color="auto" w:fill="auto"/>
    </w:tcPr>
    <w:tblStylePr w:type="firstRow">
      <w:rPr>
        <w:color w:val="FFFFFF"/>
      </w:rPr>
      <w:tblPr/>
      <w:trPr>
        <w:hidden/>
      </w:trPr>
      <w:tcPr>
        <w:tcBorders>
          <w:bottom w:val="single" w:sz="6" w:space="0" w:color="000000"/>
          <w:tl2br w:val="none" w:sz="0" w:space="0" w:color="auto"/>
          <w:tr2bl w:val="none" w:sz="0" w:space="0" w:color="auto"/>
        </w:tcBorders>
        <w:shd w:val="solid" w:color="800080" w:fill="FFFFFF"/>
      </w:tcPr>
    </w:tblStylePr>
    <w:tblStylePr w:type="lastRow">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shd w:val="solid" w:color="C0C0C0" w:fill="FFFFFF"/>
      </w:tcPr>
    </w:tblStylePr>
    <w:tblStylePr w:type="neCell">
      <w:rPr>
        <w:b/>
        <w:bCs/>
      </w:rPr>
      <w:tblPr/>
      <w:trPr>
        <w:hidden/>
      </w:trPr>
      <w:tcPr>
        <w:tcBorders>
          <w:tl2br w:val="none" w:sz="0" w:space="0" w:color="auto"/>
          <w:tr2bl w:val="none" w:sz="0" w:space="0" w:color="auto"/>
        </w:tcBorders>
      </w:tcPr>
    </w:tblStylePr>
    <w:tblStylePr w:type="nwCell">
      <w:tblPr/>
      <w:trPr>
        <w:hidden/>
      </w:trPr>
      <w:tcPr>
        <w:tcBorders>
          <w:tl2br w:val="none" w:sz="0" w:space="0" w:color="auto"/>
          <w:tr2bl w:val="none" w:sz="0" w:space="0" w:color="auto"/>
        </w:tcBorders>
        <w:shd w:val="solid" w:color="800080" w:fill="FFFFFF"/>
      </w:tcPr>
    </w:tblStylePr>
    <w:tblStylePr w:type="swCell">
      <w:rPr>
        <w:color w:val="000080"/>
      </w:rPr>
      <w:tblPr/>
      <w:trPr>
        <w:hidden/>
      </w:trPr>
      <w:tcPr>
        <w:tcBorders>
          <w:tl2br w:val="none" w:sz="0" w:space="0" w:color="auto"/>
          <w:tr2bl w:val="none" w:sz="0" w:space="0" w:color="auto"/>
        </w:tcBorders>
      </w:tcPr>
    </w:tblStylePr>
  </w:style>
  <w:style w:type="table" w:styleId="TableClassic3">
    <w:name w:val="Table Classic 3"/>
    <w:basedOn w:val="TableNormal"/>
    <w:semiHidden/>
    <w:unhideWhenUsed/>
    <w:rsid w:val="002D66D8"/>
    <w:pPr>
      <w:spacing w:before="120" w:after="120" w:line="280" w:lineRule="atLeast"/>
    </w:pPr>
    <w:rPr>
      <w:color w:val="000080"/>
    </w:rPr>
    <w:tblPr>
      <w:tblBorders>
        <w:top w:val="single" w:sz="12" w:space="0" w:color="000000"/>
        <w:left w:val="single" w:sz="12" w:space="0" w:color="000000"/>
        <w:bottom w:val="single" w:sz="12" w:space="0" w:color="000000"/>
        <w:right w:val="single" w:sz="12" w:space="0" w:color="000000"/>
      </w:tblBorders>
    </w:tblPr>
    <w:trPr>
      <w:hidden/>
    </w:trPr>
    <w:tcPr>
      <w:shd w:val="solid" w:color="C0C0C0" w:fill="FFFFFF"/>
    </w:tcPr>
    <w:tblStylePr w:type="firstRow">
      <w:rPr>
        <w:b/>
        <w:bCs/>
        <w:i/>
        <w:iCs/>
        <w:color w:val="FFFFFF"/>
      </w:rPr>
      <w:tblPr/>
      <w:trPr>
        <w:hidden/>
      </w:trPr>
      <w:tcPr>
        <w:tcBorders>
          <w:bottom w:val="single" w:sz="6" w:space="0" w:color="000000"/>
          <w:tl2br w:val="none" w:sz="0" w:space="0" w:color="auto"/>
          <w:tr2bl w:val="none" w:sz="0" w:space="0" w:color="auto"/>
        </w:tcBorders>
        <w:shd w:val="solid" w:color="000080" w:fill="FFFFFF"/>
      </w:tcPr>
    </w:tblStylePr>
    <w:tblStylePr w:type="lastRow">
      <w:rPr>
        <w:color w:val="000080"/>
      </w:rPr>
      <w:tblPr/>
      <w:trPr>
        <w:hidden/>
      </w:tr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rPr>
        <w:hidden/>
      </w:trPr>
      <w:tcPr>
        <w:tcBorders>
          <w:tl2br w:val="none" w:sz="0" w:space="0" w:color="auto"/>
          <w:tr2bl w:val="none" w:sz="0" w:space="0" w:color="auto"/>
        </w:tcBorders>
      </w:tcPr>
    </w:tblStylePr>
  </w:style>
  <w:style w:type="table" w:styleId="TableClassic4">
    <w:name w:val="Table Classic 4"/>
    <w:basedOn w:val="TableNormal"/>
    <w:semiHidden/>
    <w:unhideWhenUsed/>
    <w:rsid w:val="002D66D8"/>
    <w:pPr>
      <w:spacing w:before="120" w:after="120" w:line="280" w:lineRule="atLeast"/>
    </w:pPr>
    <w:tblPr>
      <w:tblBorders>
        <w:top w:val="single" w:sz="12" w:space="0" w:color="000000"/>
        <w:left w:val="single" w:sz="6" w:space="0" w:color="000000"/>
        <w:bottom w:val="single" w:sz="12" w:space="0" w:color="000000"/>
        <w:right w:val="single" w:sz="6" w:space="0" w:color="000000"/>
      </w:tblBorders>
    </w:tblPr>
    <w:trPr>
      <w:hidden/>
    </w:trPr>
    <w:tcPr>
      <w:shd w:val="clear" w:color="auto" w:fill="auto"/>
    </w:tcPr>
    <w:tblStylePr w:type="firstRow">
      <w:rPr>
        <w:b/>
        <w:bCs/>
        <w:i/>
        <w:iCs/>
        <w:color w:val="FFFFFF"/>
      </w:rPr>
      <w:tblPr/>
      <w:trPr>
        <w:hidden/>
      </w:trPr>
      <w:tcPr>
        <w:tcBorders>
          <w:bottom w:val="single" w:sz="6" w:space="0" w:color="000000"/>
          <w:tl2br w:val="none" w:sz="0" w:space="0" w:color="auto"/>
          <w:tr2bl w:val="none" w:sz="0" w:space="0" w:color="auto"/>
        </w:tcBorders>
        <w:shd w:val="pct50" w:color="000080" w:fill="FFFFFF"/>
      </w:tcPr>
    </w:tblStylePr>
    <w:tblStylePr w:type="lastRow">
      <w:rPr>
        <w:color w:val="000080"/>
      </w:rPr>
      <w:tblPr/>
      <w:trPr>
        <w:hidden/>
      </w:trPr>
      <w:tcPr>
        <w:tcBorders>
          <w:bottom w:val="single" w:sz="6" w:space="0" w:color="000000"/>
          <w:tl2br w:val="none" w:sz="0" w:space="0" w:color="auto"/>
          <w:tr2bl w:val="none" w:sz="0" w:space="0" w:color="auto"/>
        </w:tcBorders>
        <w:shd w:val="pct50" w:color="000000" w:fill="FFFFFF"/>
      </w:tcPr>
    </w:tblStylePr>
    <w:tblStylePr w:type="firstCol">
      <w:rPr>
        <w:b/>
        <w:bCs/>
      </w:rPr>
      <w:tblPr/>
      <w:trPr>
        <w:hidden/>
      </w:trPr>
      <w:tcPr>
        <w:tcBorders>
          <w:tl2br w:val="none" w:sz="0" w:space="0" w:color="auto"/>
          <w:tr2bl w:val="none" w:sz="0" w:space="0" w:color="auto"/>
        </w:tcBorders>
      </w:tcPr>
    </w:tblStylePr>
    <w:tblStylePr w:type="nwCell">
      <w:rPr>
        <w:b/>
        <w:bCs/>
      </w:rPr>
      <w:tblPr/>
      <w:trPr>
        <w:hidden/>
      </w:trPr>
      <w:tcPr>
        <w:tcBorders>
          <w:tl2br w:val="none" w:sz="0" w:space="0" w:color="auto"/>
          <w:tr2bl w:val="none" w:sz="0" w:space="0" w:color="auto"/>
        </w:tcBorders>
      </w:tcPr>
    </w:tblStylePr>
    <w:tblStylePr w:type="swCell">
      <w:rPr>
        <w:color w:val="000080"/>
      </w:rPr>
      <w:tblPr/>
      <w:trPr>
        <w:hidden/>
      </w:trPr>
      <w:tcPr>
        <w:tcBorders>
          <w:tl2br w:val="none" w:sz="0" w:space="0" w:color="auto"/>
          <w:tr2bl w:val="none" w:sz="0" w:space="0" w:color="auto"/>
        </w:tcBorders>
      </w:tcPr>
    </w:tblStylePr>
  </w:style>
  <w:style w:type="table" w:styleId="TableColourful1">
    <w:name w:val="Table Colorful 1"/>
    <w:basedOn w:val="TableNormal"/>
    <w:semiHidden/>
    <w:unhideWhenUsed/>
    <w:rsid w:val="002D66D8"/>
    <w:pPr>
      <w:spacing w:before="120" w:after="120" w:line="28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rPr>
      <w:hidden/>
    </w:trPr>
    <w:tcPr>
      <w:shd w:val="solid" w:color="008080" w:fill="FFFFFF"/>
    </w:tcPr>
    <w:tblStylePr w:type="firstRow">
      <w:rPr>
        <w:b/>
        <w:bCs/>
        <w:i/>
        <w:iCs/>
      </w:rPr>
      <w:tblPr/>
      <w:trPr>
        <w:hidden/>
      </w:trPr>
      <w:tcPr>
        <w:tcBorders>
          <w:tl2br w:val="none" w:sz="0" w:space="0" w:color="auto"/>
          <w:tr2bl w:val="none" w:sz="0" w:space="0" w:color="auto"/>
        </w:tcBorders>
        <w:shd w:val="solid" w:color="000000" w:fill="FFFFFF"/>
      </w:tcPr>
    </w:tblStylePr>
    <w:tblStylePr w:type="firstCol">
      <w:rPr>
        <w:b/>
        <w:bCs/>
        <w:i/>
        <w:iCs/>
      </w:rPr>
      <w:tblPr/>
      <w:trPr>
        <w:hidden/>
      </w:trPr>
      <w:tcPr>
        <w:tcBorders>
          <w:tl2br w:val="none" w:sz="0" w:space="0" w:color="auto"/>
          <w:tr2bl w:val="none" w:sz="0" w:space="0" w:color="auto"/>
        </w:tcBorders>
        <w:shd w:val="solid" w:color="000080" w:fill="FFFFFF"/>
      </w:tcPr>
    </w:tblStylePr>
    <w:tblStylePr w:type="nwCell">
      <w:tblPr/>
      <w:trPr>
        <w:hidden/>
      </w:trPr>
      <w:tcPr>
        <w:tcBorders>
          <w:tl2br w:val="none" w:sz="0" w:space="0" w:color="auto"/>
          <w:tr2bl w:val="none" w:sz="0" w:space="0" w:color="auto"/>
        </w:tcBorders>
        <w:shd w:val="solid" w:color="00000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urful2">
    <w:name w:val="Table Colorful 2"/>
    <w:basedOn w:val="TableNormal"/>
    <w:semiHidden/>
    <w:unhideWhenUsed/>
    <w:rsid w:val="002D66D8"/>
    <w:pPr>
      <w:spacing w:before="120" w:after="120" w:line="280" w:lineRule="atLeast"/>
    </w:pPr>
    <w:tblPr>
      <w:tblBorders>
        <w:bottom w:val="single" w:sz="12" w:space="0" w:color="000000"/>
      </w:tblBorders>
    </w:tblPr>
    <w:trPr>
      <w:hidden/>
    </w:trPr>
    <w:tcPr>
      <w:shd w:val="pct20" w:color="FFFF00" w:fill="FFFFFF"/>
    </w:tcPr>
    <w:tblStylePr w:type="firstRow">
      <w:rPr>
        <w:b/>
        <w:bCs/>
        <w:i/>
        <w:iCs/>
        <w:color w:val="FFFFFF"/>
      </w:rPr>
      <w:tblPr/>
      <w:trPr>
        <w:hidden/>
      </w:trPr>
      <w:tcPr>
        <w:tcBorders>
          <w:bottom w:val="single" w:sz="12" w:space="0" w:color="000000"/>
          <w:tl2br w:val="none" w:sz="0" w:space="0" w:color="auto"/>
          <w:tr2bl w:val="none" w:sz="0" w:space="0" w:color="auto"/>
        </w:tcBorders>
        <w:shd w:val="solid" w:color="800000" w:fill="FFFFFF"/>
      </w:tcPr>
    </w:tblStylePr>
    <w:tblStylePr w:type="firstCol">
      <w:rPr>
        <w:b/>
        <w:bCs/>
        <w:i/>
        <w:iCs/>
      </w:rPr>
      <w:tblPr/>
      <w:trPr>
        <w:hidden/>
      </w:trPr>
      <w:tcPr>
        <w:tcBorders>
          <w:tl2br w:val="none" w:sz="0" w:space="0" w:color="auto"/>
          <w:tr2bl w:val="none" w:sz="0" w:space="0" w:color="auto"/>
        </w:tcBorders>
      </w:tcPr>
    </w:tblStylePr>
    <w:tblStylePr w:type="lastCol">
      <w:tblPr/>
      <w:trPr>
        <w:hidden/>
      </w:trPr>
      <w:tcPr>
        <w:tcBorders>
          <w:tl2br w:val="none" w:sz="0" w:space="0" w:color="auto"/>
          <w:tr2bl w:val="none" w:sz="0" w:space="0" w:color="auto"/>
        </w:tcBorders>
        <w:shd w:val="solid" w:color="C0C0C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urful3">
    <w:name w:val="Table Colorful 3"/>
    <w:basedOn w:val="TableNormal"/>
    <w:semiHidden/>
    <w:unhideWhenUsed/>
    <w:rsid w:val="002D66D8"/>
    <w:pPr>
      <w:spacing w:before="120" w:after="120" w:line="28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rPr>
      <w:hidden/>
    </w:trPr>
    <w:tcPr>
      <w:shd w:val="pct25" w:color="008080" w:fill="FFFFFF"/>
    </w:tcPr>
    <w:tblStylePr w:type="firstRow">
      <w:tblPr/>
      <w:trPr>
        <w:hidden/>
      </w:trPr>
      <w:tcPr>
        <w:tcBorders>
          <w:bottom w:val="single" w:sz="6" w:space="0" w:color="000000"/>
          <w:tl2br w:val="none" w:sz="0" w:space="0" w:color="auto"/>
          <w:tr2bl w:val="none" w:sz="0" w:space="0" w:color="auto"/>
        </w:tcBorders>
        <w:shd w:val="solid" w:color="008080" w:fill="FFFFFF"/>
      </w:tcPr>
    </w:tblStylePr>
    <w:tblStylePr w:type="firstCol">
      <w:tblPr/>
      <w:trPr>
        <w:hidden/>
      </w:tr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rPr>
        <w:hidden/>
      </w:tr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2D66D8"/>
    <w:pPr>
      <w:spacing w:before="120" w:after="120" w:line="28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rPr>
      <w:hidden/>
    </w:trPr>
    <w:tblStylePr w:type="firstRow">
      <w:rPr>
        <w:b w:val="0"/>
        <w:bCs w:val="0"/>
      </w:rPr>
      <w:tblPr/>
      <w:trPr>
        <w:hidden/>
      </w:trPr>
      <w:tcPr>
        <w:tcBorders>
          <w:bottom w:val="double" w:sz="6" w:space="0" w:color="000000"/>
          <w:tl2br w:val="none" w:sz="0" w:space="0" w:color="auto"/>
          <w:tr2bl w:val="none" w:sz="0" w:space="0" w:color="auto"/>
        </w:tcBorders>
      </w:tcPr>
    </w:tblStylePr>
    <w:tblStylePr w:type="lastRow">
      <w:rPr>
        <w:b w:val="0"/>
        <w:bCs w:val="0"/>
      </w:rPr>
      <w:tblPr/>
      <w:trPr>
        <w:hidden/>
      </w:trPr>
      <w:tcPr>
        <w:tcBorders>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25" w:color="000000" w:fill="FFFFFF"/>
      </w:tcPr>
    </w:tblStylePr>
    <w:tblStylePr w:type="band2Vert">
      <w:rPr>
        <w:color w:val="auto"/>
      </w:rPr>
      <w:tblPr/>
      <w:trPr>
        <w:hidden/>
      </w:trPr>
      <w:tcPr>
        <w:shd w:val="pct25" w:color="FF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2">
    <w:name w:val="Table Columns 2"/>
    <w:basedOn w:val="TableNormal"/>
    <w:semiHidden/>
    <w:unhideWhenUsed/>
    <w:rsid w:val="002D66D8"/>
    <w:pPr>
      <w:spacing w:before="120" w:after="120" w:line="280" w:lineRule="atLeast"/>
    </w:pPr>
    <w:rPr>
      <w:b/>
      <w:bCs/>
    </w:rPr>
    <w:tblPr>
      <w:tblStyleColBandSize w:val="1"/>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l2br w:val="none" w:sz="0" w:space="0" w:color="auto"/>
          <w:tr2bl w:val="none" w:sz="0" w:space="0" w:color="auto"/>
        </w:tcBorders>
      </w:tcPr>
    </w:tblStylePr>
    <w:tblStylePr w:type="firstCol">
      <w:rPr>
        <w:b w:val="0"/>
        <w:bCs w:val="0"/>
        <w:color w:val="00000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30" w:color="000000" w:fill="FFFFFF"/>
      </w:tcPr>
    </w:tblStylePr>
    <w:tblStylePr w:type="band2Vert">
      <w:rPr>
        <w:color w:val="auto"/>
      </w:rPr>
      <w:tblPr/>
      <w:trPr>
        <w:hidden/>
      </w:trPr>
      <w:tcPr>
        <w:shd w:val="pct25" w:color="00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3">
    <w:name w:val="Table Columns 3"/>
    <w:basedOn w:val="TableNormal"/>
    <w:semiHidden/>
    <w:unhideWhenUsed/>
    <w:rsid w:val="002D66D8"/>
    <w:pPr>
      <w:spacing w:before="120" w:after="120" w:line="28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op w:val="single" w:sz="6" w:space="0" w:color="00008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10" w:color="000000" w:fill="FFFFFF"/>
      </w:tcPr>
    </w:tblStylePr>
    <w:tblStylePr w:type="neCell">
      <w:rPr>
        <w:b/>
        <w:bCs/>
      </w:rPr>
      <w:tblPr/>
      <w:trPr>
        <w:hidden/>
      </w:trPr>
      <w:tcPr>
        <w:tcBorders>
          <w:tl2br w:val="none" w:sz="0" w:space="0" w:color="auto"/>
          <w:tr2bl w:val="none" w:sz="0" w:space="0" w:color="auto"/>
        </w:tcBorders>
      </w:tcPr>
    </w:tblStylePr>
  </w:style>
  <w:style w:type="table" w:styleId="TableColumns4">
    <w:name w:val="Table Columns 4"/>
    <w:basedOn w:val="TableNormal"/>
    <w:semiHidden/>
    <w:unhideWhenUsed/>
    <w:rsid w:val="002D66D8"/>
    <w:pPr>
      <w:spacing w:before="120" w:after="120" w:line="280" w:lineRule="atLeast"/>
    </w:pPr>
    <w:tblPr>
      <w:tblStyleColBandSize w:val="1"/>
    </w:tblPr>
    <w:trPr>
      <w:hidden/>
    </w:trPr>
    <w:tblStylePr w:type="firstRow">
      <w:rPr>
        <w:color w:val="FFFFFF"/>
      </w:rPr>
      <w:tblPr/>
      <w:trPr>
        <w:hidden/>
      </w:trPr>
      <w:tcPr>
        <w:tcBorders>
          <w:tl2br w:val="none" w:sz="0" w:space="0" w:color="auto"/>
          <w:tr2bl w:val="none" w:sz="0" w:space="0" w:color="auto"/>
        </w:tcBorders>
        <w:shd w:val="solid" w:color="0000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pct50" w:color="008080" w:fill="FFFFFF"/>
      </w:tcPr>
    </w:tblStylePr>
    <w:tblStylePr w:type="band2Vert">
      <w:rPr>
        <w:color w:val="auto"/>
      </w:rPr>
      <w:tblPr/>
      <w:trPr>
        <w:hidden/>
      </w:trPr>
      <w:tcPr>
        <w:shd w:val="pct10" w:color="000000" w:fill="FFFFFF"/>
      </w:tcPr>
    </w:tblStylePr>
  </w:style>
  <w:style w:type="table" w:styleId="TableColumns5">
    <w:name w:val="Table Columns 5"/>
    <w:basedOn w:val="TableNormal"/>
    <w:semiHidden/>
    <w:unhideWhenUsed/>
    <w:rsid w:val="002D66D8"/>
    <w:pPr>
      <w:spacing w:before="120" w:after="120" w:line="28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rPr>
      <w:hidden/>
    </w:trPr>
    <w:tblStylePr w:type="firstRow">
      <w:rPr>
        <w:b/>
        <w:bCs/>
        <w:i/>
        <w:iCs/>
      </w:rPr>
      <w:tblPr/>
      <w:trPr>
        <w:hidden/>
      </w:trPr>
      <w:tcPr>
        <w:tcBorders>
          <w:bottom w:val="single" w:sz="6" w:space="0" w:color="808080"/>
          <w:tl2br w:val="none" w:sz="0" w:space="0" w:color="auto"/>
          <w:tr2bl w:val="none" w:sz="0" w:space="0" w:color="auto"/>
        </w:tcBorders>
      </w:tcPr>
    </w:tblStylePr>
    <w:tblStylePr w:type="lastRow">
      <w:rPr>
        <w:b/>
        <w:bCs/>
      </w:rPr>
      <w:tblPr/>
      <w:trPr>
        <w:hidden/>
      </w:trPr>
      <w:tcPr>
        <w:tcBorders>
          <w:top w:val="single" w:sz="6" w:space="0" w:color="80808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StylePr>
  </w:style>
  <w:style w:type="table" w:styleId="TableContemporary">
    <w:name w:val="Table Contemporary"/>
    <w:basedOn w:val="TableNormal"/>
    <w:semiHidden/>
    <w:unhideWhenUsed/>
    <w:rsid w:val="002D66D8"/>
    <w:pPr>
      <w:spacing w:before="120" w:after="120" w:line="280" w:lineRule="atLeast"/>
    </w:pPr>
    <w:tblPr>
      <w:tblStyleRowBandSize w:val="1"/>
      <w:tblBorders>
        <w:insideH w:val="single" w:sz="18" w:space="0" w:color="FFFFFF"/>
        <w:insideV w:val="single" w:sz="18" w:space="0" w:color="FFFFFF"/>
      </w:tblBorders>
    </w:tblPr>
    <w:trPr>
      <w:hidden/>
    </w:trPr>
    <w:tblStylePr w:type="firstRow">
      <w:rPr>
        <w:b/>
        <w:bCs/>
        <w:color w:val="auto"/>
      </w:rPr>
      <w:tblPr/>
      <w:trPr>
        <w:hidden/>
      </w:trPr>
      <w:tcPr>
        <w:tcBorders>
          <w:tl2br w:val="none" w:sz="0" w:space="0" w:color="auto"/>
          <w:tr2bl w:val="none" w:sz="0" w:space="0" w:color="auto"/>
        </w:tcBorders>
        <w:shd w:val="pct20" w:color="000000" w:fill="FFFFFF"/>
      </w:tcPr>
    </w:tblStylePr>
    <w:tblStylePr w:type="band1Horz">
      <w:rPr>
        <w:color w:val="auto"/>
      </w:rPr>
      <w:tblPr/>
      <w:trPr>
        <w:hidden/>
      </w:trPr>
      <w:tcPr>
        <w:tcBorders>
          <w:tl2br w:val="none" w:sz="0" w:space="0" w:color="auto"/>
          <w:tr2bl w:val="none" w:sz="0" w:space="0" w:color="auto"/>
        </w:tcBorders>
        <w:shd w:val="pct5" w:color="000000" w:fill="FFFFFF"/>
      </w:tcPr>
    </w:tblStylePr>
    <w:tblStylePr w:type="band2Horz">
      <w:rPr>
        <w:color w:val="auto"/>
      </w:rPr>
      <w:tblPr/>
      <w:trPr>
        <w:hidden/>
      </w:tr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2D66D8"/>
    <w:pPr>
      <w:spacing w:before="120" w:after="120" w:line="28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rPr>
      <w:hidden/>
    </w:trPr>
    <w:tcPr>
      <w:shd w:val="clear" w:color="auto" w:fill="auto"/>
    </w:tcPr>
    <w:tblStylePr w:type="firstRow">
      <w:rPr>
        <w:caps/>
        <w:color w:val="auto"/>
      </w:rPr>
      <w:tblPr/>
      <w:trPr>
        <w:hidden/>
      </w:trPr>
      <w:tcPr>
        <w:tcBorders>
          <w:tl2br w:val="none" w:sz="0" w:space="0" w:color="auto"/>
          <w:tr2bl w:val="none" w:sz="0" w:space="0" w:color="auto"/>
        </w:tcBorders>
      </w:tcPr>
    </w:tblStylePr>
  </w:style>
  <w:style w:type="table" w:styleId="TableGrid1">
    <w:name w:val="Table Grid 1"/>
    <w:basedOn w:val="TableNormal"/>
    <w:semiHidden/>
    <w:unhideWhenUsed/>
    <w:rsid w:val="002D66D8"/>
    <w:pPr>
      <w:spacing w:before="120" w:after="12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lastRow">
      <w:rPr>
        <w:i/>
        <w:iCs/>
      </w:rPr>
      <w:tblPr/>
      <w:trPr>
        <w:hidden/>
      </w:trPr>
      <w:tcPr>
        <w:tcBorders>
          <w:tl2br w:val="none" w:sz="0" w:space="0" w:color="auto"/>
          <w:tr2bl w:val="none" w:sz="0" w:space="0" w:color="auto"/>
        </w:tcBorders>
      </w:tcPr>
    </w:tblStylePr>
    <w:tblStylePr w:type="lastCol">
      <w:rPr>
        <w:i/>
        <w:iCs/>
      </w:rPr>
      <w:tblPr/>
      <w:trPr>
        <w:hidden/>
      </w:trPr>
      <w:tcPr>
        <w:tcBorders>
          <w:tl2br w:val="none" w:sz="0" w:space="0" w:color="auto"/>
          <w:tr2bl w:val="none" w:sz="0" w:space="0" w:color="auto"/>
        </w:tcBorders>
      </w:tcPr>
    </w:tblStylePr>
  </w:style>
  <w:style w:type="table" w:styleId="TableGrid2">
    <w:name w:val="Table Grid 2"/>
    <w:basedOn w:val="TableNormal"/>
    <w:semiHidden/>
    <w:unhideWhenUsed/>
    <w:rsid w:val="002D66D8"/>
    <w:pPr>
      <w:spacing w:before="120" w:after="120" w:line="280" w:lineRule="atLeast"/>
    </w:pPr>
    <w:tblPr>
      <w:tblBorders>
        <w:insideH w:val="single" w:sz="6" w:space="0" w:color="000000"/>
        <w:insideV w:val="single" w:sz="6" w:space="0" w:color="000000"/>
      </w:tblBorders>
    </w:tblPr>
    <w:trPr>
      <w:hidden/>
    </w:trPr>
    <w:tcPr>
      <w:shd w:val="clear" w:color="auto" w:fill="auto"/>
    </w:tcPr>
    <w:tblStylePr w:type="firstRow">
      <w:rPr>
        <w:b/>
        <w:bCs/>
      </w:rPr>
      <w:tblPr/>
      <w:trPr>
        <w:hidden/>
      </w:trPr>
      <w:tcPr>
        <w:tcBorders>
          <w:tl2br w:val="none" w:sz="0" w:space="0" w:color="auto"/>
          <w:tr2bl w:val="none" w:sz="0" w:space="0" w:color="auto"/>
        </w:tcBorders>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3">
    <w:name w:val="Table Grid 3"/>
    <w:basedOn w:val="TableNormal"/>
    <w:semiHidden/>
    <w:unhideWhenUsed/>
    <w:rsid w:val="002D66D8"/>
    <w:pPr>
      <w:spacing w:before="120" w:after="120" w:line="28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rPr>
      <w:hidden/>
    </w:trPr>
    <w:tcPr>
      <w:shd w:val="clear" w:color="auto" w:fill="auto"/>
    </w:tcPr>
    <w:tblStylePr w:type="firstRow">
      <w:tblPr/>
      <w:trPr>
        <w:hidden/>
      </w:trPr>
      <w:tcPr>
        <w:tcBorders>
          <w:bottom w:val="single" w:sz="6" w:space="0" w:color="000000"/>
          <w:tl2br w:val="none" w:sz="0" w:space="0" w:color="auto"/>
          <w:tr2bl w:val="none" w:sz="0" w:space="0" w:color="auto"/>
        </w:tcBorders>
        <w:shd w:val="pct30" w:color="FFFF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4">
    <w:name w:val="Table Grid 4"/>
    <w:basedOn w:val="TableNormal"/>
    <w:semiHidden/>
    <w:unhideWhenUsed/>
    <w:rsid w:val="002D66D8"/>
    <w:pPr>
      <w:spacing w:before="120" w:after="120" w:line="280" w:lineRule="atLeast"/>
    </w:pPr>
    <w:tblPr>
      <w:tblBorders>
        <w:left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color w:val="auto"/>
      </w:rPr>
      <w:tblPr/>
      <w:trPr>
        <w:hidden/>
      </w:tr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rPr>
        <w:hidden/>
      </w:trPr>
      <w:tcPr>
        <w:tcBorders>
          <w:top w:val="single" w:sz="6" w:space="0" w:color="000000"/>
          <w:tl2br w:val="none" w:sz="0" w:space="0" w:color="auto"/>
          <w:tr2bl w:val="none" w:sz="0" w:space="0" w:color="auto"/>
        </w:tcBorders>
        <w:shd w:val="pct30" w:color="FFFF00" w:fill="FFFFFF"/>
      </w:tcPr>
    </w:tblStylePr>
    <w:tblStylePr w:type="lastCol">
      <w:rPr>
        <w:b/>
        <w:bCs/>
        <w:color w:val="auto"/>
      </w:rPr>
      <w:tblPr/>
      <w:trPr>
        <w:hidden/>
      </w:trPr>
      <w:tcPr>
        <w:tcBorders>
          <w:tl2br w:val="none" w:sz="0" w:space="0" w:color="auto"/>
          <w:tr2bl w:val="none" w:sz="0" w:space="0" w:color="auto"/>
        </w:tcBorders>
      </w:tcPr>
    </w:tblStylePr>
  </w:style>
  <w:style w:type="table" w:styleId="TableGrid5">
    <w:name w:val="Table Grid 5"/>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tblPr/>
      <w:trPr>
        <w:hidden/>
      </w:trPr>
      <w:tcPr>
        <w:tcBorders>
          <w:bottom w:val="single" w:sz="12" w:space="0" w:color="000000"/>
          <w:tl2br w:val="none" w:sz="0" w:space="0" w:color="auto"/>
          <w:tr2bl w:val="none" w:sz="0" w:space="0" w:color="auto"/>
        </w:tcBorders>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6">
    <w:name w:val="Table Grid 6"/>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rPr>
      <w:hidden/>
    </w:trPr>
    <w:tcPr>
      <w:shd w:val="clear" w:color="auto" w:fill="auto"/>
    </w:tcPr>
    <w:tblStylePr w:type="firstRow">
      <w:rPr>
        <w:b/>
        <w:b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7">
    <w:name w:val="Table Grid 7"/>
    <w:basedOn w:val="TableNormal"/>
    <w:semiHidden/>
    <w:unhideWhenUsed/>
    <w:rsid w:val="002D66D8"/>
    <w:pPr>
      <w:spacing w:before="120" w:after="120" w:line="28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b w:val="0"/>
        <w:bCs w:val="0"/>
      </w:rPr>
      <w:tblPr/>
      <w:trPr>
        <w:hidden/>
      </w:trPr>
      <w:tcPr>
        <w:tcBorders>
          <w:bottom w:val="single" w:sz="12" w:space="0" w:color="000000"/>
          <w:tl2br w:val="none" w:sz="0" w:space="0" w:color="auto"/>
          <w:tr2bl w:val="none" w:sz="0" w:space="0" w:color="auto"/>
        </w:tcBorders>
      </w:tcPr>
    </w:tblStylePr>
    <w:tblStylePr w:type="lastRow">
      <w:rPr>
        <w:b w:val="0"/>
        <w:bCs w:val="0"/>
      </w:rPr>
      <w:tblPr/>
      <w:trPr>
        <w:hidden/>
      </w:trPr>
      <w:tcPr>
        <w:tcBorders>
          <w:top w:val="single" w:sz="6" w:space="0" w:color="00000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8">
    <w:name w:val="Table Grid 8"/>
    <w:basedOn w:val="TableNormal"/>
    <w:semiHidden/>
    <w:unhideWhenUsed/>
    <w:rsid w:val="002D66D8"/>
    <w:pPr>
      <w:spacing w:before="120" w:after="120" w:line="28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80" w:fill="FFFFFF"/>
      </w:tcPr>
    </w:tblStylePr>
    <w:tblStylePr w:type="lastRow">
      <w:rPr>
        <w:b/>
        <w:bCs/>
        <w:color w:val="auto"/>
      </w:rPr>
      <w:tblPr/>
      <w:trPr>
        <w:hidden/>
      </w:trPr>
      <w:tcPr>
        <w:tcBorders>
          <w:tl2br w:val="none" w:sz="0" w:space="0" w:color="auto"/>
          <w:tr2bl w:val="none" w:sz="0" w:space="0" w:color="auto"/>
        </w:tcBorders>
      </w:tcPr>
    </w:tblStylePr>
    <w:tblStylePr w:type="lastCol">
      <w:rPr>
        <w:b/>
        <w:bCs/>
        <w:color w:val="auto"/>
      </w:rPr>
      <w:tblPr/>
      <w:trPr>
        <w:hidden/>
      </w:trPr>
      <w:tcPr>
        <w:tcBorders>
          <w:tl2br w:val="none" w:sz="0" w:space="0" w:color="auto"/>
          <w:tr2bl w:val="none" w:sz="0" w:space="0" w:color="auto"/>
        </w:tcBorders>
      </w:tcPr>
    </w:tblStylePr>
  </w:style>
  <w:style w:type="table" w:styleId="TableList1">
    <w:name w:val="Table List 1"/>
    <w:basedOn w:val="TableNormal"/>
    <w:semiHidden/>
    <w:unhideWhenUsed/>
    <w:rsid w:val="002D66D8"/>
    <w:pPr>
      <w:spacing w:before="120" w:after="120" w:line="280" w:lineRule="atLeast"/>
    </w:pPr>
    <w:tblPr>
      <w:tblStyleRowBandSize w:val="1"/>
      <w:tblBorders>
        <w:top w:val="single" w:sz="12" w:space="0" w:color="008080"/>
        <w:left w:val="single" w:sz="6" w:space="0" w:color="008080"/>
        <w:bottom w:val="single" w:sz="12" w:space="0" w:color="008080"/>
        <w:right w:val="single" w:sz="6" w:space="0" w:color="008080"/>
      </w:tblBorders>
    </w:tblPr>
    <w:trPr>
      <w:hidden/>
    </w:trPr>
    <w:tblStylePr w:type="firstRow">
      <w:rPr>
        <w:b/>
        <w:bCs/>
        <w:i/>
        <w:iCs/>
        <w:color w:val="800000"/>
      </w:rPr>
      <w:tblPr/>
      <w:trPr>
        <w:hidden/>
      </w:trPr>
      <w:tcPr>
        <w:tcBorders>
          <w:bottom w:val="single" w:sz="6" w:space="0" w:color="000000"/>
          <w:tl2br w:val="none" w:sz="0" w:space="0" w:color="auto"/>
          <w:tr2bl w:val="none" w:sz="0" w:space="0" w:color="auto"/>
        </w:tcBorders>
        <w:shd w:val="solid" w:color="C0C0C0" w:fill="FFFFFF"/>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solid" w:color="C0C0C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2">
    <w:name w:val="Table List 2"/>
    <w:basedOn w:val="TableNormal"/>
    <w:semiHidden/>
    <w:unhideWhenUsed/>
    <w:rsid w:val="002D66D8"/>
    <w:pPr>
      <w:spacing w:before="120" w:after="120" w:line="280" w:lineRule="atLeast"/>
    </w:pPr>
    <w:tblPr>
      <w:tblStyleRowBandSize w:val="2"/>
      <w:tblBorders>
        <w:bottom w:val="single" w:sz="12" w:space="0" w:color="808080"/>
      </w:tblBorders>
    </w:tblPr>
    <w:trPr>
      <w:hidden/>
    </w:trPr>
    <w:tblStylePr w:type="firstRow">
      <w:rPr>
        <w:b/>
        <w:bCs/>
        <w:color w:val="FFFFFF"/>
      </w:rPr>
      <w:tblPr/>
      <w:trPr>
        <w:hidden/>
      </w:trPr>
      <w:tcPr>
        <w:tcBorders>
          <w:bottom w:val="single" w:sz="6" w:space="0" w:color="000000"/>
          <w:tl2br w:val="none" w:sz="0" w:space="0" w:color="auto"/>
          <w:tr2bl w:val="none" w:sz="0" w:space="0" w:color="auto"/>
        </w:tcBorders>
        <w:shd w:val="pct75" w:color="008080" w:fill="008000"/>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FF0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3">
    <w:name w:val="Table List 3"/>
    <w:basedOn w:val="TableNormal"/>
    <w:semiHidden/>
    <w:unhideWhenUsed/>
    <w:rsid w:val="002D66D8"/>
    <w:pPr>
      <w:spacing w:before="120" w:after="120" w:line="280" w:lineRule="atLeast"/>
    </w:pPr>
    <w:tblPr>
      <w:tblBorders>
        <w:top w:val="single" w:sz="12" w:space="0" w:color="000000"/>
        <w:bottom w:val="single" w:sz="12" w:space="0" w:color="000000"/>
        <w:insideH w:val="single" w:sz="6" w:space="0" w:color="000000"/>
      </w:tblBorders>
    </w:tblPr>
    <w:trPr>
      <w:hidden/>
    </w:trPr>
    <w:tcPr>
      <w:shd w:val="clear" w:color="auto" w:fill="auto"/>
    </w:tcPr>
    <w:tblStylePr w:type="firstRow">
      <w:rPr>
        <w:b/>
        <w:bCs/>
        <w:color w:val="000080"/>
      </w:rPr>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swCell">
      <w:rPr>
        <w:i/>
        <w:iCs/>
        <w:color w:val="000080"/>
      </w:rPr>
      <w:tblPr/>
      <w:trPr>
        <w:hidden/>
      </w:trPr>
      <w:tcPr>
        <w:tcBorders>
          <w:tl2br w:val="none" w:sz="0" w:space="0" w:color="auto"/>
          <w:tr2bl w:val="none" w:sz="0" w:space="0" w:color="auto"/>
        </w:tcBorders>
      </w:tcPr>
    </w:tblStylePr>
  </w:style>
  <w:style w:type="table" w:styleId="TableList4">
    <w:name w:val="Table List 4"/>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rPr>
      <w:hidden/>
    </w:trPr>
    <w:tcPr>
      <w:shd w:val="clear" w:color="auto" w:fill="auto"/>
    </w:tcPr>
    <w:tblStylePr w:type="firstRow">
      <w:rPr>
        <w:b/>
        <w:bCs/>
        <w:color w:val="FFFFFF"/>
      </w:rPr>
      <w:tblPr/>
      <w:trPr>
        <w:hidden/>
      </w:trPr>
      <w:tcPr>
        <w:tcBorders>
          <w:bottom w:val="single" w:sz="12" w:space="0" w:color="000000"/>
          <w:tl2br w:val="none" w:sz="0" w:space="0" w:color="auto"/>
          <w:tr2bl w:val="none" w:sz="0" w:space="0" w:color="auto"/>
        </w:tcBorders>
        <w:shd w:val="solid" w:color="808080" w:fill="FFFFFF"/>
      </w:tcPr>
    </w:tblStylePr>
  </w:style>
  <w:style w:type="table" w:styleId="TableList6">
    <w:name w:val="Table List 6"/>
    <w:basedOn w:val="TableNormal"/>
    <w:semiHidden/>
    <w:unhideWhenUsed/>
    <w:rsid w:val="002D66D8"/>
    <w:pPr>
      <w:spacing w:before="120" w:after="120" w:line="280" w:lineRule="atLeast"/>
    </w:pPr>
    <w:tblPr>
      <w:tblStyleRowBandSize w:val="1"/>
      <w:tblBorders>
        <w:top w:val="single" w:sz="6" w:space="0" w:color="000000"/>
        <w:left w:val="single" w:sz="6" w:space="0" w:color="000000"/>
        <w:bottom w:val="single" w:sz="6" w:space="0" w:color="000000"/>
        <w:right w:val="single" w:sz="6" w:space="0" w:color="000000"/>
      </w:tblBorders>
    </w:tblPr>
    <w:trPr>
      <w:hidden/>
    </w:trPr>
    <w:tcPr>
      <w:shd w:val="pct50" w:color="000000" w:fill="FFFFFF"/>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band1Horz">
      <w:tblPr/>
      <w:trPr>
        <w:hidden/>
      </w:tr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2D66D8"/>
    <w:pPr>
      <w:spacing w:before="120" w:after="120" w:line="28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rPr>
      <w:hidden/>
    </w:trPr>
    <w:tblStylePr w:type="firstRow">
      <w:rPr>
        <w:b/>
        <w:bCs/>
      </w:rPr>
      <w:tblPr/>
      <w:trPr>
        <w:hidden/>
      </w:trPr>
      <w:tcPr>
        <w:tcBorders>
          <w:bottom w:val="single" w:sz="12" w:space="0" w:color="008000"/>
          <w:tl2br w:val="none" w:sz="0" w:space="0" w:color="auto"/>
          <w:tr2bl w:val="none" w:sz="0" w:space="0" w:color="auto"/>
        </w:tcBorders>
        <w:shd w:val="solid" w:color="C0C0C0" w:fill="FFFFFF"/>
      </w:tcPr>
    </w:tblStylePr>
    <w:tblStylePr w:type="lastRow">
      <w:rPr>
        <w:b/>
        <w:bCs/>
      </w:rPr>
      <w:tblPr/>
      <w:trPr>
        <w:hidden/>
      </w:trPr>
      <w:tcPr>
        <w:tcBorders>
          <w:top w:val="single" w:sz="12" w:space="0" w:color="008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0000" w:fill="FFFFFF"/>
      </w:tcPr>
    </w:tblStylePr>
    <w:tblStylePr w:type="band2Horz">
      <w:tblPr/>
      <w:trPr>
        <w:hidden/>
      </w:tr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2D66D8"/>
    <w:pPr>
      <w:spacing w:before="120" w:after="120" w:line="28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rPr>
      <w:hidden/>
    </w:trPr>
    <w:tblStylePr w:type="firstRow">
      <w:rPr>
        <w:b/>
        <w:bCs/>
        <w:i/>
        <w:iCs/>
      </w:rPr>
      <w:tblPr/>
      <w:trPr>
        <w:hidden/>
      </w:trPr>
      <w:tcPr>
        <w:tcBorders>
          <w:bottom w:val="single" w:sz="6" w:space="0" w:color="000000"/>
          <w:tl2br w:val="none" w:sz="0" w:space="0" w:color="auto"/>
          <w:tr2bl w:val="none" w:sz="0" w:space="0" w:color="auto"/>
        </w:tcBorders>
        <w:shd w:val="solid" w:color="FFFF00" w:fill="FFFFFF"/>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5" w:color="FFFF00" w:fill="FFFFFF"/>
      </w:tcPr>
    </w:tblStylePr>
    <w:tblStylePr w:type="band2Horz">
      <w:tblPr/>
      <w:trPr>
        <w:hidden/>
      </w:tr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2D66D8"/>
    <w:pPr>
      <w:ind w:left="240" w:hanging="240"/>
    </w:pPr>
  </w:style>
  <w:style w:type="table" w:styleId="TableProfessional">
    <w:name w:val="Table Professional"/>
    <w:basedOn w:val="TableNormal"/>
    <w:semiHidden/>
    <w:unhideWhenUsed/>
    <w:rsid w:val="002D66D8"/>
    <w:pPr>
      <w:spacing w:before="120" w:after="12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firstRow">
      <w:rPr>
        <w:b/>
        <w:bCs/>
        <w:color w:val="auto"/>
      </w:rPr>
      <w:tblPr/>
      <w:trPr>
        <w:hidden/>
      </w:tr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2D66D8"/>
    <w:pPr>
      <w:spacing w:before="120" w:after="120" w:line="280" w:lineRule="atLeast"/>
    </w:pPr>
    <w:tblPr>
      <w:tblBorders>
        <w:top w:val="single" w:sz="12" w:space="0" w:color="008000"/>
        <w:bottom w:val="single" w:sz="12" w:space="0" w:color="008000"/>
      </w:tblBorders>
    </w:tblPr>
    <w:trPr>
      <w:hidden/>
    </w:trPr>
    <w:tcPr>
      <w:shd w:val="clear" w:color="auto" w:fill="auto"/>
    </w:tcPr>
    <w:tblStylePr w:type="firstRow">
      <w:tblPr/>
      <w:trPr>
        <w:hidden/>
      </w:trPr>
      <w:tcPr>
        <w:tcBorders>
          <w:bottom w:val="single" w:sz="6" w:space="0" w:color="008000"/>
          <w:tl2br w:val="none" w:sz="0" w:space="0" w:color="auto"/>
          <w:tr2bl w:val="none" w:sz="0" w:space="0" w:color="auto"/>
        </w:tcBorders>
      </w:tcPr>
    </w:tblStylePr>
    <w:tblStylePr w:type="lastRow">
      <w:tblPr/>
      <w:trPr>
        <w:hidden/>
      </w:tr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2D66D8"/>
    <w:pPr>
      <w:spacing w:before="120" w:after="120" w:line="280" w:lineRule="atLeast"/>
    </w:pPr>
    <w:tblPr/>
    <w:trPr>
      <w:hidden/>
    </w:trPr>
    <w:tblStylePr w:type="firstRow">
      <w:rPr>
        <w:b/>
        <w:bCs/>
      </w:rPr>
      <w:tblPr/>
      <w:trPr>
        <w:hidden/>
      </w:trPr>
      <w:tcPr>
        <w:tcBorders>
          <w:bottom w:val="single" w:sz="12" w:space="0" w:color="000000"/>
          <w:tl2br w:val="none" w:sz="0" w:space="0" w:color="auto"/>
          <w:tr2bl w:val="none" w:sz="0" w:space="0" w:color="auto"/>
        </w:tcBorders>
      </w:tcPr>
    </w:tblStylePr>
    <w:tblStylePr w:type="lastRow">
      <w:rPr>
        <w:b/>
        <w:bCs/>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lastCol">
      <w:rPr>
        <w:b/>
        <w:bCs/>
      </w:rPr>
      <w:tblPr/>
      <w:trPr>
        <w:hidden/>
      </w:trPr>
      <w:tcPr>
        <w:tcBorders>
          <w:left w:val="single" w:sz="6" w:space="0" w:color="000000"/>
          <w:tl2br w:val="none" w:sz="0" w:space="0" w:color="auto"/>
          <w:tr2bl w:val="none" w:sz="0" w:space="0" w:color="auto"/>
        </w:tcBorders>
      </w:tcPr>
    </w:tblStylePr>
    <w:tblStylePr w:type="neCell">
      <w:rPr>
        <w:b/>
        <w:bCs/>
      </w:rPr>
      <w:tblPr/>
      <w:trPr>
        <w:hidden/>
      </w:trPr>
      <w:tcPr>
        <w:tcBorders>
          <w:left w:val="none" w:sz="0" w:space="0" w:color="auto"/>
          <w:tl2br w:val="none" w:sz="0" w:space="0" w:color="auto"/>
          <w:tr2bl w:val="none" w:sz="0" w:space="0" w:color="auto"/>
        </w:tcBorders>
      </w:tcPr>
    </w:tblStylePr>
    <w:tblStylePr w:type="swCell">
      <w:rPr>
        <w:b/>
        <w:bCs/>
      </w:rPr>
      <w:tblPr/>
      <w:trPr>
        <w:hidden/>
      </w:tr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2D66D8"/>
    <w:pPr>
      <w:spacing w:before="120" w:after="120" w:line="280" w:lineRule="atLeast"/>
    </w:pPr>
    <w:tblPr>
      <w:tblStyleRowBandSize w:val="1"/>
    </w:tblPr>
    <w:trPr>
      <w:hidden/>
    </w:trPr>
    <w:tblStylePr w:type="firstRow">
      <w:tblPr/>
      <w:trPr>
        <w:hidden/>
      </w:trPr>
      <w:tcPr>
        <w:tcBorders>
          <w:top w:val="single" w:sz="6" w:space="0" w:color="000000"/>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shd w:val="pct25" w:color="800080" w:fill="FFFFFF"/>
      </w:tcPr>
    </w:tblStylePr>
    <w:tblStylePr w:type="firstCol">
      <w:tblPr/>
      <w:trPr>
        <w:hidden/>
      </w:trPr>
      <w:tcPr>
        <w:tcBorders>
          <w:right w:val="single" w:sz="12" w:space="0" w:color="000000"/>
          <w:tl2br w:val="none" w:sz="0" w:space="0" w:color="auto"/>
          <w:tr2bl w:val="none" w:sz="0" w:space="0" w:color="auto"/>
        </w:tcBorders>
      </w:tcPr>
    </w:tblStylePr>
    <w:tblStylePr w:type="lastCol">
      <w:tblPr/>
      <w:trPr>
        <w:hidden/>
      </w:trPr>
      <w:tcPr>
        <w:tcBorders>
          <w:left w:val="single" w:sz="12" w:space="0" w:color="000000"/>
          <w:tl2br w:val="none" w:sz="0" w:space="0" w:color="auto"/>
          <w:tr2bl w:val="none" w:sz="0" w:space="0" w:color="auto"/>
        </w:tcBorders>
      </w:tcPr>
    </w:tblStylePr>
    <w:tblStylePr w:type="band1Horz">
      <w:tblPr/>
      <w:trPr>
        <w:hidden/>
      </w:trPr>
      <w:tcPr>
        <w:tcBorders>
          <w:bottom w:val="single" w:sz="6"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Subtle2">
    <w:name w:val="Table Subtle 2"/>
    <w:basedOn w:val="TableNormal"/>
    <w:semiHidden/>
    <w:unhideWhenUsed/>
    <w:rsid w:val="002D66D8"/>
    <w:pPr>
      <w:spacing w:before="120" w:after="120" w:line="280" w:lineRule="atLeast"/>
    </w:pPr>
    <w:tblPr>
      <w:tblBorders>
        <w:left w:val="single" w:sz="6" w:space="0" w:color="000000"/>
        <w:right w:val="single" w:sz="6" w:space="0" w:color="000000"/>
      </w:tblBorders>
    </w:tblPr>
    <w:trPr>
      <w:hidden/>
    </w:trPr>
    <w:tblStylePr w:type="firstRow">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firstCol">
      <w:tblPr/>
      <w:trPr>
        <w:hidden/>
      </w:trPr>
      <w:tcPr>
        <w:tcBorders>
          <w:right w:val="single" w:sz="12" w:space="0" w:color="000000"/>
          <w:tl2br w:val="none" w:sz="0" w:space="0" w:color="auto"/>
          <w:tr2bl w:val="none" w:sz="0" w:space="0" w:color="auto"/>
        </w:tcBorders>
        <w:shd w:val="pct25" w:color="008000" w:fill="FFFFFF"/>
      </w:tcPr>
    </w:tblStylePr>
    <w:tblStylePr w:type="lastCol">
      <w:tblPr/>
      <w:trPr>
        <w:hidden/>
      </w:trPr>
      <w:tcPr>
        <w:tcBorders>
          <w:left w:val="single" w:sz="12"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Theme">
    <w:name w:val="Table Theme"/>
    <w:basedOn w:val="TableNormal"/>
    <w:semiHidden/>
    <w:unhideWhenUsed/>
    <w:rsid w:val="002D66D8"/>
    <w:pPr>
      <w:spacing w:before="120" w:after="120" w:line="28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TableWeb1">
    <w:name w:val="Table Web 1"/>
    <w:basedOn w:val="TableNormal"/>
    <w:semiHidden/>
    <w:unhideWhenUsed/>
    <w:rsid w:val="002D66D8"/>
    <w:pPr>
      <w:spacing w:before="120" w:after="120" w:line="28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2">
    <w:name w:val="Table Web 2"/>
    <w:basedOn w:val="TableNormal"/>
    <w:semiHidden/>
    <w:unhideWhenUsed/>
    <w:rsid w:val="002D66D8"/>
    <w:pPr>
      <w:spacing w:before="120" w:after="120" w:line="28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3">
    <w:name w:val="Table Web 3"/>
    <w:basedOn w:val="TableNormal"/>
    <w:semiHidden/>
    <w:unhideWhenUsed/>
    <w:rsid w:val="002D66D8"/>
    <w:pPr>
      <w:spacing w:before="120" w:after="120" w:line="28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paragraph" w:styleId="TOAHeading">
    <w:name w:val="toa heading"/>
    <w:basedOn w:val="Normal"/>
    <w:next w:val="Normal"/>
    <w:semiHidden/>
    <w:unhideWhenUsed/>
    <w:rsid w:val="002D66D8"/>
    <w:rPr>
      <w:rFonts w:asciiTheme="majorHAnsi" w:eastAsiaTheme="majorEastAsia" w:hAnsiTheme="majorHAnsi" w:cstheme="majorBidi"/>
      <w:b/>
      <w:bCs/>
    </w:rPr>
  </w:style>
  <w:style w:type="paragraph" w:customStyle="1" w:styleId="TableHeadings">
    <w:name w:val="Table Headings"/>
    <w:basedOn w:val="Normal"/>
    <w:rsid w:val="00C44549"/>
    <w:pPr>
      <w:keepNext/>
      <w:spacing w:before="40" w:after="40"/>
      <w:jc w:val="center"/>
    </w:pPr>
    <w:rPr>
      <w:b/>
      <w:kern w:val="24"/>
      <w:lang w:eastAsia="ja-JP"/>
    </w:rPr>
  </w:style>
  <w:style w:type="character" w:customStyle="1" w:styleId="ListParagraphChar">
    <w:name w:val="List Paragraph Char"/>
    <w:basedOn w:val="DefaultParagraphFont"/>
    <w:link w:val="ListParagraph"/>
    <w:uiPriority w:val="34"/>
    <w:locked/>
    <w:rsid w:val="002C4DB0"/>
    <w:rPr>
      <w:rFonts w:eastAsia="Times New Roman"/>
      <w:sz w:val="24"/>
      <w:szCs w:val="24"/>
    </w:rPr>
  </w:style>
  <w:style w:type="paragraph" w:styleId="Header">
    <w:name w:val="header"/>
    <w:basedOn w:val="Normal"/>
    <w:link w:val="HeaderChar"/>
    <w:unhideWhenUsed/>
    <w:rsid w:val="00970CA5"/>
    <w:pPr>
      <w:tabs>
        <w:tab w:val="center" w:pos="4680"/>
        <w:tab w:val="right" w:pos="9360"/>
      </w:tabs>
    </w:pPr>
  </w:style>
  <w:style w:type="character" w:customStyle="1" w:styleId="HeaderChar">
    <w:name w:val="Header Char"/>
    <w:basedOn w:val="DefaultParagraphFont"/>
    <w:link w:val="Header"/>
    <w:rsid w:val="00970CA5"/>
    <w:rPr>
      <w:rFonts w:eastAsia="Calibri" w:cs="Cordia New"/>
      <w:sz w:val="24"/>
      <w:szCs w:val="22"/>
    </w:rPr>
  </w:style>
  <w:style w:type="paragraph" w:styleId="Footer">
    <w:name w:val="footer"/>
    <w:basedOn w:val="Normal"/>
    <w:link w:val="FooterChar"/>
    <w:uiPriority w:val="99"/>
    <w:unhideWhenUsed/>
    <w:rsid w:val="00970CA5"/>
    <w:pPr>
      <w:tabs>
        <w:tab w:val="center" w:pos="4680"/>
        <w:tab w:val="right" w:pos="9360"/>
      </w:tabs>
    </w:pPr>
  </w:style>
  <w:style w:type="character" w:customStyle="1" w:styleId="FooterChar">
    <w:name w:val="Footer Char"/>
    <w:basedOn w:val="DefaultParagraphFont"/>
    <w:link w:val="Footer"/>
    <w:uiPriority w:val="99"/>
    <w:rsid w:val="00970CA5"/>
    <w:rPr>
      <w:rFonts w:eastAsia="Calibri" w:cs="Cordia New"/>
      <w:sz w:val="24"/>
      <w:szCs w:val="22"/>
    </w:rPr>
  </w:style>
  <w:style w:type="paragraph" w:styleId="BlockText">
    <w:name w:val="Block Text"/>
    <w:basedOn w:val="Normal"/>
    <w:semiHidden/>
    <w:unhideWhenUsed/>
    <w:qFormat/>
    <w:rsid w:val="00DA0ACE"/>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rsid w:val="00DA0ACE"/>
  </w:style>
  <w:style w:type="character" w:customStyle="1" w:styleId="BodyTextChar">
    <w:name w:val="Body Text Char"/>
    <w:basedOn w:val="DefaultParagraphFont"/>
    <w:link w:val="BodyText"/>
    <w:uiPriority w:val="99"/>
    <w:semiHidden/>
    <w:rsid w:val="00DA0ACE"/>
    <w:rPr>
      <w:rFonts w:eastAsia="Calibri" w:cs="Cordia New"/>
      <w:sz w:val="24"/>
      <w:szCs w:val="22"/>
    </w:rPr>
  </w:style>
  <w:style w:type="paragraph" w:styleId="Caption">
    <w:name w:val="caption"/>
    <w:basedOn w:val="Normal"/>
    <w:next w:val="Normal"/>
    <w:unhideWhenUsed/>
    <w:rsid w:val="00DA0ACE"/>
    <w:pPr>
      <w:spacing w:after="200"/>
    </w:pPr>
    <w:rPr>
      <w:b/>
      <w:bCs/>
      <w:color w:val="4F81BD" w:themeColor="accent1"/>
      <w:sz w:val="18"/>
      <w:szCs w:val="18"/>
    </w:rPr>
  </w:style>
  <w:style w:type="paragraph" w:styleId="CommentText">
    <w:name w:val="annotation text"/>
    <w:basedOn w:val="Normal"/>
    <w:link w:val="CommentTextChar"/>
    <w:uiPriority w:val="99"/>
    <w:unhideWhenUsed/>
    <w:rsid w:val="00DA0ACE"/>
    <w:rPr>
      <w:sz w:val="20"/>
      <w:szCs w:val="20"/>
    </w:rPr>
  </w:style>
  <w:style w:type="character" w:customStyle="1" w:styleId="CommentTextChar">
    <w:name w:val="Comment Text Char"/>
    <w:basedOn w:val="DefaultParagraphFont"/>
    <w:link w:val="CommentText"/>
    <w:uiPriority w:val="99"/>
    <w:rsid w:val="00DA0ACE"/>
    <w:rPr>
      <w:rFonts w:eastAsia="Calibri" w:cs="Cordia New"/>
    </w:rPr>
  </w:style>
  <w:style w:type="paragraph" w:styleId="CommentSubject">
    <w:name w:val="annotation subject"/>
    <w:basedOn w:val="CommentText"/>
    <w:next w:val="CommentText"/>
    <w:link w:val="CommentSubjectChar"/>
    <w:uiPriority w:val="99"/>
    <w:semiHidden/>
    <w:unhideWhenUsed/>
    <w:rsid w:val="00DA0ACE"/>
    <w:rPr>
      <w:b/>
      <w:bCs/>
    </w:rPr>
  </w:style>
  <w:style w:type="character" w:customStyle="1" w:styleId="CommentSubjectChar">
    <w:name w:val="Comment Subject Char"/>
    <w:basedOn w:val="CommentTextChar"/>
    <w:link w:val="CommentSubject"/>
    <w:uiPriority w:val="99"/>
    <w:semiHidden/>
    <w:rsid w:val="00DA0ACE"/>
    <w:rPr>
      <w:rFonts w:eastAsia="Calibri" w:cs="Cordia New"/>
      <w:b/>
      <w:bCs/>
    </w:rPr>
  </w:style>
  <w:style w:type="paragraph" w:styleId="DocumentMap">
    <w:name w:val="Document Map"/>
    <w:basedOn w:val="Normal"/>
    <w:link w:val="DocumentMapChar"/>
    <w:uiPriority w:val="99"/>
    <w:semiHidden/>
    <w:unhideWhenUsed/>
    <w:rsid w:val="00DA0ACE"/>
    <w:rPr>
      <w:rFonts w:ascii="Tahoma" w:hAnsi="Tahoma" w:cs="Tahoma"/>
      <w:sz w:val="16"/>
      <w:szCs w:val="16"/>
    </w:rPr>
  </w:style>
  <w:style w:type="character" w:customStyle="1" w:styleId="DocumentMapChar">
    <w:name w:val="Document Map Char"/>
    <w:basedOn w:val="DefaultParagraphFont"/>
    <w:link w:val="DocumentMap"/>
    <w:uiPriority w:val="99"/>
    <w:semiHidden/>
    <w:rsid w:val="00DA0ACE"/>
    <w:rPr>
      <w:rFonts w:ascii="Tahoma" w:eastAsia="Calibri" w:hAnsi="Tahoma" w:cs="Tahoma"/>
      <w:sz w:val="16"/>
      <w:szCs w:val="16"/>
    </w:rPr>
  </w:style>
  <w:style w:type="paragraph" w:styleId="EndnoteText">
    <w:name w:val="endnote text"/>
    <w:basedOn w:val="Normal"/>
    <w:link w:val="EndnoteTextChar"/>
    <w:semiHidden/>
    <w:unhideWhenUsed/>
    <w:rsid w:val="00DA0ACE"/>
    <w:rPr>
      <w:sz w:val="20"/>
      <w:szCs w:val="20"/>
    </w:rPr>
  </w:style>
  <w:style w:type="character" w:customStyle="1" w:styleId="EndnoteTextChar">
    <w:name w:val="Endnote Text Char"/>
    <w:basedOn w:val="DefaultParagraphFont"/>
    <w:link w:val="EndnoteText"/>
    <w:semiHidden/>
    <w:rsid w:val="00DA0ACE"/>
    <w:rPr>
      <w:rFonts w:eastAsia="Calibri" w:cs="Cordia New"/>
    </w:rPr>
  </w:style>
  <w:style w:type="character" w:styleId="FollowedHyperlink">
    <w:name w:val="FollowedHyperlink"/>
    <w:basedOn w:val="DefaultParagraphFont"/>
    <w:uiPriority w:val="99"/>
    <w:semiHidden/>
    <w:unhideWhenUsed/>
    <w:rsid w:val="00DA0ACE"/>
    <w:rPr>
      <w:color w:val="800080" w:themeColor="followedHyperlink"/>
      <w:u w:val="single"/>
    </w:rPr>
  </w:style>
  <w:style w:type="paragraph" w:styleId="FootnoteText">
    <w:name w:val="footnote text"/>
    <w:basedOn w:val="Normal"/>
    <w:link w:val="FootnoteTextChar"/>
    <w:semiHidden/>
    <w:unhideWhenUsed/>
    <w:rsid w:val="00DA0ACE"/>
    <w:rPr>
      <w:sz w:val="20"/>
      <w:szCs w:val="20"/>
    </w:rPr>
  </w:style>
  <w:style w:type="character" w:customStyle="1" w:styleId="FootnoteTextChar">
    <w:name w:val="Footnote Text Char"/>
    <w:basedOn w:val="DefaultParagraphFont"/>
    <w:link w:val="FootnoteText"/>
    <w:semiHidden/>
    <w:rsid w:val="00DA0ACE"/>
    <w:rPr>
      <w:rFonts w:eastAsia="Calibri" w:cs="Cordia New"/>
    </w:rPr>
  </w:style>
  <w:style w:type="character" w:styleId="HTMLTypewriter">
    <w:name w:val="HTML Typewriter"/>
    <w:basedOn w:val="DefaultParagraphFont"/>
    <w:uiPriority w:val="99"/>
    <w:semiHidden/>
    <w:unhideWhenUsed/>
    <w:rsid w:val="00DA0ACE"/>
    <w:rPr>
      <w:rFonts w:ascii="Consolas" w:hAnsi="Consolas" w:cs="Consolas"/>
      <w:sz w:val="20"/>
      <w:szCs w:val="20"/>
    </w:rPr>
  </w:style>
  <w:style w:type="character" w:styleId="Hyperlink">
    <w:name w:val="Hyperlink"/>
    <w:basedOn w:val="DefaultParagraphFont"/>
    <w:uiPriority w:val="99"/>
    <w:unhideWhenUsed/>
    <w:rsid w:val="00DA0ACE"/>
    <w:rPr>
      <w:color w:val="0000FF" w:themeColor="hyperlink"/>
      <w:u w:val="single"/>
    </w:rPr>
  </w:style>
  <w:style w:type="paragraph" w:styleId="NormalWeb">
    <w:name w:val="Normal (Web)"/>
    <w:basedOn w:val="Normal"/>
    <w:uiPriority w:val="99"/>
    <w:unhideWhenUsed/>
    <w:rsid w:val="00DA0ACE"/>
  </w:style>
  <w:style w:type="paragraph" w:styleId="NormalIndent">
    <w:name w:val="Normal Indent"/>
    <w:basedOn w:val="Normal"/>
    <w:uiPriority w:val="99"/>
    <w:semiHidden/>
    <w:unhideWhenUsed/>
    <w:rsid w:val="00DA0ACE"/>
    <w:pPr>
      <w:ind w:left="720"/>
    </w:pPr>
  </w:style>
  <w:style w:type="character" w:styleId="PageNumber">
    <w:name w:val="page number"/>
    <w:basedOn w:val="DefaultParagraphFont"/>
    <w:semiHidden/>
    <w:unhideWhenUsed/>
    <w:rsid w:val="00DA0ACE"/>
  </w:style>
  <w:style w:type="paragraph" w:styleId="TableofFigures">
    <w:name w:val="table of figures"/>
    <w:basedOn w:val="Normal"/>
    <w:next w:val="Normal"/>
    <w:uiPriority w:val="99"/>
    <w:semiHidden/>
    <w:unhideWhenUsed/>
    <w:rsid w:val="00DA0ACE"/>
  </w:style>
  <w:style w:type="paragraph" w:styleId="TOC5">
    <w:name w:val="toc 5"/>
    <w:basedOn w:val="Normal"/>
    <w:next w:val="Normal"/>
    <w:autoRedefine/>
    <w:uiPriority w:val="39"/>
    <w:unhideWhenUsed/>
    <w:rsid w:val="00DA0ACE"/>
    <w:pPr>
      <w:spacing w:after="100"/>
      <w:ind w:left="960"/>
    </w:pPr>
  </w:style>
  <w:style w:type="paragraph" w:styleId="TOC6">
    <w:name w:val="toc 6"/>
    <w:basedOn w:val="Normal"/>
    <w:next w:val="Normal"/>
    <w:autoRedefine/>
    <w:uiPriority w:val="39"/>
    <w:unhideWhenUsed/>
    <w:rsid w:val="00DA0ACE"/>
    <w:pPr>
      <w:spacing w:after="100"/>
      <w:ind w:left="1200"/>
    </w:pPr>
  </w:style>
  <w:style w:type="paragraph" w:styleId="TOC7">
    <w:name w:val="toc 7"/>
    <w:basedOn w:val="Normal"/>
    <w:next w:val="Normal"/>
    <w:autoRedefine/>
    <w:uiPriority w:val="39"/>
    <w:unhideWhenUsed/>
    <w:rsid w:val="00DA0ACE"/>
    <w:pPr>
      <w:spacing w:after="100"/>
      <w:ind w:left="1440"/>
    </w:pPr>
  </w:style>
  <w:style w:type="paragraph" w:styleId="TOC8">
    <w:name w:val="toc 8"/>
    <w:basedOn w:val="Normal"/>
    <w:next w:val="Normal"/>
    <w:autoRedefine/>
    <w:uiPriority w:val="39"/>
    <w:unhideWhenUsed/>
    <w:rsid w:val="00DA0ACE"/>
    <w:pPr>
      <w:spacing w:after="100"/>
      <w:ind w:left="1680"/>
    </w:pPr>
  </w:style>
  <w:style w:type="paragraph" w:styleId="TOC9">
    <w:name w:val="toc 9"/>
    <w:basedOn w:val="Normal"/>
    <w:next w:val="Normal"/>
    <w:autoRedefine/>
    <w:uiPriority w:val="39"/>
    <w:unhideWhenUsed/>
    <w:rsid w:val="00DA0ACE"/>
    <w:pPr>
      <w:spacing w:after="100"/>
      <w:ind w:left="1920"/>
    </w:pPr>
  </w:style>
  <w:style w:type="table" w:customStyle="1" w:styleId="ColorfulGrid1">
    <w:name w:val="Colorful Grid1"/>
    <w:basedOn w:val="TableNormal"/>
    <w:uiPriority w:val="73"/>
    <w:rsid w:val="00C64BC3"/>
    <w:rPr>
      <w:color w:val="000000" w:themeColor="text1"/>
    </w:rPr>
    <w:tblPr>
      <w:tblStyleRowBandSize w:val="1"/>
      <w:tblStyleColBandSize w:val="1"/>
      <w:tblBorders>
        <w:insideH w:val="single" w:sz="4" w:space="0" w:color="FFFFFF" w:themeColor="background1"/>
      </w:tblBorders>
    </w:tblPr>
    <w:trPr>
      <w:hidden/>
    </w:trPr>
    <w:tcPr>
      <w:shd w:val="clear" w:color="auto" w:fill="CCCCCC" w:themeFill="text1" w:themeFillTint="33"/>
    </w:tcPr>
    <w:tblStylePr w:type="firstRow">
      <w:rPr>
        <w:b/>
        <w:bCs/>
      </w:rPr>
      <w:tblPr/>
      <w:trPr>
        <w:hidden/>
      </w:trPr>
      <w:tcPr>
        <w:shd w:val="clear" w:color="auto" w:fill="999999" w:themeFill="text1" w:themeFillTint="66"/>
      </w:tcPr>
    </w:tblStylePr>
    <w:tblStylePr w:type="lastRow">
      <w:rPr>
        <w:b/>
        <w:bCs/>
        <w:color w:val="000000" w:themeColor="text1"/>
      </w:rPr>
      <w:tblPr/>
      <w:trPr>
        <w:hidden/>
      </w:trPr>
      <w:tcPr>
        <w:shd w:val="clear" w:color="auto" w:fill="999999" w:themeFill="text1" w:themeFillTint="66"/>
      </w:tcPr>
    </w:tblStylePr>
    <w:tblStylePr w:type="firstCol">
      <w:rPr>
        <w:color w:val="FFFFFF" w:themeColor="background1"/>
      </w:rPr>
      <w:tblPr/>
      <w:trPr>
        <w:hidden/>
      </w:trPr>
      <w:tcPr>
        <w:shd w:val="clear" w:color="auto" w:fill="000000" w:themeFill="text1" w:themeFillShade="BF"/>
      </w:tcPr>
    </w:tblStylePr>
    <w:tblStylePr w:type="lastCol">
      <w:rPr>
        <w:color w:val="FFFFFF" w:themeColor="background1"/>
      </w:rPr>
      <w:tblPr/>
      <w:trPr>
        <w:hidden/>
      </w:trPr>
      <w:tcPr>
        <w:shd w:val="clear" w:color="auto" w:fill="000000" w:themeFill="text1" w:themeFillShade="BF"/>
      </w:tc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customStyle="1" w:styleId="ColorfulList1">
    <w:name w:val="Colorful List1"/>
    <w:basedOn w:val="TableNormal"/>
    <w:uiPriority w:val="72"/>
    <w:rsid w:val="00C64BC3"/>
    <w:rPr>
      <w:color w:val="000000" w:themeColor="text1"/>
    </w:rPr>
    <w:tblPr>
      <w:tblStyleRowBandSize w:val="1"/>
      <w:tblStyleColBandSize w:val="1"/>
    </w:tblPr>
    <w:trPr>
      <w:hidden/>
    </w:trPr>
    <w:tcPr>
      <w:shd w:val="clear" w:color="auto" w:fill="E6E6E6" w:themeFill="tex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C0C0C0" w:themeFill="text1" w:themeFillTint="3F"/>
      </w:tcPr>
    </w:tblStylePr>
    <w:tblStylePr w:type="band1Horz">
      <w:tblPr/>
      <w:trPr>
        <w:hidden/>
      </w:trPr>
      <w:tcPr>
        <w:shd w:val="clear" w:color="auto" w:fill="CCCCCC" w:themeFill="text1" w:themeFillTint="33"/>
      </w:tcPr>
    </w:tblStylePr>
  </w:style>
  <w:style w:type="table" w:customStyle="1" w:styleId="ColorfulShading1">
    <w:name w:val="Colorful Shading1"/>
    <w:basedOn w:val="TableNormal"/>
    <w:uiPriority w:val="71"/>
    <w:rsid w:val="00C64BC3"/>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rPr>
      <w:hidden/>
    </w:trPr>
    <w:tcPr>
      <w:shd w:val="clear" w:color="auto" w:fill="E6E6E6" w:themeFill="tex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000000" w:themeFill="text1" w:themeFillShade="99"/>
      </w:tcPr>
    </w:tblStylePr>
    <w:tblStylePr w:type="firstCol">
      <w:rPr>
        <w:color w:val="FFFFFF" w:themeColor="background1"/>
      </w:rPr>
      <w:tblPr/>
      <w:trPr>
        <w:hidden/>
      </w:tr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000000" w:themeFill="text1" w:themeFillShade="BF"/>
      </w:tcPr>
    </w:tblStylePr>
    <w:tblStylePr w:type="band1Vert">
      <w:tblPr/>
      <w:trPr>
        <w:hidden/>
      </w:trPr>
      <w:tcPr>
        <w:shd w:val="clear" w:color="auto" w:fill="999999" w:themeFill="text1" w:themeFillTint="66"/>
      </w:tcPr>
    </w:tblStylePr>
    <w:tblStylePr w:type="band1Horz">
      <w:tblPr/>
      <w:trPr>
        <w:hidden/>
      </w:tr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rsid w:val="00C64BC3"/>
    <w:rPr>
      <w:color w:val="FFFFFF" w:themeColor="background1"/>
    </w:rPr>
    <w:tblPr>
      <w:tblStyleRowBandSize w:val="1"/>
      <w:tblStyleColBandSize w:val="1"/>
    </w:tblPr>
    <w:trPr>
      <w:hidden/>
    </w:trPr>
    <w:tcPr>
      <w:shd w:val="clear" w:color="auto" w:fill="000000" w:themeFill="tex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rPr>
        <w:hidden/>
      </w:trPr>
      <w:tcPr>
        <w:tcBorders>
          <w:top w:val="nil"/>
          <w:left w:val="nil"/>
          <w:bottom w:val="nil"/>
          <w:right w:val="nil"/>
          <w:insideH w:val="nil"/>
          <w:insideV w:val="nil"/>
        </w:tcBorders>
        <w:shd w:val="clear" w:color="auto" w:fill="000000" w:themeFill="text1" w:themeFillShade="BF"/>
      </w:tcPr>
    </w:tblStylePr>
    <w:tblStylePr w:type="band1Horz">
      <w:tblPr/>
      <w:trPr>
        <w:hidden/>
      </w:trPr>
      <w:tcPr>
        <w:tcBorders>
          <w:top w:val="nil"/>
          <w:left w:val="nil"/>
          <w:bottom w:val="nil"/>
          <w:right w:val="nil"/>
          <w:insideH w:val="nil"/>
          <w:insideV w:val="nil"/>
        </w:tcBorders>
        <w:shd w:val="clear" w:color="auto" w:fill="000000" w:themeFill="text1" w:themeFillShade="BF"/>
      </w:tcPr>
    </w:tblStylePr>
  </w:style>
  <w:style w:type="table" w:customStyle="1" w:styleId="LightGrid1">
    <w:name w:val="Light Grid1"/>
    <w:basedOn w:val="TableNormal"/>
    <w:uiPriority w:val="62"/>
    <w:rsid w:val="00C64BC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64BC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uiPriority w:val="61"/>
    <w:rsid w:val="00C64BC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pPr>
        <w:spacing w:before="0" w:after="0" w:line="240" w:lineRule="auto"/>
      </w:pPr>
      <w:rPr>
        <w:b/>
        <w:bCs/>
        <w:color w:val="FFFFFF" w:themeColor="background1"/>
      </w:rPr>
      <w:tblPr/>
      <w:trPr>
        <w:hidden/>
      </w:trPr>
      <w:tcPr>
        <w:shd w:val="clear" w:color="auto" w:fill="000000" w:themeFill="text1"/>
      </w:tcPr>
    </w:tblStylePr>
    <w:tblStylePr w:type="lastRow">
      <w:pPr>
        <w:spacing w:before="0" w:after="0" w:line="240" w:lineRule="auto"/>
      </w:pPr>
      <w:rPr>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C64BC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pPr>
        <w:spacing w:before="0" w:after="0" w:line="240" w:lineRule="auto"/>
      </w:pPr>
      <w:rPr>
        <w:b/>
        <w:bCs/>
        <w:color w:val="FFFFFF" w:themeColor="background1"/>
      </w:rPr>
      <w:tblPr/>
      <w:trPr>
        <w:hidden/>
      </w:trPr>
      <w:tcPr>
        <w:shd w:val="clear" w:color="auto" w:fill="4F81BD" w:themeFill="accent1"/>
      </w:tcPr>
    </w:tblStylePr>
    <w:tblStylePr w:type="lastRow">
      <w:pPr>
        <w:spacing w:before="0" w:after="0" w:line="240" w:lineRule="auto"/>
      </w:pPr>
      <w:rPr>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C64BC3"/>
    <w:rPr>
      <w:color w:val="000000" w:themeColor="text1" w:themeShade="BF"/>
    </w:rPr>
    <w:tblPr>
      <w:tblStyleRowBandSize w:val="1"/>
      <w:tblStyleColBandSize w:val="1"/>
      <w:tblBorders>
        <w:top w:val="single" w:sz="8" w:space="0" w:color="000000" w:themeColor="text1"/>
        <w:bottom w:val="single" w:sz="8" w:space="0" w:color="000000" w:themeColor="text1"/>
      </w:tblBorders>
    </w:tblPr>
    <w:trPr>
      <w:hidden/>
    </w:trPr>
    <w:tblStylePr w:type="fir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C64BC3"/>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rPr>
      <w:hidden/>
    </w:trPr>
    <w:tblStylePr w:type="fir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left w:val="nil"/>
          <w:right w:val="nil"/>
          <w:insideH w:val="nil"/>
          <w:insideV w:val="nil"/>
        </w:tcBorders>
        <w:shd w:val="clear" w:color="auto" w:fill="D3DFEE" w:themeFill="accent1" w:themeFillTint="3F"/>
      </w:tcPr>
    </w:tblStylePr>
  </w:style>
  <w:style w:type="table" w:customStyle="1" w:styleId="MediumGrid11">
    <w:name w:val="Medium Grid 11"/>
    <w:basedOn w:val="TableNormal"/>
    <w:uiPriority w:val="67"/>
    <w:rsid w:val="00C64BC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rPr>
      <w:hidden/>
    </w:trPr>
    <w:tcPr>
      <w:shd w:val="clear" w:color="auto" w:fill="C0C0C0" w:themeFill="text1" w:themeFillTint="3F"/>
    </w:tcPr>
    <w:tblStylePr w:type="firstRow">
      <w:rPr>
        <w:b/>
        <w:bCs/>
      </w:rPr>
    </w:tblStylePr>
    <w:tblStylePr w:type="lastRow">
      <w:rPr>
        <w:b/>
        <w:bCs/>
      </w:rPr>
      <w:tblPr/>
      <w:trPr>
        <w:hidden/>
      </w:trPr>
      <w:tcPr>
        <w:tcBorders>
          <w:top w:val="single" w:sz="18" w:space="0" w:color="404040" w:themeColor="text1" w:themeTint="BF"/>
        </w:tcBorders>
      </w:tcPr>
    </w:tblStylePr>
    <w:tblStylePr w:type="firstCol">
      <w:rPr>
        <w:b/>
        <w:bCs/>
      </w:rPr>
    </w:tblStylePr>
    <w:tblStylePr w:type="lastCol">
      <w:rPr>
        <w:b/>
        <w:bCs/>
      </w:r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customStyle="1" w:styleId="MediumGrid21">
    <w:name w:val="Medium Grid 21"/>
    <w:basedOn w:val="TableNormal"/>
    <w:uiPriority w:val="68"/>
    <w:rsid w:val="00C64BC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cPr>
      <w:shd w:val="clear" w:color="auto" w:fill="C0C0C0" w:themeFill="text1" w:themeFillTint="3F"/>
    </w:tcPr>
    <w:tblStylePr w:type="firstRow">
      <w:rPr>
        <w:b/>
        <w:bCs/>
        <w:color w:val="000000" w:themeColor="text1"/>
      </w:rPr>
      <w:tblPr/>
      <w:trPr>
        <w:hidden/>
      </w:trPr>
      <w:tcPr>
        <w:shd w:val="clear" w:color="auto" w:fill="E6E6E6" w:themeFill="tex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CCCCCC" w:themeFill="text1" w:themeFillTint="33"/>
      </w:tcPr>
    </w:tblStylePr>
    <w:tblStylePr w:type="band1Vert">
      <w:tblPr/>
      <w:trPr>
        <w:hidden/>
      </w:trPr>
      <w:tcPr>
        <w:shd w:val="clear" w:color="auto" w:fill="808080" w:themeFill="text1" w:themeFillTint="7F"/>
      </w:tcPr>
    </w:tblStylePr>
    <w:tblStylePr w:type="band1Horz">
      <w:tblPr/>
      <w:trPr>
        <w:hidden/>
      </w:trPr>
      <w:tcPr>
        <w:tcBorders>
          <w:insideH w:val="single" w:sz="6" w:space="0" w:color="000000" w:themeColor="text1"/>
          <w:insideV w:val="single" w:sz="6" w:space="0" w:color="000000" w:themeColor="text1"/>
        </w:tcBorders>
        <w:shd w:val="clear" w:color="auto" w:fill="808080" w:themeFill="text1" w:themeFillTint="7F"/>
      </w:tcPr>
    </w:tblStylePr>
    <w:tblStylePr w:type="nwCell">
      <w:tblPr/>
      <w:trPr>
        <w:hidden/>
      </w:trPr>
      <w:tcPr>
        <w:shd w:val="clear" w:color="auto" w:fill="FFFFFF" w:themeFill="background1"/>
      </w:tcPr>
    </w:tblStylePr>
  </w:style>
  <w:style w:type="table" w:customStyle="1" w:styleId="MediumGrid31">
    <w:name w:val="Medium Grid 31"/>
    <w:basedOn w:val="TableNormal"/>
    <w:uiPriority w:val="69"/>
    <w:rsid w:val="00C64BC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C0C0C0" w:themeFill="tex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List11">
    <w:name w:val="Medium List 11"/>
    <w:basedOn w:val="TableNormal"/>
    <w:uiPriority w:val="65"/>
    <w:rsid w:val="00C64BC3"/>
    <w:rPr>
      <w:color w:val="000000" w:themeColor="text1"/>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table" w:customStyle="1" w:styleId="MediumList1-Accent11">
    <w:name w:val="Medium List 1 - Accent 11"/>
    <w:basedOn w:val="TableNormal"/>
    <w:uiPriority w:val="65"/>
    <w:rsid w:val="00C64BC3"/>
    <w:rPr>
      <w:color w:val="000000" w:themeColor="text1"/>
    </w:rPr>
    <w:tblPr>
      <w:tblStyleRowBandSize w:val="1"/>
      <w:tblStyleColBandSize w:val="1"/>
      <w:tblBorders>
        <w:top w:val="single" w:sz="8" w:space="0" w:color="4F81BD" w:themeColor="accent1"/>
        <w:bottom w:val="single" w:sz="8" w:space="0" w:color="4F81BD" w:themeColor="accent1"/>
      </w:tblBorders>
    </w:tblPr>
    <w:trPr>
      <w:hidden/>
    </w:trPr>
    <w:tblStylePr w:type="firstRow">
      <w:rPr>
        <w:rFonts w:asciiTheme="majorHAnsi" w:eastAsiaTheme="majorEastAsia" w:hAnsiTheme="majorHAnsi" w:cstheme="majorBidi"/>
      </w:rPr>
      <w:tblPr/>
      <w:trPr>
        <w:hidden/>
      </w:trPr>
      <w:tcPr>
        <w:tcBorders>
          <w:top w:val="nil"/>
          <w:bottom w:val="single" w:sz="8" w:space="0" w:color="4F81BD" w:themeColor="accent1"/>
        </w:tcBorders>
      </w:tcPr>
    </w:tblStylePr>
    <w:tblStylePr w:type="lastRow">
      <w:rPr>
        <w:b/>
        <w:bCs/>
        <w:color w:val="1F497D" w:themeColor="text2"/>
      </w:rPr>
      <w:tblPr/>
      <w:trPr>
        <w:hidden/>
      </w:tr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rPr>
        <w:hidden/>
      </w:trPr>
      <w:tcPr>
        <w:tcBorders>
          <w:top w:val="single" w:sz="8" w:space="0" w:color="4F81BD" w:themeColor="accent1"/>
          <w:bottom w:val="single" w:sz="8" w:space="0" w:color="4F81BD" w:themeColor="accent1"/>
        </w:tcBorders>
      </w:tcPr>
    </w:tblStylePr>
    <w:tblStylePr w:type="band1Vert">
      <w:tblPr/>
      <w:trPr>
        <w:hidden/>
      </w:trPr>
      <w:tcPr>
        <w:shd w:val="clear" w:color="auto" w:fill="D3DFEE" w:themeFill="accent1" w:themeFillTint="3F"/>
      </w:tcPr>
    </w:tblStylePr>
    <w:tblStylePr w:type="band1Horz">
      <w:tblPr/>
      <w:trPr>
        <w:hidden/>
      </w:trPr>
      <w:tcPr>
        <w:shd w:val="clear" w:color="auto" w:fill="D3DFEE" w:themeFill="accent1" w:themeFillTint="3F"/>
      </w:tcPr>
    </w:tblStylePr>
  </w:style>
  <w:style w:type="table" w:customStyle="1" w:styleId="MediumList21">
    <w:name w:val="Medium List 21"/>
    <w:basedOn w:val="TableNormal"/>
    <w:uiPriority w:val="66"/>
    <w:rsid w:val="00C64BC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rPr>
        <w:sz w:val="24"/>
        <w:szCs w:val="24"/>
      </w:rPr>
      <w:tblPr/>
      <w:trPr>
        <w:hidden/>
      </w:tr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rPr>
        <w:hidden/>
      </w:tr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rPr>
        <w:hidden/>
      </w:tr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top w:val="nil"/>
          <w:bottom w:val="nil"/>
          <w:insideH w:val="nil"/>
          <w:insideV w:val="nil"/>
        </w:tcBorders>
        <w:shd w:val="clear" w:color="auto" w:fill="C0C0C0" w:themeFill="tex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customStyle="1" w:styleId="MediumShading11">
    <w:name w:val="Medium Shading 11"/>
    <w:basedOn w:val="TableNormal"/>
    <w:uiPriority w:val="63"/>
    <w:rsid w:val="00C64BC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rPr>
      <w:hidden/>
    </w:trPr>
    <w:tblStylePr w:type="firstRow">
      <w:pPr>
        <w:spacing w:before="0" w:after="0" w:line="240" w:lineRule="auto"/>
      </w:pPr>
      <w:rPr>
        <w:b/>
        <w:bCs/>
        <w:color w:val="FFFFFF" w:themeColor="background1"/>
      </w:rPr>
      <w:tblPr/>
      <w:trPr>
        <w:hidden/>
      </w:tr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rPr>
        <w:hidden/>
      </w:tr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C0C0C0" w:themeFill="text1" w:themeFillTint="3F"/>
      </w:tcPr>
    </w:tblStylePr>
    <w:tblStylePr w:type="band1Horz">
      <w:tblPr/>
      <w:trPr>
        <w:hidden/>
      </w:trPr>
      <w:tcPr>
        <w:tcBorders>
          <w:insideH w:val="nil"/>
          <w:insideV w:val="nil"/>
        </w:tcBorders>
        <w:shd w:val="clear" w:color="auto" w:fill="C0C0C0" w:themeFill="text1" w:themeFillTint="3F"/>
      </w:tcPr>
    </w:tblStylePr>
    <w:tblStylePr w:type="band2Horz">
      <w:tblPr/>
      <w:trPr>
        <w:hidden/>
      </w:trPr>
      <w:tcPr>
        <w:tcBorders>
          <w:insideH w:val="nil"/>
          <w:insideV w:val="nil"/>
        </w:tcBorders>
      </w:tcPr>
    </w:tblStylePr>
  </w:style>
  <w:style w:type="table" w:customStyle="1" w:styleId="MediumShading1-Accent11">
    <w:name w:val="Medium Shading 1 - Accent 11"/>
    <w:basedOn w:val="TableNormal"/>
    <w:uiPriority w:val="63"/>
    <w:rsid w:val="00C64BC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rPr>
      <w:hidden/>
    </w:trPr>
    <w:tblStylePr w:type="firstRow">
      <w:pPr>
        <w:spacing w:before="0" w:after="0" w:line="240" w:lineRule="auto"/>
      </w:pPr>
      <w:rPr>
        <w:b/>
        <w:bCs/>
        <w:color w:val="FFFFFF" w:themeColor="background1"/>
      </w:rPr>
      <w:tblPr/>
      <w:trPr>
        <w:hidden/>
      </w:tr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rPr>
        <w:hidden/>
      </w:tr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3DFEE" w:themeFill="accent1" w:themeFillTint="3F"/>
      </w:tcPr>
    </w:tblStylePr>
    <w:tblStylePr w:type="band1Horz">
      <w:tblPr/>
      <w:trPr>
        <w:hidden/>
      </w:trPr>
      <w:tcPr>
        <w:tcBorders>
          <w:insideH w:val="nil"/>
          <w:insideV w:val="nil"/>
        </w:tcBorders>
        <w:shd w:val="clear" w:color="auto" w:fill="D3DFEE" w:themeFill="accent1" w:themeFillTint="3F"/>
      </w:tcPr>
    </w:tblStylePr>
    <w:tblStylePr w:type="band2Horz">
      <w:tblPr/>
      <w:trPr>
        <w:hidden/>
      </w:trPr>
      <w:tcPr>
        <w:tcBorders>
          <w:insideH w:val="nil"/>
          <w:insideV w:val="nil"/>
        </w:tcBorders>
      </w:tcPr>
    </w:tblStylePr>
  </w:style>
  <w:style w:type="table" w:customStyle="1" w:styleId="MediumShading21">
    <w:name w:val="Medium Shading 21"/>
    <w:basedOn w:val="TableNormal"/>
    <w:uiPriority w:val="64"/>
    <w:rsid w:val="00C64BC3"/>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rPr>
        <w:hidden/>
      </w:trPr>
      <w:tcPr>
        <w:tcBorders>
          <w:left w:val="nil"/>
          <w:right w:val="nil"/>
          <w:insideH w:val="nil"/>
          <w:insideV w:val="nil"/>
        </w:tcBorders>
        <w:shd w:val="clear" w:color="auto" w:fill="000000" w:themeFill="tex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64BC3"/>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rPr>
        <w:hidden/>
      </w:trPr>
      <w:tcPr>
        <w:tcBorders>
          <w:left w:val="nil"/>
          <w:right w:val="nil"/>
          <w:insideH w:val="nil"/>
          <w:insideV w:val="nil"/>
        </w:tcBorders>
        <w:shd w:val="clear" w:color="auto" w:fill="4F81BD" w:themeFill="accen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paragraph" w:customStyle="1" w:styleId="Heading1NoTOC">
    <w:name w:val="Heading 1 (No TOC)"/>
    <w:basedOn w:val="Heading1"/>
    <w:next w:val="Normal"/>
    <w:rsid w:val="007A7A30"/>
    <w:pPr>
      <w:numPr>
        <w:numId w:val="0"/>
      </w:numPr>
      <w:jc w:val="center"/>
    </w:pPr>
    <w:rPr>
      <w:sz w:val="32"/>
    </w:rPr>
  </w:style>
  <w:style w:type="paragraph" w:customStyle="1" w:styleId="Heading3NoTOC">
    <w:name w:val="Heading 3 (No TOC)"/>
    <w:basedOn w:val="Heading1NoTOC"/>
    <w:next w:val="Normal"/>
    <w:rsid w:val="00BA285C"/>
    <w:pPr>
      <w:pageBreakBefore w:val="0"/>
      <w:spacing w:before="240"/>
      <w:jc w:val="left"/>
      <w:outlineLvl w:val="2"/>
    </w:pPr>
    <w:rPr>
      <w:sz w:val="24"/>
    </w:rPr>
  </w:style>
  <w:style w:type="paragraph" w:styleId="ListNumber">
    <w:name w:val="List Number"/>
    <w:basedOn w:val="Normal"/>
    <w:rsid w:val="00261EA0"/>
    <w:pPr>
      <w:numPr>
        <w:numId w:val="10"/>
      </w:numPr>
      <w:contextualSpacing/>
    </w:pPr>
  </w:style>
  <w:style w:type="character" w:styleId="IntenseReference">
    <w:name w:val="Intense Reference"/>
    <w:basedOn w:val="DefaultParagraphFont"/>
    <w:uiPriority w:val="32"/>
    <w:rsid w:val="009C66CF"/>
    <w:rPr>
      <w:b/>
      <w:bCs/>
      <w:smallCaps/>
      <w:color w:val="C0504D" w:themeColor="accent2"/>
      <w:spacing w:val="5"/>
      <w:u w:val="single"/>
    </w:rPr>
  </w:style>
  <w:style w:type="paragraph" w:styleId="NoSpacing">
    <w:name w:val="No Spacing"/>
    <w:uiPriority w:val="1"/>
    <w:rsid w:val="009C66CF"/>
    <w:rPr>
      <w:rFonts w:eastAsia="Calibri" w:cs="Cordia New"/>
      <w:sz w:val="24"/>
      <w:szCs w:val="22"/>
    </w:rPr>
  </w:style>
  <w:style w:type="paragraph" w:styleId="Quote">
    <w:name w:val="Quote"/>
    <w:basedOn w:val="Normal"/>
    <w:next w:val="Normal"/>
    <w:link w:val="QuoteChar"/>
    <w:uiPriority w:val="29"/>
    <w:rsid w:val="009C66CF"/>
    <w:rPr>
      <w:i/>
      <w:iCs/>
      <w:color w:val="000000" w:themeColor="text1"/>
    </w:rPr>
  </w:style>
  <w:style w:type="character" w:customStyle="1" w:styleId="QuoteChar">
    <w:name w:val="Quote Char"/>
    <w:basedOn w:val="DefaultParagraphFont"/>
    <w:link w:val="Quote"/>
    <w:uiPriority w:val="29"/>
    <w:rsid w:val="009C66CF"/>
    <w:rPr>
      <w:rFonts w:eastAsia="Calibri" w:cs="Cordia New"/>
      <w:i/>
      <w:iCs/>
      <w:color w:val="000000" w:themeColor="text1"/>
      <w:sz w:val="24"/>
      <w:szCs w:val="22"/>
    </w:rPr>
  </w:style>
  <w:style w:type="paragraph" w:styleId="Salutation">
    <w:name w:val="Salutation"/>
    <w:basedOn w:val="Normal"/>
    <w:next w:val="Normal"/>
    <w:link w:val="SalutationChar"/>
    <w:rsid w:val="009C66CF"/>
  </w:style>
  <w:style w:type="character" w:customStyle="1" w:styleId="SalutationChar">
    <w:name w:val="Salutation Char"/>
    <w:basedOn w:val="DefaultParagraphFont"/>
    <w:link w:val="Salutation"/>
    <w:rsid w:val="009C66CF"/>
    <w:rPr>
      <w:rFonts w:eastAsia="Calibri" w:cs="Cordia New"/>
      <w:sz w:val="24"/>
      <w:szCs w:val="22"/>
    </w:rPr>
  </w:style>
  <w:style w:type="character" w:styleId="Strong">
    <w:name w:val="Strong"/>
    <w:basedOn w:val="DefaultParagraphFont"/>
    <w:uiPriority w:val="22"/>
    <w:qFormat/>
    <w:rsid w:val="009C66CF"/>
    <w:rPr>
      <w:b/>
      <w:bCs/>
    </w:rPr>
  </w:style>
  <w:style w:type="paragraph" w:styleId="Subtitle">
    <w:name w:val="Subtitle"/>
    <w:basedOn w:val="Normal"/>
    <w:next w:val="Normal"/>
    <w:link w:val="SubtitleChar"/>
    <w:rsid w:val="009C66C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rsid w:val="009C66CF"/>
    <w:rPr>
      <w:rFonts w:asciiTheme="majorHAnsi" w:eastAsiaTheme="majorEastAsia" w:hAnsiTheme="majorHAnsi" w:cstheme="majorBidi"/>
      <w:i/>
      <w:iCs/>
      <w:color w:val="4F81BD" w:themeColor="accent1"/>
      <w:spacing w:val="15"/>
      <w:sz w:val="24"/>
      <w:szCs w:val="24"/>
    </w:rPr>
  </w:style>
  <w:style w:type="character" w:styleId="SubtleReference">
    <w:name w:val="Subtle Reference"/>
    <w:basedOn w:val="DefaultParagraphFont"/>
    <w:uiPriority w:val="31"/>
    <w:rsid w:val="009C66CF"/>
    <w:rPr>
      <w:smallCaps/>
      <w:color w:val="C0504D" w:themeColor="accent2"/>
      <w:u w:val="single"/>
    </w:rPr>
  </w:style>
  <w:style w:type="table" w:customStyle="1" w:styleId="GridTable1Light-Accent11">
    <w:name w:val="Grid Table 1 Light - Accent 11"/>
    <w:basedOn w:val="TableNormal"/>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Paragraph">
    <w:name w:val="Paragraph"/>
    <w:link w:val="ParagraphChar"/>
    <w:rsid w:val="00AF1AE1"/>
    <w:pPr>
      <w:spacing w:after="240"/>
    </w:pPr>
    <w:rPr>
      <w:rFonts w:eastAsia="SimSun"/>
      <w:color w:val="009900"/>
      <w:sz w:val="24"/>
      <w:szCs w:val="24"/>
    </w:rPr>
  </w:style>
  <w:style w:type="character" w:customStyle="1" w:styleId="ParagraphChar">
    <w:name w:val="Paragraph Char"/>
    <w:link w:val="Paragraph"/>
    <w:rsid w:val="00AF1AE1"/>
    <w:rPr>
      <w:rFonts w:eastAsia="SimSun"/>
      <w:color w:val="009900"/>
      <w:sz w:val="24"/>
      <w:szCs w:val="24"/>
    </w:rPr>
  </w:style>
  <w:style w:type="character" w:customStyle="1" w:styleId="CPTExampleChar">
    <w:name w:val="CPT_Example Char"/>
    <w:basedOn w:val="DefaultParagraphFont"/>
    <w:link w:val="CPTExample"/>
    <w:uiPriority w:val="1"/>
    <w:rsid w:val="003B5FE8"/>
    <w:rPr>
      <w:rFonts w:ascii="Arial" w:eastAsia="Times New Roman" w:hAnsi="Arial"/>
      <w:i/>
      <w:color w:val="00B050"/>
    </w:rPr>
  </w:style>
  <w:style w:type="paragraph" w:customStyle="1" w:styleId="paragraph0">
    <w:name w:val="paragraph"/>
    <w:basedOn w:val="Normal"/>
    <w:rsid w:val="008E4430"/>
    <w:rPr>
      <w:lang w:eastAsia="zh-CN"/>
    </w:rPr>
  </w:style>
  <w:style w:type="paragraph" w:customStyle="1" w:styleId="TableFigureTitle">
    <w:name w:val="Table/Figure Title"/>
    <w:basedOn w:val="Caption"/>
    <w:next w:val="Normal"/>
    <w:qFormat/>
    <w:rsid w:val="004204DB"/>
    <w:pPr>
      <w:keepNext/>
      <w:spacing w:before="240" w:after="120"/>
      <w:ind w:left="2160" w:hanging="2160"/>
    </w:pPr>
    <w:rPr>
      <w:color w:val="auto"/>
      <w:kern w:val="24"/>
      <w:sz w:val="20"/>
      <w:szCs w:val="24"/>
      <w:lang w:eastAsia="ja-JP"/>
    </w:rPr>
  </w:style>
  <w:style w:type="character" w:customStyle="1" w:styleId="CPTVariable">
    <w:name w:val="CPT_Variable"/>
    <w:basedOn w:val="DefaultParagraphFont"/>
    <w:uiPriority w:val="1"/>
    <w:qFormat/>
    <w:rsid w:val="00355A35"/>
    <w:rPr>
      <w:color w:val="0070C0"/>
    </w:rPr>
  </w:style>
  <w:style w:type="paragraph" w:customStyle="1" w:styleId="Heading1NoNumbering">
    <w:name w:val="Heading 1 (No Numbering)"/>
    <w:basedOn w:val="Heading1"/>
    <w:next w:val="Normal"/>
    <w:rsid w:val="00825345"/>
    <w:pPr>
      <w:numPr>
        <w:numId w:val="0"/>
      </w:numPr>
    </w:pPr>
  </w:style>
  <w:style w:type="table" w:styleId="GridTable1Light">
    <w:name w:val="Grid Table 1 Light"/>
    <w:basedOn w:val="TableNormal"/>
    <w:uiPriority w:val="46"/>
    <w:rsid w:val="00150F7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50F71"/>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50F71"/>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rPr>
      <w:hidden/>
    </w:trPr>
    <w:tblStylePr w:type="firstRow">
      <w:rPr>
        <w:b/>
        <w:bCs/>
      </w:rPr>
      <w:tblPr/>
      <w:trPr>
        <w:hidden/>
      </w:trPr>
      <w:tcPr>
        <w:tcBorders>
          <w:bottom w:val="single" w:sz="12" w:space="0" w:color="D99594" w:themeColor="accent2" w:themeTint="99"/>
        </w:tcBorders>
      </w:tcPr>
    </w:tblStylePr>
    <w:tblStylePr w:type="lastRow">
      <w:rPr>
        <w:b/>
        <w:bCs/>
      </w:rPr>
      <w:tblPr/>
      <w:trPr>
        <w:hidden/>
      </w:tr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50F71"/>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rPr>
      <w:hidden/>
    </w:trPr>
    <w:tblStylePr w:type="firstRow">
      <w:rPr>
        <w:b/>
        <w:bCs/>
      </w:rPr>
      <w:tblPr/>
      <w:trPr>
        <w:hidden/>
      </w:trPr>
      <w:tcPr>
        <w:tcBorders>
          <w:bottom w:val="single" w:sz="12" w:space="0" w:color="C2D69B" w:themeColor="accent3" w:themeTint="99"/>
        </w:tcBorders>
      </w:tcPr>
    </w:tblStylePr>
    <w:tblStylePr w:type="lastRow">
      <w:rPr>
        <w:b/>
        <w:bCs/>
      </w:rPr>
      <w:tblPr/>
      <w:trPr>
        <w:hidden/>
      </w:tr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50F71"/>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rPr>
      <w:hidden/>
    </w:trPr>
    <w:tblStylePr w:type="firstRow">
      <w:rPr>
        <w:b/>
        <w:bCs/>
      </w:rPr>
      <w:tblPr/>
      <w:trPr>
        <w:hidden/>
      </w:trPr>
      <w:tcPr>
        <w:tcBorders>
          <w:bottom w:val="single" w:sz="12" w:space="0" w:color="B2A1C7" w:themeColor="accent4" w:themeTint="99"/>
        </w:tcBorders>
      </w:tcPr>
    </w:tblStylePr>
    <w:tblStylePr w:type="lastRow">
      <w:rPr>
        <w:b/>
        <w:bCs/>
      </w:rPr>
      <w:tblPr/>
      <w:trPr>
        <w:hidden/>
      </w:tr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50F71"/>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rPr>
      <w:hidden/>
    </w:trPr>
    <w:tblStylePr w:type="firstRow">
      <w:rPr>
        <w:b/>
        <w:bCs/>
      </w:rPr>
      <w:tblPr/>
      <w:trPr>
        <w:hidden/>
      </w:trPr>
      <w:tcPr>
        <w:tcBorders>
          <w:bottom w:val="single" w:sz="12" w:space="0" w:color="92CDDC" w:themeColor="accent5" w:themeTint="99"/>
        </w:tcBorders>
      </w:tcPr>
    </w:tblStylePr>
    <w:tblStylePr w:type="lastRow">
      <w:rPr>
        <w:b/>
        <w:bCs/>
      </w:rPr>
      <w:tblPr/>
      <w:trPr>
        <w:hidden/>
      </w:tr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50F71"/>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rPr>
      <w:hidden/>
    </w:trPr>
    <w:tblStylePr w:type="firstRow">
      <w:rPr>
        <w:b/>
        <w:bCs/>
      </w:rPr>
      <w:tblPr/>
      <w:trPr>
        <w:hidden/>
      </w:trPr>
      <w:tcPr>
        <w:tcBorders>
          <w:bottom w:val="single" w:sz="12" w:space="0" w:color="FABF8F" w:themeColor="accent6" w:themeTint="99"/>
        </w:tcBorders>
      </w:tcPr>
    </w:tblStylePr>
    <w:tblStylePr w:type="lastRow">
      <w:rPr>
        <w:b/>
        <w:bCs/>
      </w:rPr>
      <w:tblPr/>
      <w:trPr>
        <w:hidden/>
      </w:tr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150F7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rPr>
      <w:hidden/>
    </w:trPr>
    <w:tblStylePr w:type="firstRow">
      <w:rPr>
        <w:b/>
        <w:bCs/>
      </w:rPr>
      <w:tblPr/>
      <w:trPr>
        <w:hidden/>
      </w:tr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rPr>
        <w:hidden/>
      </w:tr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2-Accent1">
    <w:name w:val="Grid Table 2 Accent 1"/>
    <w:basedOn w:val="TableNormal"/>
    <w:uiPriority w:val="47"/>
    <w:rsid w:val="00150F71"/>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rPr>
      <w:hidden/>
    </w:trPr>
    <w:tblStylePr w:type="firstRow">
      <w:rPr>
        <w:b/>
        <w:bCs/>
      </w:rPr>
      <w:tblPr/>
      <w:trPr>
        <w:hidden/>
      </w:tr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rPr>
        <w:hidden/>
      </w:tr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2-Accent2">
    <w:name w:val="Grid Table 2 Accent 2"/>
    <w:basedOn w:val="TableNormal"/>
    <w:uiPriority w:val="47"/>
    <w:rsid w:val="00150F71"/>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rPr>
      <w:hidden/>
    </w:trPr>
    <w:tblStylePr w:type="firstRow">
      <w:rPr>
        <w:b/>
        <w:bCs/>
      </w:rPr>
      <w:tblPr/>
      <w:trPr>
        <w:hidden/>
      </w:tr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rPr>
        <w:hidden/>
      </w:tr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2-Accent3">
    <w:name w:val="Grid Table 2 Accent 3"/>
    <w:basedOn w:val="TableNormal"/>
    <w:uiPriority w:val="47"/>
    <w:rsid w:val="00150F71"/>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rPr>
      <w:hidden/>
    </w:trPr>
    <w:tblStylePr w:type="firstRow">
      <w:rPr>
        <w:b/>
        <w:bCs/>
      </w:rPr>
      <w:tblPr/>
      <w:trPr>
        <w:hidden/>
      </w:tr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rPr>
        <w:hidden/>
      </w:tr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2-Accent4">
    <w:name w:val="Grid Table 2 Accent 4"/>
    <w:basedOn w:val="TableNormal"/>
    <w:uiPriority w:val="47"/>
    <w:rsid w:val="00150F71"/>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rPr>
      <w:hidden/>
    </w:trPr>
    <w:tblStylePr w:type="firstRow">
      <w:rPr>
        <w:b/>
        <w:bCs/>
      </w:rPr>
      <w:tblPr/>
      <w:trPr>
        <w:hidden/>
      </w:tr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rPr>
        <w:hidden/>
      </w:tr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2-Accent5">
    <w:name w:val="Grid Table 2 Accent 5"/>
    <w:basedOn w:val="TableNormal"/>
    <w:uiPriority w:val="47"/>
    <w:rsid w:val="00150F71"/>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rPr>
      <w:hidden/>
    </w:trPr>
    <w:tblStylePr w:type="firstRow">
      <w:rPr>
        <w:b/>
        <w:bCs/>
      </w:rPr>
      <w:tblPr/>
      <w:trPr>
        <w:hidden/>
      </w:tr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rPr>
        <w:hidden/>
      </w:tr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2-Accent6">
    <w:name w:val="Grid Table 2 Accent 6"/>
    <w:basedOn w:val="TableNormal"/>
    <w:uiPriority w:val="47"/>
    <w:rsid w:val="00150F71"/>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rPr>
      <w:hidden/>
    </w:trPr>
    <w:tblStylePr w:type="firstRow">
      <w:rPr>
        <w:b/>
        <w:bCs/>
      </w:rPr>
      <w:tblPr/>
      <w:trPr>
        <w:hidden/>
      </w:tr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rPr>
        <w:hidden/>
      </w:tr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3">
    <w:name w:val="Grid Table 3"/>
    <w:basedOn w:val="TableNormal"/>
    <w:uiPriority w:val="48"/>
    <w:rsid w:val="00150F7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bottom w:val="single" w:sz="4" w:space="0" w:color="666666" w:themeColor="text1" w:themeTint="99"/>
        </w:tcBorders>
      </w:tcPr>
    </w:tblStylePr>
    <w:tblStylePr w:type="nwCell">
      <w:tblPr/>
      <w:trPr>
        <w:hidden/>
      </w:trPr>
      <w:tcPr>
        <w:tcBorders>
          <w:bottom w:val="single" w:sz="4" w:space="0" w:color="666666" w:themeColor="text1" w:themeTint="99"/>
        </w:tcBorders>
      </w:tcPr>
    </w:tblStylePr>
    <w:tblStylePr w:type="seCell">
      <w:tblPr/>
      <w:trPr>
        <w:hidden/>
      </w:trPr>
      <w:tcPr>
        <w:tcBorders>
          <w:top w:val="single" w:sz="4" w:space="0" w:color="666666" w:themeColor="text1" w:themeTint="99"/>
        </w:tcBorders>
      </w:tcPr>
    </w:tblStylePr>
    <w:tblStylePr w:type="swCell">
      <w:tblPr/>
      <w:trPr>
        <w:hidden/>
      </w:trPr>
      <w:tcPr>
        <w:tcBorders>
          <w:top w:val="single" w:sz="4" w:space="0" w:color="666666" w:themeColor="text1" w:themeTint="99"/>
        </w:tcBorders>
      </w:tcPr>
    </w:tblStylePr>
  </w:style>
  <w:style w:type="table" w:styleId="GridTable3-Accent1">
    <w:name w:val="Grid Table 3 Accent 1"/>
    <w:basedOn w:val="TableNormal"/>
    <w:uiPriority w:val="48"/>
    <w:rsid w:val="00150F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bottom w:val="single" w:sz="4" w:space="0" w:color="95B3D7" w:themeColor="accent1" w:themeTint="99"/>
        </w:tcBorders>
      </w:tcPr>
    </w:tblStylePr>
    <w:tblStylePr w:type="nwCell">
      <w:tblPr/>
      <w:trPr>
        <w:hidden/>
      </w:trPr>
      <w:tcPr>
        <w:tcBorders>
          <w:bottom w:val="single" w:sz="4" w:space="0" w:color="95B3D7" w:themeColor="accent1" w:themeTint="99"/>
        </w:tcBorders>
      </w:tcPr>
    </w:tblStylePr>
    <w:tblStylePr w:type="seCell">
      <w:tblPr/>
      <w:trPr>
        <w:hidden/>
      </w:trPr>
      <w:tcPr>
        <w:tcBorders>
          <w:top w:val="single" w:sz="4" w:space="0" w:color="95B3D7" w:themeColor="accent1" w:themeTint="99"/>
        </w:tcBorders>
      </w:tcPr>
    </w:tblStylePr>
    <w:tblStylePr w:type="swCell">
      <w:tblPr/>
      <w:trPr>
        <w:hidden/>
      </w:trPr>
      <w:tcPr>
        <w:tcBorders>
          <w:top w:val="single" w:sz="4" w:space="0" w:color="95B3D7" w:themeColor="accent1" w:themeTint="99"/>
        </w:tcBorders>
      </w:tcPr>
    </w:tblStylePr>
  </w:style>
  <w:style w:type="table" w:styleId="GridTable3-Accent2">
    <w:name w:val="Grid Table 3 Accent 2"/>
    <w:basedOn w:val="TableNormal"/>
    <w:uiPriority w:val="48"/>
    <w:rsid w:val="00150F7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bottom w:val="single" w:sz="4" w:space="0" w:color="D99594" w:themeColor="accent2" w:themeTint="99"/>
        </w:tcBorders>
      </w:tcPr>
    </w:tblStylePr>
    <w:tblStylePr w:type="nwCell">
      <w:tblPr/>
      <w:trPr>
        <w:hidden/>
      </w:trPr>
      <w:tcPr>
        <w:tcBorders>
          <w:bottom w:val="single" w:sz="4" w:space="0" w:color="D99594" w:themeColor="accent2" w:themeTint="99"/>
        </w:tcBorders>
      </w:tcPr>
    </w:tblStylePr>
    <w:tblStylePr w:type="seCell">
      <w:tblPr/>
      <w:trPr>
        <w:hidden/>
      </w:trPr>
      <w:tcPr>
        <w:tcBorders>
          <w:top w:val="single" w:sz="4" w:space="0" w:color="D99594" w:themeColor="accent2" w:themeTint="99"/>
        </w:tcBorders>
      </w:tcPr>
    </w:tblStylePr>
    <w:tblStylePr w:type="swCell">
      <w:tblPr/>
      <w:trPr>
        <w:hidden/>
      </w:trPr>
      <w:tcPr>
        <w:tcBorders>
          <w:top w:val="single" w:sz="4" w:space="0" w:color="D99594" w:themeColor="accent2" w:themeTint="99"/>
        </w:tcBorders>
      </w:tcPr>
    </w:tblStylePr>
  </w:style>
  <w:style w:type="table" w:styleId="GridTable3-Accent3">
    <w:name w:val="Grid Table 3 Accent 3"/>
    <w:basedOn w:val="TableNormal"/>
    <w:uiPriority w:val="48"/>
    <w:rsid w:val="00150F7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bottom w:val="single" w:sz="4" w:space="0" w:color="C2D69B" w:themeColor="accent3" w:themeTint="99"/>
        </w:tcBorders>
      </w:tcPr>
    </w:tblStylePr>
    <w:tblStylePr w:type="nwCell">
      <w:tblPr/>
      <w:trPr>
        <w:hidden/>
      </w:trPr>
      <w:tcPr>
        <w:tcBorders>
          <w:bottom w:val="single" w:sz="4" w:space="0" w:color="C2D69B" w:themeColor="accent3" w:themeTint="99"/>
        </w:tcBorders>
      </w:tcPr>
    </w:tblStylePr>
    <w:tblStylePr w:type="seCell">
      <w:tblPr/>
      <w:trPr>
        <w:hidden/>
      </w:trPr>
      <w:tcPr>
        <w:tcBorders>
          <w:top w:val="single" w:sz="4" w:space="0" w:color="C2D69B" w:themeColor="accent3" w:themeTint="99"/>
        </w:tcBorders>
      </w:tcPr>
    </w:tblStylePr>
    <w:tblStylePr w:type="swCell">
      <w:tblPr/>
      <w:trPr>
        <w:hidden/>
      </w:trPr>
      <w:tcPr>
        <w:tcBorders>
          <w:top w:val="single" w:sz="4" w:space="0" w:color="C2D69B" w:themeColor="accent3" w:themeTint="99"/>
        </w:tcBorders>
      </w:tcPr>
    </w:tblStylePr>
  </w:style>
  <w:style w:type="table" w:styleId="GridTable3-Accent4">
    <w:name w:val="Grid Table 3 Accent 4"/>
    <w:basedOn w:val="TableNormal"/>
    <w:uiPriority w:val="48"/>
    <w:rsid w:val="00150F7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bottom w:val="single" w:sz="4" w:space="0" w:color="B2A1C7" w:themeColor="accent4" w:themeTint="99"/>
        </w:tcBorders>
      </w:tcPr>
    </w:tblStylePr>
    <w:tblStylePr w:type="nwCell">
      <w:tblPr/>
      <w:trPr>
        <w:hidden/>
      </w:trPr>
      <w:tcPr>
        <w:tcBorders>
          <w:bottom w:val="single" w:sz="4" w:space="0" w:color="B2A1C7" w:themeColor="accent4" w:themeTint="99"/>
        </w:tcBorders>
      </w:tcPr>
    </w:tblStylePr>
    <w:tblStylePr w:type="seCell">
      <w:tblPr/>
      <w:trPr>
        <w:hidden/>
      </w:trPr>
      <w:tcPr>
        <w:tcBorders>
          <w:top w:val="single" w:sz="4" w:space="0" w:color="B2A1C7" w:themeColor="accent4" w:themeTint="99"/>
        </w:tcBorders>
      </w:tcPr>
    </w:tblStylePr>
    <w:tblStylePr w:type="swCell">
      <w:tblPr/>
      <w:trPr>
        <w:hidden/>
      </w:trPr>
      <w:tcPr>
        <w:tcBorders>
          <w:top w:val="single" w:sz="4" w:space="0" w:color="B2A1C7" w:themeColor="accent4" w:themeTint="99"/>
        </w:tcBorders>
      </w:tcPr>
    </w:tblStylePr>
  </w:style>
  <w:style w:type="table" w:styleId="GridTable3-Accent5">
    <w:name w:val="Grid Table 3 Accent 5"/>
    <w:basedOn w:val="TableNormal"/>
    <w:uiPriority w:val="48"/>
    <w:rsid w:val="00150F7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bottom w:val="single" w:sz="4" w:space="0" w:color="92CDDC" w:themeColor="accent5" w:themeTint="99"/>
        </w:tcBorders>
      </w:tcPr>
    </w:tblStylePr>
    <w:tblStylePr w:type="nwCell">
      <w:tblPr/>
      <w:trPr>
        <w:hidden/>
      </w:trPr>
      <w:tcPr>
        <w:tcBorders>
          <w:bottom w:val="single" w:sz="4" w:space="0" w:color="92CDDC" w:themeColor="accent5" w:themeTint="99"/>
        </w:tcBorders>
      </w:tcPr>
    </w:tblStylePr>
    <w:tblStylePr w:type="seCell">
      <w:tblPr/>
      <w:trPr>
        <w:hidden/>
      </w:trPr>
      <w:tcPr>
        <w:tcBorders>
          <w:top w:val="single" w:sz="4" w:space="0" w:color="92CDDC" w:themeColor="accent5" w:themeTint="99"/>
        </w:tcBorders>
      </w:tcPr>
    </w:tblStylePr>
    <w:tblStylePr w:type="swCell">
      <w:tblPr/>
      <w:trPr>
        <w:hidden/>
      </w:trPr>
      <w:tcPr>
        <w:tcBorders>
          <w:top w:val="single" w:sz="4" w:space="0" w:color="92CDDC" w:themeColor="accent5" w:themeTint="99"/>
        </w:tcBorders>
      </w:tcPr>
    </w:tblStylePr>
  </w:style>
  <w:style w:type="table" w:styleId="GridTable3-Accent6">
    <w:name w:val="Grid Table 3 Accent 6"/>
    <w:basedOn w:val="TableNormal"/>
    <w:uiPriority w:val="48"/>
    <w:rsid w:val="00150F7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bottom w:val="single" w:sz="4" w:space="0" w:color="FABF8F" w:themeColor="accent6" w:themeTint="99"/>
        </w:tcBorders>
      </w:tcPr>
    </w:tblStylePr>
    <w:tblStylePr w:type="nwCell">
      <w:tblPr/>
      <w:trPr>
        <w:hidden/>
      </w:trPr>
      <w:tcPr>
        <w:tcBorders>
          <w:bottom w:val="single" w:sz="4" w:space="0" w:color="FABF8F" w:themeColor="accent6" w:themeTint="99"/>
        </w:tcBorders>
      </w:tcPr>
    </w:tblStylePr>
    <w:tblStylePr w:type="seCell">
      <w:tblPr/>
      <w:trPr>
        <w:hidden/>
      </w:trPr>
      <w:tcPr>
        <w:tcBorders>
          <w:top w:val="single" w:sz="4" w:space="0" w:color="FABF8F" w:themeColor="accent6" w:themeTint="99"/>
        </w:tcBorders>
      </w:tcPr>
    </w:tblStylePr>
    <w:tblStylePr w:type="swCell">
      <w:tblPr/>
      <w:trPr>
        <w:hidden/>
      </w:trPr>
      <w:tcPr>
        <w:tcBorders>
          <w:top w:val="single" w:sz="4" w:space="0" w:color="FABF8F" w:themeColor="accent6" w:themeTint="99"/>
        </w:tcBorders>
      </w:tcPr>
    </w:tblStylePr>
  </w:style>
  <w:style w:type="table" w:styleId="GridTable4">
    <w:name w:val="Grid Table 4"/>
    <w:basedOn w:val="TableNormal"/>
    <w:uiPriority w:val="49"/>
    <w:rsid w:val="00150F7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color w:val="FFFFFF" w:themeColor="background1"/>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rPr>
        <w:hidden/>
      </w:trPr>
      <w:tcPr>
        <w:tcBorders>
          <w:top w:val="double" w:sz="4" w:space="0" w:color="000000" w:themeColor="text1"/>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4-Accent1">
    <w:name w:val="Grid Table 4 Accent 1"/>
    <w:basedOn w:val="TableNormal"/>
    <w:uiPriority w:val="49"/>
    <w:rsid w:val="00150F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color w:val="FFFFFF" w:themeColor="background1"/>
      </w:rPr>
      <w:tblPr/>
      <w:trPr>
        <w:hidden/>
      </w:t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rPr>
        <w:hidden/>
      </w:trPr>
      <w:tcPr>
        <w:tcBorders>
          <w:top w:val="double" w:sz="4" w:space="0" w:color="4F81BD" w:themeColor="accent1"/>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4-Accent2">
    <w:name w:val="Grid Table 4 Accent 2"/>
    <w:basedOn w:val="TableNormal"/>
    <w:uiPriority w:val="49"/>
    <w:rsid w:val="00150F7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color w:val="FFFFFF" w:themeColor="background1"/>
      </w:rPr>
      <w:tblPr/>
      <w:trPr>
        <w:hidden/>
      </w:tr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rPr>
        <w:hidden/>
      </w:trPr>
      <w:tcPr>
        <w:tcBorders>
          <w:top w:val="double" w:sz="4" w:space="0" w:color="C0504D" w:themeColor="accent2"/>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4-Accent3">
    <w:name w:val="Grid Table 4 Accent 3"/>
    <w:basedOn w:val="TableNormal"/>
    <w:uiPriority w:val="49"/>
    <w:rsid w:val="00150F7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color w:val="FFFFFF" w:themeColor="background1"/>
      </w:rPr>
      <w:tblPr/>
      <w:trPr>
        <w:hidden/>
      </w:tr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rPr>
        <w:hidden/>
      </w:trPr>
      <w:tcPr>
        <w:tcBorders>
          <w:top w:val="double" w:sz="4" w:space="0" w:color="9BBB59" w:themeColor="accent3"/>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4-Accent4">
    <w:name w:val="Grid Table 4 Accent 4"/>
    <w:basedOn w:val="TableNormal"/>
    <w:uiPriority w:val="49"/>
    <w:rsid w:val="00150F7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color w:val="FFFFFF" w:themeColor="background1"/>
      </w:rPr>
      <w:tblPr/>
      <w:trPr>
        <w:hidden/>
      </w:tr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rPr>
        <w:hidden/>
      </w:trPr>
      <w:tcPr>
        <w:tcBorders>
          <w:top w:val="double" w:sz="4" w:space="0" w:color="8064A2" w:themeColor="accent4"/>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4-Accent5">
    <w:name w:val="Grid Table 4 Accent 5"/>
    <w:basedOn w:val="TableNormal"/>
    <w:uiPriority w:val="49"/>
    <w:rsid w:val="00150F7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color w:val="FFFFFF" w:themeColor="background1"/>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rPr>
        <w:hidden/>
      </w:trPr>
      <w:tcPr>
        <w:tcBorders>
          <w:top w:val="double" w:sz="4" w:space="0" w:color="4BACC6" w:themeColor="accent5"/>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4-Accent6">
    <w:name w:val="Grid Table 4 Accent 6"/>
    <w:basedOn w:val="TableNormal"/>
    <w:uiPriority w:val="49"/>
    <w:rsid w:val="00150F7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color w:val="FFFFFF" w:themeColor="background1"/>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rPr>
        <w:hidden/>
      </w:trPr>
      <w:tcPr>
        <w:tcBorders>
          <w:top w:val="double" w:sz="4" w:space="0" w:color="F79646" w:themeColor="accent6"/>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5Dark">
    <w:name w:val="Grid Table 5 Dark"/>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CCCCCC" w:themeFill="text1"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rPr>
        <w:hidden/>
      </w:trPr>
      <w:tcPr>
        <w:shd w:val="clear" w:color="auto" w:fill="999999" w:themeFill="text1" w:themeFillTint="66"/>
      </w:tcPr>
    </w:tblStylePr>
    <w:tblStylePr w:type="band1Horz">
      <w:tblPr/>
      <w:trPr>
        <w:hidden/>
      </w:trPr>
      <w:tcPr>
        <w:shd w:val="clear" w:color="auto" w:fill="999999" w:themeFill="text1" w:themeFillTint="66"/>
      </w:tcPr>
    </w:tblStylePr>
  </w:style>
  <w:style w:type="table" w:styleId="GridTable5Dark-Accent1">
    <w:name w:val="Grid Table 5 Dark Accent 1"/>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DBE5F1" w:themeFill="accent1"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rPr>
        <w:hidden/>
      </w:trPr>
      <w:tcPr>
        <w:shd w:val="clear" w:color="auto" w:fill="B8CCE4" w:themeFill="accent1" w:themeFillTint="66"/>
      </w:tcPr>
    </w:tblStylePr>
    <w:tblStylePr w:type="band1Horz">
      <w:tblPr/>
      <w:trPr>
        <w:hidden/>
      </w:trPr>
      <w:tcPr>
        <w:shd w:val="clear" w:color="auto" w:fill="B8CCE4" w:themeFill="accent1" w:themeFillTint="66"/>
      </w:tcPr>
    </w:tblStylePr>
  </w:style>
  <w:style w:type="table" w:styleId="GridTable5Dark-Accent2">
    <w:name w:val="Grid Table 5 Dark Accent 2"/>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F2DBDB" w:themeFill="accent2"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rPr>
        <w:hidden/>
      </w:trPr>
      <w:tcPr>
        <w:shd w:val="clear" w:color="auto" w:fill="E5B8B7" w:themeFill="accent2" w:themeFillTint="66"/>
      </w:tcPr>
    </w:tblStylePr>
    <w:tblStylePr w:type="band1Horz">
      <w:tblPr/>
      <w:trPr>
        <w:hidden/>
      </w:trPr>
      <w:tcPr>
        <w:shd w:val="clear" w:color="auto" w:fill="E5B8B7" w:themeFill="accent2" w:themeFillTint="66"/>
      </w:tcPr>
    </w:tblStylePr>
  </w:style>
  <w:style w:type="table" w:styleId="GridTable5Dark-Accent3">
    <w:name w:val="Grid Table 5 Dark Accent 3"/>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EAF1DD" w:themeFill="accent3"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rPr>
        <w:hidden/>
      </w:trPr>
      <w:tcPr>
        <w:shd w:val="clear" w:color="auto" w:fill="D6E3BC" w:themeFill="accent3" w:themeFillTint="66"/>
      </w:tcPr>
    </w:tblStylePr>
    <w:tblStylePr w:type="band1Horz">
      <w:tblPr/>
      <w:trPr>
        <w:hidden/>
      </w:trPr>
      <w:tcPr>
        <w:shd w:val="clear" w:color="auto" w:fill="D6E3BC" w:themeFill="accent3" w:themeFillTint="66"/>
      </w:tcPr>
    </w:tblStylePr>
  </w:style>
  <w:style w:type="table" w:styleId="GridTable5Dark-Accent4">
    <w:name w:val="Grid Table 5 Dark Accent 4"/>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E5DFEC" w:themeFill="accent4"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rPr>
        <w:hidden/>
      </w:trPr>
      <w:tcPr>
        <w:shd w:val="clear" w:color="auto" w:fill="CCC0D9" w:themeFill="accent4" w:themeFillTint="66"/>
      </w:tcPr>
    </w:tblStylePr>
    <w:tblStylePr w:type="band1Horz">
      <w:tblPr/>
      <w:trPr>
        <w:hidden/>
      </w:trPr>
      <w:tcPr>
        <w:shd w:val="clear" w:color="auto" w:fill="CCC0D9" w:themeFill="accent4" w:themeFillTint="66"/>
      </w:tcPr>
    </w:tblStylePr>
  </w:style>
  <w:style w:type="table" w:styleId="GridTable5Dark-Accent5">
    <w:name w:val="Grid Table 5 Dark Accent 5"/>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DAEEF3" w:themeFill="accent5"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rPr>
        <w:hidden/>
      </w:trPr>
      <w:tcPr>
        <w:shd w:val="clear" w:color="auto" w:fill="B6DDE8" w:themeFill="accent5" w:themeFillTint="66"/>
      </w:tcPr>
    </w:tblStylePr>
    <w:tblStylePr w:type="band1Horz">
      <w:tblPr/>
      <w:trPr>
        <w:hidden/>
      </w:trPr>
      <w:tcPr>
        <w:shd w:val="clear" w:color="auto" w:fill="B6DDE8" w:themeFill="accent5" w:themeFillTint="66"/>
      </w:tcPr>
    </w:tblStylePr>
  </w:style>
  <w:style w:type="table" w:styleId="GridTable5Dark-Accent6">
    <w:name w:val="Grid Table 5 Dark Accent 6"/>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FDE9D9" w:themeFill="accent6"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rPr>
        <w:hidden/>
      </w:trPr>
      <w:tcPr>
        <w:shd w:val="clear" w:color="auto" w:fill="FBD4B4" w:themeFill="accent6" w:themeFillTint="66"/>
      </w:tcPr>
    </w:tblStylePr>
    <w:tblStylePr w:type="band1Horz">
      <w:tblPr/>
      <w:trPr>
        <w:hidden/>
      </w:trPr>
      <w:tcPr>
        <w:shd w:val="clear" w:color="auto" w:fill="FBD4B4" w:themeFill="accent6" w:themeFillTint="66"/>
      </w:tcPr>
    </w:tblStylePr>
  </w:style>
  <w:style w:type="table" w:styleId="GridTable6Colourful">
    <w:name w:val="Grid Table 6 Colorful"/>
    <w:basedOn w:val="TableNormal"/>
    <w:uiPriority w:val="51"/>
    <w:rsid w:val="00150F7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6ColourfulAccent1">
    <w:name w:val="Grid Table 6 Colorful Accent 1"/>
    <w:basedOn w:val="TableNormal"/>
    <w:uiPriority w:val="51"/>
    <w:rsid w:val="00150F7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6ColourfulAccent2">
    <w:name w:val="Grid Table 6 Colorful Accent 2"/>
    <w:basedOn w:val="TableNormal"/>
    <w:uiPriority w:val="51"/>
    <w:rsid w:val="00150F7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bottom w:val="single" w:sz="12" w:space="0" w:color="D99594" w:themeColor="accent2" w:themeTint="99"/>
        </w:tcBorders>
      </w:tcPr>
    </w:tblStylePr>
    <w:tblStylePr w:type="lastRow">
      <w:rPr>
        <w:b/>
        <w:bCs/>
      </w:rPr>
      <w:tblPr/>
      <w:trPr>
        <w:hidden/>
      </w:trPr>
      <w:tcPr>
        <w:tcBorders>
          <w:top w:val="doub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6ColourfulAccent3">
    <w:name w:val="Grid Table 6 Colorful Accent 3"/>
    <w:basedOn w:val="TableNormal"/>
    <w:uiPriority w:val="51"/>
    <w:rsid w:val="00150F7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bottom w:val="single" w:sz="12" w:space="0" w:color="C2D69B" w:themeColor="accent3" w:themeTint="99"/>
        </w:tcBorders>
      </w:tcPr>
    </w:tblStylePr>
    <w:tblStylePr w:type="lastRow">
      <w:rPr>
        <w:b/>
        <w:bCs/>
      </w:rPr>
      <w:tblPr/>
      <w:trPr>
        <w:hidden/>
      </w:trPr>
      <w:tcPr>
        <w:tcBorders>
          <w:top w:val="doub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6ColourfulAccent4">
    <w:name w:val="Grid Table 6 Colorful Accent 4"/>
    <w:basedOn w:val="TableNormal"/>
    <w:uiPriority w:val="51"/>
    <w:rsid w:val="00150F7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bottom w:val="single" w:sz="12" w:space="0" w:color="B2A1C7" w:themeColor="accent4" w:themeTint="99"/>
        </w:tcBorders>
      </w:tcPr>
    </w:tblStylePr>
    <w:tblStylePr w:type="lastRow">
      <w:rPr>
        <w:b/>
        <w:bCs/>
      </w:rPr>
      <w:tblPr/>
      <w:trPr>
        <w:hidden/>
      </w:trPr>
      <w:tcPr>
        <w:tcBorders>
          <w:top w:val="doub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6ColourfulAccent5">
    <w:name w:val="Grid Table 6 Colorful Accent 5"/>
    <w:basedOn w:val="TableNormal"/>
    <w:uiPriority w:val="51"/>
    <w:rsid w:val="00150F7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bottom w:val="single" w:sz="12" w:space="0" w:color="92CDDC" w:themeColor="accent5" w:themeTint="99"/>
        </w:tcBorders>
      </w:tcPr>
    </w:tblStylePr>
    <w:tblStylePr w:type="lastRow">
      <w:rPr>
        <w:b/>
        <w:bCs/>
      </w:rPr>
      <w:tblPr/>
      <w:trPr>
        <w:hidden/>
      </w:trPr>
      <w:tcPr>
        <w:tcBorders>
          <w:top w:val="doub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6ColourfulAccent6">
    <w:name w:val="Grid Table 6 Colorful Accent 6"/>
    <w:basedOn w:val="TableNormal"/>
    <w:uiPriority w:val="51"/>
    <w:rsid w:val="00150F7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bottom w:val="single" w:sz="12" w:space="0" w:color="FABF8F" w:themeColor="accent6" w:themeTint="99"/>
        </w:tcBorders>
      </w:tcPr>
    </w:tblStylePr>
    <w:tblStylePr w:type="lastRow">
      <w:rPr>
        <w:b/>
        <w:bCs/>
      </w:rPr>
      <w:tblPr/>
      <w:trPr>
        <w:hidden/>
      </w:trPr>
      <w:tcPr>
        <w:tcBorders>
          <w:top w:val="doub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7Colourful">
    <w:name w:val="Grid Table 7 Colorful"/>
    <w:basedOn w:val="TableNormal"/>
    <w:uiPriority w:val="52"/>
    <w:rsid w:val="00150F7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bottom w:val="single" w:sz="4" w:space="0" w:color="666666" w:themeColor="text1" w:themeTint="99"/>
        </w:tcBorders>
      </w:tcPr>
    </w:tblStylePr>
    <w:tblStylePr w:type="nwCell">
      <w:tblPr/>
      <w:trPr>
        <w:hidden/>
      </w:trPr>
      <w:tcPr>
        <w:tcBorders>
          <w:bottom w:val="single" w:sz="4" w:space="0" w:color="666666" w:themeColor="text1" w:themeTint="99"/>
        </w:tcBorders>
      </w:tcPr>
    </w:tblStylePr>
    <w:tblStylePr w:type="seCell">
      <w:tblPr/>
      <w:trPr>
        <w:hidden/>
      </w:trPr>
      <w:tcPr>
        <w:tcBorders>
          <w:top w:val="single" w:sz="4" w:space="0" w:color="666666" w:themeColor="text1" w:themeTint="99"/>
        </w:tcBorders>
      </w:tcPr>
    </w:tblStylePr>
    <w:tblStylePr w:type="swCell">
      <w:tblPr/>
      <w:trPr>
        <w:hidden/>
      </w:trPr>
      <w:tcPr>
        <w:tcBorders>
          <w:top w:val="single" w:sz="4" w:space="0" w:color="666666" w:themeColor="text1" w:themeTint="99"/>
        </w:tcBorders>
      </w:tcPr>
    </w:tblStylePr>
  </w:style>
  <w:style w:type="table" w:styleId="GridTable7ColourfulAccent1">
    <w:name w:val="Grid Table 7 Colorful Accent 1"/>
    <w:basedOn w:val="TableNormal"/>
    <w:uiPriority w:val="52"/>
    <w:rsid w:val="00150F7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bottom w:val="single" w:sz="4" w:space="0" w:color="95B3D7" w:themeColor="accent1" w:themeTint="99"/>
        </w:tcBorders>
      </w:tcPr>
    </w:tblStylePr>
    <w:tblStylePr w:type="nwCell">
      <w:tblPr/>
      <w:trPr>
        <w:hidden/>
      </w:trPr>
      <w:tcPr>
        <w:tcBorders>
          <w:bottom w:val="single" w:sz="4" w:space="0" w:color="95B3D7" w:themeColor="accent1" w:themeTint="99"/>
        </w:tcBorders>
      </w:tcPr>
    </w:tblStylePr>
    <w:tblStylePr w:type="seCell">
      <w:tblPr/>
      <w:trPr>
        <w:hidden/>
      </w:trPr>
      <w:tcPr>
        <w:tcBorders>
          <w:top w:val="single" w:sz="4" w:space="0" w:color="95B3D7" w:themeColor="accent1" w:themeTint="99"/>
        </w:tcBorders>
      </w:tcPr>
    </w:tblStylePr>
    <w:tblStylePr w:type="swCell">
      <w:tblPr/>
      <w:trPr>
        <w:hidden/>
      </w:trPr>
      <w:tcPr>
        <w:tcBorders>
          <w:top w:val="single" w:sz="4" w:space="0" w:color="95B3D7" w:themeColor="accent1" w:themeTint="99"/>
        </w:tcBorders>
      </w:tcPr>
    </w:tblStylePr>
  </w:style>
  <w:style w:type="table" w:styleId="GridTable7ColourfulAccent2">
    <w:name w:val="Grid Table 7 Colorful Accent 2"/>
    <w:basedOn w:val="TableNormal"/>
    <w:uiPriority w:val="52"/>
    <w:rsid w:val="00150F7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bottom w:val="single" w:sz="4" w:space="0" w:color="D99594" w:themeColor="accent2" w:themeTint="99"/>
        </w:tcBorders>
      </w:tcPr>
    </w:tblStylePr>
    <w:tblStylePr w:type="nwCell">
      <w:tblPr/>
      <w:trPr>
        <w:hidden/>
      </w:trPr>
      <w:tcPr>
        <w:tcBorders>
          <w:bottom w:val="single" w:sz="4" w:space="0" w:color="D99594" w:themeColor="accent2" w:themeTint="99"/>
        </w:tcBorders>
      </w:tcPr>
    </w:tblStylePr>
    <w:tblStylePr w:type="seCell">
      <w:tblPr/>
      <w:trPr>
        <w:hidden/>
      </w:trPr>
      <w:tcPr>
        <w:tcBorders>
          <w:top w:val="single" w:sz="4" w:space="0" w:color="D99594" w:themeColor="accent2" w:themeTint="99"/>
        </w:tcBorders>
      </w:tcPr>
    </w:tblStylePr>
    <w:tblStylePr w:type="swCell">
      <w:tblPr/>
      <w:trPr>
        <w:hidden/>
      </w:trPr>
      <w:tcPr>
        <w:tcBorders>
          <w:top w:val="single" w:sz="4" w:space="0" w:color="D99594" w:themeColor="accent2" w:themeTint="99"/>
        </w:tcBorders>
      </w:tcPr>
    </w:tblStylePr>
  </w:style>
  <w:style w:type="table" w:styleId="GridTable7ColourfulAccent3">
    <w:name w:val="Grid Table 7 Colorful Accent 3"/>
    <w:basedOn w:val="TableNormal"/>
    <w:uiPriority w:val="52"/>
    <w:rsid w:val="00150F7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bottom w:val="single" w:sz="4" w:space="0" w:color="C2D69B" w:themeColor="accent3" w:themeTint="99"/>
        </w:tcBorders>
      </w:tcPr>
    </w:tblStylePr>
    <w:tblStylePr w:type="nwCell">
      <w:tblPr/>
      <w:trPr>
        <w:hidden/>
      </w:trPr>
      <w:tcPr>
        <w:tcBorders>
          <w:bottom w:val="single" w:sz="4" w:space="0" w:color="C2D69B" w:themeColor="accent3" w:themeTint="99"/>
        </w:tcBorders>
      </w:tcPr>
    </w:tblStylePr>
    <w:tblStylePr w:type="seCell">
      <w:tblPr/>
      <w:trPr>
        <w:hidden/>
      </w:trPr>
      <w:tcPr>
        <w:tcBorders>
          <w:top w:val="single" w:sz="4" w:space="0" w:color="C2D69B" w:themeColor="accent3" w:themeTint="99"/>
        </w:tcBorders>
      </w:tcPr>
    </w:tblStylePr>
    <w:tblStylePr w:type="swCell">
      <w:tblPr/>
      <w:trPr>
        <w:hidden/>
      </w:trPr>
      <w:tcPr>
        <w:tcBorders>
          <w:top w:val="single" w:sz="4" w:space="0" w:color="C2D69B" w:themeColor="accent3" w:themeTint="99"/>
        </w:tcBorders>
      </w:tcPr>
    </w:tblStylePr>
  </w:style>
  <w:style w:type="table" w:styleId="GridTable7ColourfulAccent4">
    <w:name w:val="Grid Table 7 Colorful Accent 4"/>
    <w:basedOn w:val="TableNormal"/>
    <w:uiPriority w:val="52"/>
    <w:rsid w:val="00150F7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bottom w:val="single" w:sz="4" w:space="0" w:color="B2A1C7" w:themeColor="accent4" w:themeTint="99"/>
        </w:tcBorders>
      </w:tcPr>
    </w:tblStylePr>
    <w:tblStylePr w:type="nwCell">
      <w:tblPr/>
      <w:trPr>
        <w:hidden/>
      </w:trPr>
      <w:tcPr>
        <w:tcBorders>
          <w:bottom w:val="single" w:sz="4" w:space="0" w:color="B2A1C7" w:themeColor="accent4" w:themeTint="99"/>
        </w:tcBorders>
      </w:tcPr>
    </w:tblStylePr>
    <w:tblStylePr w:type="seCell">
      <w:tblPr/>
      <w:trPr>
        <w:hidden/>
      </w:trPr>
      <w:tcPr>
        <w:tcBorders>
          <w:top w:val="single" w:sz="4" w:space="0" w:color="B2A1C7" w:themeColor="accent4" w:themeTint="99"/>
        </w:tcBorders>
      </w:tcPr>
    </w:tblStylePr>
    <w:tblStylePr w:type="swCell">
      <w:tblPr/>
      <w:trPr>
        <w:hidden/>
      </w:trPr>
      <w:tcPr>
        <w:tcBorders>
          <w:top w:val="single" w:sz="4" w:space="0" w:color="B2A1C7" w:themeColor="accent4" w:themeTint="99"/>
        </w:tcBorders>
      </w:tcPr>
    </w:tblStylePr>
  </w:style>
  <w:style w:type="table" w:styleId="GridTable7ColourfulAccent5">
    <w:name w:val="Grid Table 7 Colorful Accent 5"/>
    <w:basedOn w:val="TableNormal"/>
    <w:uiPriority w:val="52"/>
    <w:rsid w:val="00150F7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bottom w:val="single" w:sz="4" w:space="0" w:color="92CDDC" w:themeColor="accent5" w:themeTint="99"/>
        </w:tcBorders>
      </w:tcPr>
    </w:tblStylePr>
    <w:tblStylePr w:type="nwCell">
      <w:tblPr/>
      <w:trPr>
        <w:hidden/>
      </w:trPr>
      <w:tcPr>
        <w:tcBorders>
          <w:bottom w:val="single" w:sz="4" w:space="0" w:color="92CDDC" w:themeColor="accent5" w:themeTint="99"/>
        </w:tcBorders>
      </w:tcPr>
    </w:tblStylePr>
    <w:tblStylePr w:type="seCell">
      <w:tblPr/>
      <w:trPr>
        <w:hidden/>
      </w:trPr>
      <w:tcPr>
        <w:tcBorders>
          <w:top w:val="single" w:sz="4" w:space="0" w:color="92CDDC" w:themeColor="accent5" w:themeTint="99"/>
        </w:tcBorders>
      </w:tcPr>
    </w:tblStylePr>
    <w:tblStylePr w:type="swCell">
      <w:tblPr/>
      <w:trPr>
        <w:hidden/>
      </w:trPr>
      <w:tcPr>
        <w:tcBorders>
          <w:top w:val="single" w:sz="4" w:space="0" w:color="92CDDC" w:themeColor="accent5" w:themeTint="99"/>
        </w:tcBorders>
      </w:tcPr>
    </w:tblStylePr>
  </w:style>
  <w:style w:type="table" w:styleId="GridTable7ColourfulAccent6">
    <w:name w:val="Grid Table 7 Colorful Accent 6"/>
    <w:basedOn w:val="TableNormal"/>
    <w:uiPriority w:val="52"/>
    <w:rsid w:val="00150F7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bottom w:val="single" w:sz="4" w:space="0" w:color="FABF8F" w:themeColor="accent6" w:themeTint="99"/>
        </w:tcBorders>
      </w:tcPr>
    </w:tblStylePr>
    <w:tblStylePr w:type="nwCell">
      <w:tblPr/>
      <w:trPr>
        <w:hidden/>
      </w:trPr>
      <w:tcPr>
        <w:tcBorders>
          <w:bottom w:val="single" w:sz="4" w:space="0" w:color="FABF8F" w:themeColor="accent6" w:themeTint="99"/>
        </w:tcBorders>
      </w:tcPr>
    </w:tblStylePr>
    <w:tblStylePr w:type="seCell">
      <w:tblPr/>
      <w:trPr>
        <w:hidden/>
      </w:trPr>
      <w:tcPr>
        <w:tcBorders>
          <w:top w:val="single" w:sz="4" w:space="0" w:color="FABF8F" w:themeColor="accent6" w:themeTint="99"/>
        </w:tcBorders>
      </w:tcPr>
    </w:tblStylePr>
    <w:tblStylePr w:type="swCell">
      <w:tblPr/>
      <w:trPr>
        <w:hidden/>
      </w:trPr>
      <w:tcPr>
        <w:tcBorders>
          <w:top w:val="single" w:sz="4" w:space="0" w:color="FABF8F" w:themeColor="accent6" w:themeTint="99"/>
        </w:tcBorders>
      </w:tcPr>
    </w:tblStylePr>
  </w:style>
  <w:style w:type="character" w:styleId="Hashtag">
    <w:name w:val="Hashtag"/>
    <w:basedOn w:val="DefaultParagraphFont"/>
    <w:uiPriority w:val="99"/>
    <w:semiHidden/>
    <w:unhideWhenUsed/>
    <w:rsid w:val="00150F71"/>
    <w:rPr>
      <w:color w:val="2B579A"/>
      <w:shd w:val="clear" w:color="auto" w:fill="E1DFDD"/>
    </w:rPr>
  </w:style>
  <w:style w:type="table" w:styleId="ListTable1Light">
    <w:name w:val="List Table 1 Light"/>
    <w:basedOn w:val="TableNormal"/>
    <w:uiPriority w:val="46"/>
    <w:rsid w:val="00150F71"/>
    <w:tblPr>
      <w:tblStyleRowBandSize w:val="1"/>
      <w:tblStyleColBandSize w:val="1"/>
    </w:tblPr>
    <w:trPr>
      <w:hidden/>
    </w:trPr>
    <w:tblStylePr w:type="firstRow">
      <w:rPr>
        <w:b/>
        <w:bCs/>
      </w:rPr>
      <w:tblPr/>
      <w:trPr>
        <w:hidden/>
      </w:trPr>
      <w:tcPr>
        <w:tcBorders>
          <w:bottom w:val="single" w:sz="4" w:space="0" w:color="666666" w:themeColor="text1" w:themeTint="99"/>
        </w:tcBorders>
      </w:tcPr>
    </w:tblStylePr>
    <w:tblStylePr w:type="lastRow">
      <w:rPr>
        <w:b/>
        <w:bCs/>
      </w:rPr>
      <w:tblPr/>
      <w:trPr>
        <w:hidden/>
      </w:trPr>
      <w:tcPr>
        <w:tcBorders>
          <w:top w:val="sing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1Light-Accent1">
    <w:name w:val="List Table 1 Light Accent 1"/>
    <w:basedOn w:val="TableNormal"/>
    <w:uiPriority w:val="46"/>
    <w:rsid w:val="00150F71"/>
    <w:tblPr>
      <w:tblStyleRowBandSize w:val="1"/>
      <w:tblStyleColBandSize w:val="1"/>
    </w:tblPr>
    <w:trPr>
      <w:hidden/>
    </w:trPr>
    <w:tblStylePr w:type="firstRow">
      <w:rPr>
        <w:b/>
        <w:bCs/>
      </w:rPr>
      <w:tblPr/>
      <w:trPr>
        <w:hidden/>
      </w:trPr>
      <w:tcPr>
        <w:tcBorders>
          <w:bottom w:val="single" w:sz="4" w:space="0" w:color="95B3D7" w:themeColor="accent1" w:themeTint="99"/>
        </w:tcBorders>
      </w:tcPr>
    </w:tblStylePr>
    <w:tblStylePr w:type="lastRow">
      <w:rPr>
        <w:b/>
        <w:bCs/>
      </w:rPr>
      <w:tblPr/>
      <w:trPr>
        <w:hidden/>
      </w:trPr>
      <w:tcPr>
        <w:tcBorders>
          <w:top w:val="sing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1Light-Accent2">
    <w:name w:val="List Table 1 Light Accent 2"/>
    <w:basedOn w:val="TableNormal"/>
    <w:uiPriority w:val="46"/>
    <w:rsid w:val="00150F71"/>
    <w:tblPr>
      <w:tblStyleRowBandSize w:val="1"/>
      <w:tblStyleColBandSize w:val="1"/>
    </w:tblPr>
    <w:trPr>
      <w:hidden/>
    </w:trPr>
    <w:tblStylePr w:type="firstRow">
      <w:rPr>
        <w:b/>
        <w:bCs/>
      </w:rPr>
      <w:tblPr/>
      <w:trPr>
        <w:hidden/>
      </w:trPr>
      <w:tcPr>
        <w:tcBorders>
          <w:bottom w:val="single" w:sz="4" w:space="0" w:color="D99594" w:themeColor="accent2" w:themeTint="99"/>
        </w:tcBorders>
      </w:tcPr>
    </w:tblStylePr>
    <w:tblStylePr w:type="lastRow">
      <w:rPr>
        <w:b/>
        <w:bCs/>
      </w:rPr>
      <w:tblPr/>
      <w:trPr>
        <w:hidden/>
      </w:trPr>
      <w:tcPr>
        <w:tcBorders>
          <w:top w:val="sing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1Light-Accent3">
    <w:name w:val="List Table 1 Light Accent 3"/>
    <w:basedOn w:val="TableNormal"/>
    <w:uiPriority w:val="46"/>
    <w:rsid w:val="00150F71"/>
    <w:tblPr>
      <w:tblStyleRowBandSize w:val="1"/>
      <w:tblStyleColBandSize w:val="1"/>
    </w:tblPr>
    <w:trPr>
      <w:hidden/>
    </w:trPr>
    <w:tblStylePr w:type="firstRow">
      <w:rPr>
        <w:b/>
        <w:bCs/>
      </w:rPr>
      <w:tblPr/>
      <w:trPr>
        <w:hidden/>
      </w:trPr>
      <w:tcPr>
        <w:tcBorders>
          <w:bottom w:val="single" w:sz="4" w:space="0" w:color="C2D69B" w:themeColor="accent3" w:themeTint="99"/>
        </w:tcBorders>
      </w:tcPr>
    </w:tblStylePr>
    <w:tblStylePr w:type="lastRow">
      <w:rPr>
        <w:b/>
        <w:bCs/>
      </w:rPr>
      <w:tblPr/>
      <w:trPr>
        <w:hidden/>
      </w:trPr>
      <w:tcPr>
        <w:tcBorders>
          <w:top w:val="sing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1Light-Accent4">
    <w:name w:val="List Table 1 Light Accent 4"/>
    <w:basedOn w:val="TableNormal"/>
    <w:uiPriority w:val="46"/>
    <w:rsid w:val="00150F71"/>
    <w:tblPr>
      <w:tblStyleRowBandSize w:val="1"/>
      <w:tblStyleColBandSize w:val="1"/>
    </w:tblPr>
    <w:trPr>
      <w:hidden/>
    </w:trPr>
    <w:tblStylePr w:type="firstRow">
      <w:rPr>
        <w:b/>
        <w:bCs/>
      </w:rPr>
      <w:tblPr/>
      <w:trPr>
        <w:hidden/>
      </w:trPr>
      <w:tcPr>
        <w:tcBorders>
          <w:bottom w:val="single" w:sz="4" w:space="0" w:color="B2A1C7" w:themeColor="accent4" w:themeTint="99"/>
        </w:tcBorders>
      </w:tcPr>
    </w:tblStylePr>
    <w:tblStylePr w:type="lastRow">
      <w:rPr>
        <w:b/>
        <w:bCs/>
      </w:rPr>
      <w:tblPr/>
      <w:trPr>
        <w:hidden/>
      </w:trPr>
      <w:tcPr>
        <w:tcBorders>
          <w:top w:val="sing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1Light-Accent5">
    <w:name w:val="List Table 1 Light Accent 5"/>
    <w:basedOn w:val="TableNormal"/>
    <w:uiPriority w:val="46"/>
    <w:rsid w:val="00150F71"/>
    <w:tblPr>
      <w:tblStyleRowBandSize w:val="1"/>
      <w:tblStyleColBandSize w:val="1"/>
    </w:tblPr>
    <w:trPr>
      <w:hidden/>
    </w:trPr>
    <w:tblStylePr w:type="firstRow">
      <w:rPr>
        <w:b/>
        <w:bCs/>
      </w:rPr>
      <w:tblPr/>
      <w:trPr>
        <w:hidden/>
      </w:trPr>
      <w:tcPr>
        <w:tcBorders>
          <w:bottom w:val="single" w:sz="4" w:space="0" w:color="92CDDC" w:themeColor="accent5" w:themeTint="99"/>
        </w:tcBorders>
      </w:tcPr>
    </w:tblStylePr>
    <w:tblStylePr w:type="lastRow">
      <w:rPr>
        <w:b/>
        <w:bCs/>
      </w:rPr>
      <w:tblPr/>
      <w:trPr>
        <w:hidden/>
      </w:trPr>
      <w:tcPr>
        <w:tcBorders>
          <w:top w:val="sing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1Light-Accent6">
    <w:name w:val="List Table 1 Light Accent 6"/>
    <w:basedOn w:val="TableNormal"/>
    <w:uiPriority w:val="46"/>
    <w:rsid w:val="00150F71"/>
    <w:tblPr>
      <w:tblStyleRowBandSize w:val="1"/>
      <w:tblStyleColBandSize w:val="1"/>
    </w:tblPr>
    <w:trPr>
      <w:hidden/>
    </w:trPr>
    <w:tblStylePr w:type="firstRow">
      <w:rPr>
        <w:b/>
        <w:bCs/>
      </w:rPr>
      <w:tblPr/>
      <w:trPr>
        <w:hidden/>
      </w:trPr>
      <w:tcPr>
        <w:tcBorders>
          <w:bottom w:val="single" w:sz="4" w:space="0" w:color="FABF8F" w:themeColor="accent6" w:themeTint="99"/>
        </w:tcBorders>
      </w:tcPr>
    </w:tblStylePr>
    <w:tblStylePr w:type="lastRow">
      <w:rPr>
        <w:b/>
        <w:bCs/>
      </w:rPr>
      <w:tblPr/>
      <w:trPr>
        <w:hidden/>
      </w:trPr>
      <w:tcPr>
        <w:tcBorders>
          <w:top w:val="sing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2">
    <w:name w:val="List Table 2"/>
    <w:basedOn w:val="TableNormal"/>
    <w:uiPriority w:val="47"/>
    <w:rsid w:val="00150F71"/>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2-Accent1">
    <w:name w:val="List Table 2 Accent 1"/>
    <w:basedOn w:val="TableNormal"/>
    <w:uiPriority w:val="47"/>
    <w:rsid w:val="00150F71"/>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2-Accent2">
    <w:name w:val="List Table 2 Accent 2"/>
    <w:basedOn w:val="TableNormal"/>
    <w:uiPriority w:val="47"/>
    <w:rsid w:val="00150F71"/>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2-Accent3">
    <w:name w:val="List Table 2 Accent 3"/>
    <w:basedOn w:val="TableNormal"/>
    <w:uiPriority w:val="47"/>
    <w:rsid w:val="00150F71"/>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2-Accent4">
    <w:name w:val="List Table 2 Accent 4"/>
    <w:basedOn w:val="TableNormal"/>
    <w:uiPriority w:val="47"/>
    <w:rsid w:val="00150F71"/>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2-Accent5">
    <w:name w:val="List Table 2 Accent 5"/>
    <w:basedOn w:val="TableNormal"/>
    <w:uiPriority w:val="47"/>
    <w:rsid w:val="00150F71"/>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2-Accent6">
    <w:name w:val="List Table 2 Accent 6"/>
    <w:basedOn w:val="TableNormal"/>
    <w:uiPriority w:val="47"/>
    <w:rsid w:val="00150F71"/>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3">
    <w:name w:val="List Table 3"/>
    <w:basedOn w:val="TableNormal"/>
    <w:uiPriority w:val="48"/>
    <w:rsid w:val="00150F7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rPr>
      <w:hidden/>
    </w:trPr>
    <w:tblStylePr w:type="firstRow">
      <w:rPr>
        <w:b/>
        <w:bCs/>
        <w:color w:val="FFFFFF" w:themeColor="background1"/>
      </w:rPr>
      <w:tblPr/>
      <w:trPr>
        <w:hidden/>
      </w:trPr>
      <w:tcPr>
        <w:shd w:val="clear" w:color="auto" w:fill="000000" w:themeFill="text1"/>
      </w:tcPr>
    </w:tblStylePr>
    <w:tblStylePr w:type="lastRow">
      <w:rPr>
        <w:b/>
        <w:bCs/>
      </w:rPr>
      <w:tblPr/>
      <w:trPr>
        <w:hidden/>
      </w:trPr>
      <w:tcPr>
        <w:tcBorders>
          <w:top w:val="double" w:sz="4" w:space="0" w:color="000000" w:themeColor="text1"/>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000000" w:themeColor="text1"/>
          <w:right w:val="single" w:sz="4" w:space="0" w:color="000000" w:themeColor="text1"/>
        </w:tcBorders>
      </w:tcPr>
    </w:tblStylePr>
    <w:tblStylePr w:type="band1Horz">
      <w:tblPr/>
      <w:trPr>
        <w:hidden/>
      </w:trPr>
      <w:tcPr>
        <w:tcBorders>
          <w:top w:val="single" w:sz="4" w:space="0" w:color="000000" w:themeColor="text1"/>
          <w:bottom w:val="single" w:sz="4" w:space="0" w:color="000000" w:themeColor="text1"/>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000000" w:themeColor="text1"/>
          <w:left w:val="nil"/>
        </w:tcBorders>
      </w:tcPr>
    </w:tblStylePr>
    <w:tblStylePr w:type="swCell">
      <w:tblPr/>
      <w:trPr>
        <w:hidden/>
      </w:trPr>
      <w:tcPr>
        <w:tcBorders>
          <w:top w:val="double" w:sz="4" w:space="0" w:color="000000" w:themeColor="text1"/>
          <w:right w:val="nil"/>
        </w:tcBorders>
      </w:tcPr>
    </w:tblStylePr>
  </w:style>
  <w:style w:type="table" w:styleId="ListTable3-Accent1">
    <w:name w:val="List Table 3 Accent 1"/>
    <w:basedOn w:val="TableNormal"/>
    <w:uiPriority w:val="48"/>
    <w:rsid w:val="00150F71"/>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rPr>
      <w:hidden/>
    </w:trPr>
    <w:tblStylePr w:type="firstRow">
      <w:rPr>
        <w:b/>
        <w:bCs/>
        <w:color w:val="FFFFFF" w:themeColor="background1"/>
      </w:rPr>
      <w:tblPr/>
      <w:trPr>
        <w:hidden/>
      </w:trPr>
      <w:tcPr>
        <w:shd w:val="clear" w:color="auto" w:fill="4F81BD" w:themeFill="accent1"/>
      </w:tcPr>
    </w:tblStylePr>
    <w:tblStylePr w:type="lastRow">
      <w:rPr>
        <w:b/>
        <w:bCs/>
      </w:rPr>
      <w:tblPr/>
      <w:trPr>
        <w:hidden/>
      </w:trPr>
      <w:tcPr>
        <w:tcBorders>
          <w:top w:val="double" w:sz="4" w:space="0" w:color="4F81BD" w:themeColor="accent1"/>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4F81BD" w:themeColor="accent1"/>
          <w:right w:val="single" w:sz="4" w:space="0" w:color="4F81BD" w:themeColor="accent1"/>
        </w:tcBorders>
      </w:tcPr>
    </w:tblStylePr>
    <w:tblStylePr w:type="band1Horz">
      <w:tblPr/>
      <w:trPr>
        <w:hidden/>
      </w:trPr>
      <w:tcPr>
        <w:tcBorders>
          <w:top w:val="single" w:sz="4" w:space="0" w:color="4F81BD" w:themeColor="accent1"/>
          <w:bottom w:val="single" w:sz="4" w:space="0" w:color="4F81BD" w:themeColor="accent1"/>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4F81BD" w:themeColor="accent1"/>
          <w:left w:val="nil"/>
        </w:tcBorders>
      </w:tcPr>
    </w:tblStylePr>
    <w:tblStylePr w:type="swCell">
      <w:tblPr/>
      <w:trPr>
        <w:hidden/>
      </w:trPr>
      <w:tcPr>
        <w:tcBorders>
          <w:top w:val="double" w:sz="4" w:space="0" w:color="4F81BD" w:themeColor="accent1"/>
          <w:right w:val="nil"/>
        </w:tcBorders>
      </w:tcPr>
    </w:tblStylePr>
  </w:style>
  <w:style w:type="table" w:styleId="ListTable3-Accent2">
    <w:name w:val="List Table 3 Accent 2"/>
    <w:basedOn w:val="TableNormal"/>
    <w:uiPriority w:val="48"/>
    <w:rsid w:val="00150F71"/>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rPr>
      <w:hidden/>
    </w:trPr>
    <w:tblStylePr w:type="firstRow">
      <w:rPr>
        <w:b/>
        <w:bCs/>
        <w:color w:val="FFFFFF" w:themeColor="background1"/>
      </w:rPr>
      <w:tblPr/>
      <w:trPr>
        <w:hidden/>
      </w:trPr>
      <w:tcPr>
        <w:shd w:val="clear" w:color="auto" w:fill="C0504D" w:themeFill="accent2"/>
      </w:tcPr>
    </w:tblStylePr>
    <w:tblStylePr w:type="lastRow">
      <w:rPr>
        <w:b/>
        <w:bCs/>
      </w:rPr>
      <w:tblPr/>
      <w:trPr>
        <w:hidden/>
      </w:trPr>
      <w:tcPr>
        <w:tcBorders>
          <w:top w:val="double" w:sz="4" w:space="0" w:color="C0504D" w:themeColor="accent2"/>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C0504D" w:themeColor="accent2"/>
          <w:right w:val="single" w:sz="4" w:space="0" w:color="C0504D" w:themeColor="accent2"/>
        </w:tcBorders>
      </w:tcPr>
    </w:tblStylePr>
    <w:tblStylePr w:type="band1Horz">
      <w:tblPr/>
      <w:trPr>
        <w:hidden/>
      </w:trPr>
      <w:tcPr>
        <w:tcBorders>
          <w:top w:val="single" w:sz="4" w:space="0" w:color="C0504D" w:themeColor="accent2"/>
          <w:bottom w:val="single" w:sz="4" w:space="0" w:color="C0504D" w:themeColor="accent2"/>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C0504D" w:themeColor="accent2"/>
          <w:left w:val="nil"/>
        </w:tcBorders>
      </w:tcPr>
    </w:tblStylePr>
    <w:tblStylePr w:type="swCell">
      <w:tblPr/>
      <w:trPr>
        <w:hidden/>
      </w:trPr>
      <w:tcPr>
        <w:tcBorders>
          <w:top w:val="double" w:sz="4" w:space="0" w:color="C0504D" w:themeColor="accent2"/>
          <w:right w:val="nil"/>
        </w:tcBorders>
      </w:tcPr>
    </w:tblStylePr>
  </w:style>
  <w:style w:type="table" w:styleId="ListTable3-Accent3">
    <w:name w:val="List Table 3 Accent 3"/>
    <w:basedOn w:val="TableNormal"/>
    <w:uiPriority w:val="48"/>
    <w:rsid w:val="00150F71"/>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rPr>
      <w:hidden/>
    </w:trPr>
    <w:tblStylePr w:type="firstRow">
      <w:rPr>
        <w:b/>
        <w:bCs/>
        <w:color w:val="FFFFFF" w:themeColor="background1"/>
      </w:rPr>
      <w:tblPr/>
      <w:trPr>
        <w:hidden/>
      </w:trPr>
      <w:tcPr>
        <w:shd w:val="clear" w:color="auto" w:fill="9BBB59" w:themeFill="accent3"/>
      </w:tcPr>
    </w:tblStylePr>
    <w:tblStylePr w:type="lastRow">
      <w:rPr>
        <w:b/>
        <w:bCs/>
      </w:rPr>
      <w:tblPr/>
      <w:trPr>
        <w:hidden/>
      </w:trPr>
      <w:tcPr>
        <w:tcBorders>
          <w:top w:val="double" w:sz="4" w:space="0" w:color="9BBB59" w:themeColor="accent3"/>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9BBB59" w:themeColor="accent3"/>
          <w:right w:val="single" w:sz="4" w:space="0" w:color="9BBB59" w:themeColor="accent3"/>
        </w:tcBorders>
      </w:tcPr>
    </w:tblStylePr>
    <w:tblStylePr w:type="band1Horz">
      <w:tblPr/>
      <w:trPr>
        <w:hidden/>
      </w:trPr>
      <w:tcPr>
        <w:tcBorders>
          <w:top w:val="single" w:sz="4" w:space="0" w:color="9BBB59" w:themeColor="accent3"/>
          <w:bottom w:val="single" w:sz="4" w:space="0" w:color="9BBB59" w:themeColor="accent3"/>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9BBB59" w:themeColor="accent3"/>
          <w:left w:val="nil"/>
        </w:tcBorders>
      </w:tcPr>
    </w:tblStylePr>
    <w:tblStylePr w:type="swCell">
      <w:tblPr/>
      <w:trPr>
        <w:hidden/>
      </w:trPr>
      <w:tcPr>
        <w:tcBorders>
          <w:top w:val="double" w:sz="4" w:space="0" w:color="9BBB59" w:themeColor="accent3"/>
          <w:right w:val="nil"/>
        </w:tcBorders>
      </w:tcPr>
    </w:tblStylePr>
  </w:style>
  <w:style w:type="table" w:styleId="ListTable3-Accent4">
    <w:name w:val="List Table 3 Accent 4"/>
    <w:basedOn w:val="TableNormal"/>
    <w:uiPriority w:val="48"/>
    <w:rsid w:val="00150F71"/>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rPr>
      <w:hidden/>
    </w:trPr>
    <w:tblStylePr w:type="firstRow">
      <w:rPr>
        <w:b/>
        <w:bCs/>
        <w:color w:val="FFFFFF" w:themeColor="background1"/>
      </w:rPr>
      <w:tblPr/>
      <w:trPr>
        <w:hidden/>
      </w:trPr>
      <w:tcPr>
        <w:shd w:val="clear" w:color="auto" w:fill="8064A2" w:themeFill="accent4"/>
      </w:tcPr>
    </w:tblStylePr>
    <w:tblStylePr w:type="lastRow">
      <w:rPr>
        <w:b/>
        <w:bCs/>
      </w:rPr>
      <w:tblPr/>
      <w:trPr>
        <w:hidden/>
      </w:trPr>
      <w:tcPr>
        <w:tcBorders>
          <w:top w:val="double" w:sz="4" w:space="0" w:color="8064A2" w:themeColor="accent4"/>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8064A2" w:themeColor="accent4"/>
          <w:right w:val="single" w:sz="4" w:space="0" w:color="8064A2" w:themeColor="accent4"/>
        </w:tcBorders>
      </w:tcPr>
    </w:tblStylePr>
    <w:tblStylePr w:type="band1Horz">
      <w:tblPr/>
      <w:trPr>
        <w:hidden/>
      </w:trPr>
      <w:tcPr>
        <w:tcBorders>
          <w:top w:val="single" w:sz="4" w:space="0" w:color="8064A2" w:themeColor="accent4"/>
          <w:bottom w:val="single" w:sz="4" w:space="0" w:color="8064A2" w:themeColor="accent4"/>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8064A2" w:themeColor="accent4"/>
          <w:left w:val="nil"/>
        </w:tcBorders>
      </w:tcPr>
    </w:tblStylePr>
    <w:tblStylePr w:type="swCell">
      <w:tblPr/>
      <w:trPr>
        <w:hidden/>
      </w:trPr>
      <w:tcPr>
        <w:tcBorders>
          <w:top w:val="double" w:sz="4" w:space="0" w:color="8064A2" w:themeColor="accent4"/>
          <w:right w:val="nil"/>
        </w:tcBorders>
      </w:tcPr>
    </w:tblStylePr>
  </w:style>
  <w:style w:type="table" w:styleId="ListTable3-Accent5">
    <w:name w:val="List Table 3 Accent 5"/>
    <w:basedOn w:val="TableNormal"/>
    <w:uiPriority w:val="48"/>
    <w:rsid w:val="00150F71"/>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rPr>
      <w:hidden/>
    </w:trPr>
    <w:tblStylePr w:type="firstRow">
      <w:rPr>
        <w:b/>
        <w:bCs/>
        <w:color w:val="FFFFFF" w:themeColor="background1"/>
      </w:rPr>
      <w:tblPr/>
      <w:trPr>
        <w:hidden/>
      </w:trPr>
      <w:tcPr>
        <w:shd w:val="clear" w:color="auto" w:fill="4BACC6" w:themeFill="accent5"/>
      </w:tcPr>
    </w:tblStylePr>
    <w:tblStylePr w:type="lastRow">
      <w:rPr>
        <w:b/>
        <w:bCs/>
      </w:rPr>
      <w:tblPr/>
      <w:trPr>
        <w:hidden/>
      </w:trPr>
      <w:tcPr>
        <w:tcBorders>
          <w:top w:val="double" w:sz="4" w:space="0" w:color="4BACC6" w:themeColor="accent5"/>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4BACC6" w:themeColor="accent5"/>
          <w:right w:val="single" w:sz="4" w:space="0" w:color="4BACC6" w:themeColor="accent5"/>
        </w:tcBorders>
      </w:tcPr>
    </w:tblStylePr>
    <w:tblStylePr w:type="band1Horz">
      <w:tblPr/>
      <w:trPr>
        <w:hidden/>
      </w:trPr>
      <w:tcPr>
        <w:tcBorders>
          <w:top w:val="single" w:sz="4" w:space="0" w:color="4BACC6" w:themeColor="accent5"/>
          <w:bottom w:val="single" w:sz="4" w:space="0" w:color="4BACC6" w:themeColor="accent5"/>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4BACC6" w:themeColor="accent5"/>
          <w:left w:val="nil"/>
        </w:tcBorders>
      </w:tcPr>
    </w:tblStylePr>
    <w:tblStylePr w:type="swCell">
      <w:tblPr/>
      <w:trPr>
        <w:hidden/>
      </w:trPr>
      <w:tcPr>
        <w:tcBorders>
          <w:top w:val="double" w:sz="4" w:space="0" w:color="4BACC6" w:themeColor="accent5"/>
          <w:right w:val="nil"/>
        </w:tcBorders>
      </w:tcPr>
    </w:tblStylePr>
  </w:style>
  <w:style w:type="table" w:styleId="ListTable3-Accent6">
    <w:name w:val="List Table 3 Accent 6"/>
    <w:basedOn w:val="TableNormal"/>
    <w:uiPriority w:val="48"/>
    <w:rsid w:val="00150F71"/>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rPr>
      <w:hidden/>
    </w:trPr>
    <w:tblStylePr w:type="firstRow">
      <w:rPr>
        <w:b/>
        <w:bCs/>
        <w:color w:val="FFFFFF" w:themeColor="background1"/>
      </w:rPr>
      <w:tblPr/>
      <w:trPr>
        <w:hidden/>
      </w:trPr>
      <w:tcPr>
        <w:shd w:val="clear" w:color="auto" w:fill="F79646" w:themeFill="accent6"/>
      </w:tcPr>
    </w:tblStylePr>
    <w:tblStylePr w:type="lastRow">
      <w:rPr>
        <w:b/>
        <w:bCs/>
      </w:rPr>
      <w:tblPr/>
      <w:trPr>
        <w:hidden/>
      </w:trPr>
      <w:tcPr>
        <w:tcBorders>
          <w:top w:val="double" w:sz="4" w:space="0" w:color="F79646" w:themeColor="accent6"/>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F79646" w:themeColor="accent6"/>
          <w:right w:val="single" w:sz="4" w:space="0" w:color="F79646" w:themeColor="accent6"/>
        </w:tcBorders>
      </w:tcPr>
    </w:tblStylePr>
    <w:tblStylePr w:type="band1Horz">
      <w:tblPr/>
      <w:trPr>
        <w:hidden/>
      </w:trPr>
      <w:tcPr>
        <w:tcBorders>
          <w:top w:val="single" w:sz="4" w:space="0" w:color="F79646" w:themeColor="accent6"/>
          <w:bottom w:val="single" w:sz="4" w:space="0" w:color="F79646" w:themeColor="accent6"/>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F79646" w:themeColor="accent6"/>
          <w:left w:val="nil"/>
        </w:tcBorders>
      </w:tcPr>
    </w:tblStylePr>
    <w:tblStylePr w:type="swCell">
      <w:tblPr/>
      <w:trPr>
        <w:hidden/>
      </w:trPr>
      <w:tcPr>
        <w:tcBorders>
          <w:top w:val="double" w:sz="4" w:space="0" w:color="F79646" w:themeColor="accent6"/>
          <w:right w:val="nil"/>
        </w:tcBorders>
      </w:tcPr>
    </w:tblStylePr>
  </w:style>
  <w:style w:type="table" w:styleId="ListTable4">
    <w:name w:val="List Table 4"/>
    <w:basedOn w:val="TableNormal"/>
    <w:uiPriority w:val="49"/>
    <w:rsid w:val="00150F7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rPr>
      <w:hidden/>
    </w:trPr>
    <w:tblStylePr w:type="firstRow">
      <w:rPr>
        <w:b/>
        <w:bCs/>
        <w:color w:val="FFFFFF" w:themeColor="background1"/>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rPr>
        <w:hidden/>
      </w:trPr>
      <w:tcPr>
        <w:tcBorders>
          <w:top w:val="doub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4-Accent1">
    <w:name w:val="List Table 4 Accent 1"/>
    <w:basedOn w:val="TableNormal"/>
    <w:uiPriority w:val="49"/>
    <w:rsid w:val="00150F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rPr>
      <w:hidden/>
    </w:trPr>
    <w:tblStylePr w:type="firstRow">
      <w:rPr>
        <w:b/>
        <w:bCs/>
        <w:color w:val="FFFFFF" w:themeColor="background1"/>
      </w:rPr>
      <w:tblPr/>
      <w:trPr>
        <w:hidden/>
      </w:t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rPr>
        <w:hidden/>
      </w:trPr>
      <w:tcPr>
        <w:tcBorders>
          <w:top w:val="doub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4-Accent2">
    <w:name w:val="List Table 4 Accent 2"/>
    <w:basedOn w:val="TableNormal"/>
    <w:uiPriority w:val="49"/>
    <w:rsid w:val="00150F7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rPr>
      <w:hidden/>
    </w:trPr>
    <w:tblStylePr w:type="firstRow">
      <w:rPr>
        <w:b/>
        <w:bCs/>
        <w:color w:val="FFFFFF" w:themeColor="background1"/>
      </w:rPr>
      <w:tblPr/>
      <w:trPr>
        <w:hidden/>
      </w:tr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rPr>
        <w:hidden/>
      </w:trPr>
      <w:tcPr>
        <w:tcBorders>
          <w:top w:val="doub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4-Accent3">
    <w:name w:val="List Table 4 Accent 3"/>
    <w:basedOn w:val="TableNormal"/>
    <w:uiPriority w:val="49"/>
    <w:rsid w:val="00150F7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rPr>
      <w:hidden/>
    </w:trPr>
    <w:tblStylePr w:type="firstRow">
      <w:rPr>
        <w:b/>
        <w:bCs/>
        <w:color w:val="FFFFFF" w:themeColor="background1"/>
      </w:rPr>
      <w:tblPr/>
      <w:trPr>
        <w:hidden/>
      </w:tr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rPr>
        <w:hidden/>
      </w:trPr>
      <w:tcPr>
        <w:tcBorders>
          <w:top w:val="doub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4-Accent4">
    <w:name w:val="List Table 4 Accent 4"/>
    <w:basedOn w:val="TableNormal"/>
    <w:uiPriority w:val="49"/>
    <w:rsid w:val="00150F7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rPr>
      <w:hidden/>
    </w:trPr>
    <w:tblStylePr w:type="firstRow">
      <w:rPr>
        <w:b/>
        <w:bCs/>
        <w:color w:val="FFFFFF" w:themeColor="background1"/>
      </w:rPr>
      <w:tblPr/>
      <w:trPr>
        <w:hidden/>
      </w:tr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rPr>
        <w:hidden/>
      </w:trPr>
      <w:tcPr>
        <w:tcBorders>
          <w:top w:val="doub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4-Accent5">
    <w:name w:val="List Table 4 Accent 5"/>
    <w:basedOn w:val="TableNormal"/>
    <w:uiPriority w:val="49"/>
    <w:rsid w:val="00150F7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rPr>
      <w:hidden/>
    </w:trPr>
    <w:tblStylePr w:type="firstRow">
      <w:rPr>
        <w:b/>
        <w:bCs/>
        <w:color w:val="FFFFFF" w:themeColor="background1"/>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rPr>
        <w:hidden/>
      </w:trPr>
      <w:tcPr>
        <w:tcBorders>
          <w:top w:val="doub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4-Accent6">
    <w:name w:val="List Table 4 Accent 6"/>
    <w:basedOn w:val="TableNormal"/>
    <w:uiPriority w:val="49"/>
    <w:rsid w:val="00150F7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rPr>
      <w:hidden/>
    </w:trPr>
    <w:tblStylePr w:type="firstRow">
      <w:rPr>
        <w:b/>
        <w:bCs/>
        <w:color w:val="FFFFFF" w:themeColor="background1"/>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rPr>
        <w:hidden/>
      </w:trPr>
      <w:tcPr>
        <w:tcBorders>
          <w:top w:val="doub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5Dark">
    <w:name w:val="List Table 5 Dark"/>
    <w:basedOn w:val="TableNormal"/>
    <w:uiPriority w:val="50"/>
    <w:rsid w:val="00150F71"/>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rPr>
      <w:hidden/>
    </w:trPr>
    <w:tcPr>
      <w:shd w:val="clear" w:color="auto" w:fill="000000" w:themeFill="text1"/>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1">
    <w:name w:val="List Table 5 Dark Accent 1"/>
    <w:basedOn w:val="TableNormal"/>
    <w:uiPriority w:val="50"/>
    <w:rsid w:val="00150F71"/>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rPr>
      <w:hidden/>
    </w:trPr>
    <w:tcPr>
      <w:shd w:val="clear" w:color="auto" w:fill="4F81BD" w:themeFill="accent1"/>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2">
    <w:name w:val="List Table 5 Dark Accent 2"/>
    <w:basedOn w:val="TableNormal"/>
    <w:uiPriority w:val="50"/>
    <w:rsid w:val="00150F71"/>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rPr>
      <w:hidden/>
    </w:trPr>
    <w:tcPr>
      <w:shd w:val="clear" w:color="auto" w:fill="C0504D" w:themeFill="accent2"/>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3">
    <w:name w:val="List Table 5 Dark Accent 3"/>
    <w:basedOn w:val="TableNormal"/>
    <w:uiPriority w:val="50"/>
    <w:rsid w:val="00150F71"/>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rPr>
      <w:hidden/>
    </w:trPr>
    <w:tcPr>
      <w:shd w:val="clear" w:color="auto" w:fill="9BBB59" w:themeFill="accent3"/>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4">
    <w:name w:val="List Table 5 Dark Accent 4"/>
    <w:basedOn w:val="TableNormal"/>
    <w:uiPriority w:val="50"/>
    <w:rsid w:val="00150F71"/>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rPr>
      <w:hidden/>
    </w:trPr>
    <w:tcPr>
      <w:shd w:val="clear" w:color="auto" w:fill="8064A2" w:themeFill="accent4"/>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5">
    <w:name w:val="List Table 5 Dark Accent 5"/>
    <w:basedOn w:val="TableNormal"/>
    <w:uiPriority w:val="50"/>
    <w:rsid w:val="00150F71"/>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rPr>
      <w:hidden/>
    </w:trPr>
    <w:tcPr>
      <w:shd w:val="clear" w:color="auto" w:fill="4BACC6" w:themeFill="accent5"/>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6">
    <w:name w:val="List Table 5 Dark Accent 6"/>
    <w:basedOn w:val="TableNormal"/>
    <w:uiPriority w:val="50"/>
    <w:rsid w:val="00150F71"/>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rPr>
      <w:hidden/>
    </w:trPr>
    <w:tcPr>
      <w:shd w:val="clear" w:color="auto" w:fill="F79646" w:themeFill="accent6"/>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6Colourful">
    <w:name w:val="List Table 6 Colorful"/>
    <w:basedOn w:val="TableNormal"/>
    <w:uiPriority w:val="51"/>
    <w:rsid w:val="00150F71"/>
    <w:rPr>
      <w:color w:val="000000" w:themeColor="text1"/>
    </w:rPr>
    <w:tblPr>
      <w:tblStyleRowBandSize w:val="1"/>
      <w:tblStyleColBandSize w:val="1"/>
      <w:tblBorders>
        <w:top w:val="single" w:sz="4" w:space="0" w:color="000000" w:themeColor="text1"/>
        <w:bottom w:val="single" w:sz="4" w:space="0" w:color="000000" w:themeColor="text1"/>
      </w:tblBorders>
    </w:tblPr>
    <w:trPr>
      <w:hidden/>
    </w:trPr>
    <w:tblStylePr w:type="firstRow">
      <w:rPr>
        <w:b/>
        <w:bCs/>
      </w:rPr>
      <w:tblPr/>
      <w:trPr>
        <w:hidden/>
      </w:trPr>
      <w:tcPr>
        <w:tcBorders>
          <w:bottom w:val="single" w:sz="4" w:space="0" w:color="000000" w:themeColor="text1"/>
        </w:tcBorders>
      </w:tcPr>
    </w:tblStylePr>
    <w:tblStylePr w:type="lastRow">
      <w:rPr>
        <w:b/>
        <w:bCs/>
      </w:rPr>
      <w:tblPr/>
      <w:trPr>
        <w:hidden/>
      </w:trPr>
      <w:tcPr>
        <w:tcBorders>
          <w:top w:val="double" w:sz="4" w:space="0" w:color="000000" w:themeColor="text1"/>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6ColourfulAccent1">
    <w:name w:val="List Table 6 Colorful Accent 1"/>
    <w:basedOn w:val="TableNormal"/>
    <w:uiPriority w:val="51"/>
    <w:rsid w:val="00150F71"/>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rPr>
      <w:hidden/>
    </w:trPr>
    <w:tblStylePr w:type="firstRow">
      <w:rPr>
        <w:b/>
        <w:bCs/>
      </w:rPr>
      <w:tblPr/>
      <w:trPr>
        <w:hidden/>
      </w:trPr>
      <w:tcPr>
        <w:tcBorders>
          <w:bottom w:val="single" w:sz="4" w:space="0" w:color="4F81BD" w:themeColor="accent1"/>
        </w:tcBorders>
      </w:tcPr>
    </w:tblStylePr>
    <w:tblStylePr w:type="lastRow">
      <w:rPr>
        <w:b/>
        <w:bCs/>
      </w:rPr>
      <w:tblPr/>
      <w:trPr>
        <w:hidden/>
      </w:trPr>
      <w:tcPr>
        <w:tcBorders>
          <w:top w:val="double" w:sz="4" w:space="0" w:color="4F81BD" w:themeColor="accent1"/>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6ColourfulAccent2">
    <w:name w:val="List Table 6 Colorful Accent 2"/>
    <w:basedOn w:val="TableNormal"/>
    <w:uiPriority w:val="51"/>
    <w:rsid w:val="00150F71"/>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rPr>
      <w:hidden/>
    </w:trPr>
    <w:tblStylePr w:type="firstRow">
      <w:rPr>
        <w:b/>
        <w:bCs/>
      </w:rPr>
      <w:tblPr/>
      <w:trPr>
        <w:hidden/>
      </w:trPr>
      <w:tcPr>
        <w:tcBorders>
          <w:bottom w:val="single" w:sz="4" w:space="0" w:color="C0504D" w:themeColor="accent2"/>
        </w:tcBorders>
      </w:tcPr>
    </w:tblStylePr>
    <w:tblStylePr w:type="lastRow">
      <w:rPr>
        <w:b/>
        <w:bCs/>
      </w:rPr>
      <w:tblPr/>
      <w:trPr>
        <w:hidden/>
      </w:trPr>
      <w:tcPr>
        <w:tcBorders>
          <w:top w:val="double" w:sz="4" w:space="0" w:color="C0504D" w:themeColor="accent2"/>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6ColourfulAccent3">
    <w:name w:val="List Table 6 Colorful Accent 3"/>
    <w:basedOn w:val="TableNormal"/>
    <w:uiPriority w:val="51"/>
    <w:rsid w:val="00150F71"/>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rPr>
      <w:hidden/>
    </w:trPr>
    <w:tblStylePr w:type="firstRow">
      <w:rPr>
        <w:b/>
        <w:bCs/>
      </w:rPr>
      <w:tblPr/>
      <w:trPr>
        <w:hidden/>
      </w:trPr>
      <w:tcPr>
        <w:tcBorders>
          <w:bottom w:val="single" w:sz="4" w:space="0" w:color="9BBB59" w:themeColor="accent3"/>
        </w:tcBorders>
      </w:tcPr>
    </w:tblStylePr>
    <w:tblStylePr w:type="lastRow">
      <w:rPr>
        <w:b/>
        <w:bCs/>
      </w:rPr>
      <w:tblPr/>
      <w:trPr>
        <w:hidden/>
      </w:trPr>
      <w:tcPr>
        <w:tcBorders>
          <w:top w:val="double" w:sz="4" w:space="0" w:color="9BBB59" w:themeColor="accent3"/>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6ColourfulAccent4">
    <w:name w:val="List Table 6 Colorful Accent 4"/>
    <w:basedOn w:val="TableNormal"/>
    <w:uiPriority w:val="51"/>
    <w:rsid w:val="00150F71"/>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rPr>
      <w:hidden/>
    </w:trPr>
    <w:tblStylePr w:type="firstRow">
      <w:rPr>
        <w:b/>
        <w:bCs/>
      </w:rPr>
      <w:tblPr/>
      <w:trPr>
        <w:hidden/>
      </w:trPr>
      <w:tcPr>
        <w:tcBorders>
          <w:bottom w:val="single" w:sz="4" w:space="0" w:color="8064A2" w:themeColor="accent4"/>
        </w:tcBorders>
      </w:tcPr>
    </w:tblStylePr>
    <w:tblStylePr w:type="lastRow">
      <w:rPr>
        <w:b/>
        <w:bCs/>
      </w:rPr>
      <w:tblPr/>
      <w:trPr>
        <w:hidden/>
      </w:trPr>
      <w:tcPr>
        <w:tcBorders>
          <w:top w:val="double" w:sz="4" w:space="0" w:color="8064A2" w:themeColor="accent4"/>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6ColourfulAccent5">
    <w:name w:val="List Table 6 Colorful Accent 5"/>
    <w:basedOn w:val="TableNormal"/>
    <w:uiPriority w:val="51"/>
    <w:rsid w:val="00150F71"/>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rPr>
      <w:hidden/>
    </w:trPr>
    <w:tblStylePr w:type="firstRow">
      <w:rPr>
        <w:b/>
        <w:bCs/>
      </w:rPr>
      <w:tblPr/>
      <w:trPr>
        <w:hidden/>
      </w:trPr>
      <w:tcPr>
        <w:tcBorders>
          <w:bottom w:val="single" w:sz="4" w:space="0" w:color="4BACC6" w:themeColor="accent5"/>
        </w:tcBorders>
      </w:tcPr>
    </w:tblStylePr>
    <w:tblStylePr w:type="lastRow">
      <w:rPr>
        <w:b/>
        <w:bCs/>
      </w:rPr>
      <w:tblPr/>
      <w:trPr>
        <w:hidden/>
      </w:trPr>
      <w:tcPr>
        <w:tcBorders>
          <w:top w:val="double" w:sz="4" w:space="0" w:color="4BACC6" w:themeColor="accent5"/>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6ColourfulAccent6">
    <w:name w:val="List Table 6 Colorful Accent 6"/>
    <w:basedOn w:val="TableNormal"/>
    <w:uiPriority w:val="51"/>
    <w:rsid w:val="00150F71"/>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rPr>
      <w:hidden/>
    </w:trPr>
    <w:tblStylePr w:type="firstRow">
      <w:rPr>
        <w:b/>
        <w:bCs/>
      </w:rPr>
      <w:tblPr/>
      <w:trPr>
        <w:hidden/>
      </w:trPr>
      <w:tcPr>
        <w:tcBorders>
          <w:bottom w:val="single" w:sz="4" w:space="0" w:color="F79646" w:themeColor="accent6"/>
        </w:tcBorders>
      </w:tcPr>
    </w:tblStylePr>
    <w:tblStylePr w:type="lastRow">
      <w:rPr>
        <w:b/>
        <w:bCs/>
      </w:rPr>
      <w:tblPr/>
      <w:trPr>
        <w:hidden/>
      </w:trPr>
      <w:tcPr>
        <w:tcBorders>
          <w:top w:val="double" w:sz="4" w:space="0" w:color="F79646" w:themeColor="accent6"/>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7Colourful">
    <w:name w:val="List Table 7 Colorful"/>
    <w:basedOn w:val="TableNormal"/>
    <w:uiPriority w:val="52"/>
    <w:rsid w:val="00150F71"/>
    <w:rPr>
      <w:color w:val="000000" w:themeColor="text1"/>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000000" w:themeColor="text1"/>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urfulAccent1">
    <w:name w:val="List Table 7 Colorful Accent 1"/>
    <w:basedOn w:val="TableNormal"/>
    <w:uiPriority w:val="52"/>
    <w:rsid w:val="00150F71"/>
    <w:rPr>
      <w:color w:val="365F91" w:themeColor="accent1"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4F81BD" w:themeColor="accent1"/>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urfulAccent2">
    <w:name w:val="List Table 7 Colorful Accent 2"/>
    <w:basedOn w:val="TableNormal"/>
    <w:uiPriority w:val="52"/>
    <w:rsid w:val="00150F71"/>
    <w:rPr>
      <w:color w:val="943634" w:themeColor="accent2"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C0504D" w:themeColor="accent2"/>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urfulAccent3">
    <w:name w:val="List Table 7 Colorful Accent 3"/>
    <w:basedOn w:val="TableNormal"/>
    <w:uiPriority w:val="52"/>
    <w:rsid w:val="00150F71"/>
    <w:rPr>
      <w:color w:val="76923C" w:themeColor="accent3"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9BBB59" w:themeColor="accent3"/>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urfulAccent4">
    <w:name w:val="List Table 7 Colorful Accent 4"/>
    <w:basedOn w:val="TableNormal"/>
    <w:uiPriority w:val="52"/>
    <w:rsid w:val="00150F71"/>
    <w:rPr>
      <w:color w:val="5F497A" w:themeColor="accent4"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8064A2" w:themeColor="accent4"/>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urfulAccent5">
    <w:name w:val="List Table 7 Colorful Accent 5"/>
    <w:basedOn w:val="TableNormal"/>
    <w:uiPriority w:val="52"/>
    <w:rsid w:val="00150F71"/>
    <w:rPr>
      <w:color w:val="31849B" w:themeColor="accent5"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4BACC6" w:themeColor="accent5"/>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urfulAccent6">
    <w:name w:val="List Table 7 Colorful Accent 6"/>
    <w:basedOn w:val="TableNormal"/>
    <w:uiPriority w:val="52"/>
    <w:rsid w:val="00150F71"/>
    <w:rPr>
      <w:color w:val="E36C0A" w:themeColor="accent6"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F79646" w:themeColor="accent6"/>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character" w:styleId="Mention">
    <w:name w:val="Mention"/>
    <w:basedOn w:val="DefaultParagraphFont"/>
    <w:uiPriority w:val="99"/>
    <w:semiHidden/>
    <w:unhideWhenUsed/>
    <w:rsid w:val="00150F71"/>
    <w:rPr>
      <w:color w:val="2B579A"/>
      <w:shd w:val="clear" w:color="auto" w:fill="E1DFDD"/>
    </w:rPr>
  </w:style>
  <w:style w:type="table" w:styleId="PlainTable1">
    <w:name w:val="Plain Table 1"/>
    <w:basedOn w:val="TableNormal"/>
    <w:uiPriority w:val="41"/>
    <w:rsid w:val="00150F7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table" w:styleId="PlainTable2">
    <w:name w:val="Plain Table 2"/>
    <w:basedOn w:val="TableNormal"/>
    <w:uiPriority w:val="42"/>
    <w:rsid w:val="00150F71"/>
    <w:tblPr>
      <w:tblStyleRowBandSize w:val="1"/>
      <w:tblStyleColBandSize w:val="1"/>
      <w:tblBorders>
        <w:top w:val="single" w:sz="4" w:space="0" w:color="7F7F7F" w:themeColor="text1" w:themeTint="80"/>
        <w:bottom w:val="single" w:sz="4" w:space="0" w:color="7F7F7F" w:themeColor="text1" w:themeTint="80"/>
      </w:tblBorders>
    </w:tblPr>
    <w:trPr>
      <w:hidden/>
    </w:trPr>
    <w:tblStylePr w:type="firstRow">
      <w:rPr>
        <w:b/>
        <w:bCs/>
      </w:rPr>
      <w:tblPr/>
      <w:trPr>
        <w:hidden/>
      </w:trPr>
      <w:tcPr>
        <w:tcBorders>
          <w:bottom w:val="single" w:sz="4" w:space="0" w:color="7F7F7F" w:themeColor="text1" w:themeTint="80"/>
        </w:tcBorders>
      </w:tcPr>
    </w:tblStylePr>
    <w:tblStylePr w:type="lastRow">
      <w:rPr>
        <w:b/>
        <w:bCs/>
      </w:rPr>
      <w:tblPr/>
      <w:trPr>
        <w:hidden/>
      </w:trPr>
      <w:tcPr>
        <w:tcBorders>
          <w:top w:val="single" w:sz="4" w:space="0" w:color="7F7F7F" w:themeColor="text1" w:themeTint="80"/>
        </w:tcBorders>
      </w:tcPr>
    </w:tblStylePr>
    <w:tblStylePr w:type="firstCol">
      <w:rPr>
        <w:b/>
        <w:bCs/>
      </w:rPr>
    </w:tblStylePr>
    <w:tblStylePr w:type="lastCol">
      <w:rPr>
        <w:b/>
        <w:bCs/>
      </w:rPr>
    </w:tblStylePr>
    <w:tblStylePr w:type="band1Vert">
      <w:tblPr/>
      <w:trPr>
        <w:hidden/>
      </w:trPr>
      <w:tcPr>
        <w:tcBorders>
          <w:left w:val="single" w:sz="4" w:space="0" w:color="7F7F7F" w:themeColor="text1" w:themeTint="80"/>
          <w:right w:val="single" w:sz="4" w:space="0" w:color="7F7F7F" w:themeColor="text1" w:themeTint="80"/>
        </w:tcBorders>
      </w:tcPr>
    </w:tblStylePr>
    <w:tblStylePr w:type="band2Vert">
      <w:tblPr/>
      <w:trPr>
        <w:hidden/>
      </w:trPr>
      <w:tcPr>
        <w:tcBorders>
          <w:left w:val="single" w:sz="4" w:space="0" w:color="7F7F7F" w:themeColor="text1" w:themeTint="80"/>
          <w:right w:val="single" w:sz="4" w:space="0" w:color="7F7F7F" w:themeColor="text1" w:themeTint="80"/>
        </w:tcBorders>
      </w:tcPr>
    </w:tblStylePr>
    <w:tblStylePr w:type="band1Horz">
      <w:tblPr/>
      <w:trPr>
        <w:hidden/>
      </w:tr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50F71"/>
    <w:tblPr>
      <w:tblStyleRowBandSize w:val="1"/>
      <w:tblStyleColBandSize w:val="1"/>
    </w:tblPr>
    <w:trPr>
      <w:hidden/>
    </w:trPr>
    <w:tblStylePr w:type="firstRow">
      <w:rPr>
        <w:b/>
        <w:bCs/>
        <w:caps/>
      </w:rPr>
      <w:tblPr/>
      <w:trPr>
        <w:hidden/>
      </w:trPr>
      <w:tcPr>
        <w:tcBorders>
          <w:bottom w:val="single" w:sz="4" w:space="0" w:color="7F7F7F" w:themeColor="text1" w:themeTint="80"/>
        </w:tcBorders>
      </w:tcPr>
    </w:tblStylePr>
    <w:tblStylePr w:type="lastRow">
      <w:rPr>
        <w:b/>
        <w:bCs/>
        <w:caps/>
      </w:rPr>
      <w:tblPr/>
      <w:trPr>
        <w:hidden/>
      </w:trPr>
      <w:tcPr>
        <w:tcBorders>
          <w:top w:val="nil"/>
        </w:tcBorders>
      </w:tcPr>
    </w:tblStylePr>
    <w:tblStylePr w:type="firstCol">
      <w:rPr>
        <w:b/>
        <w:bCs/>
        <w:caps/>
      </w:rPr>
      <w:tblPr/>
      <w:trPr>
        <w:hidden/>
      </w:trPr>
      <w:tcPr>
        <w:tcBorders>
          <w:right w:val="single" w:sz="4" w:space="0" w:color="7F7F7F" w:themeColor="text1" w:themeTint="80"/>
        </w:tcBorders>
      </w:tcPr>
    </w:tblStylePr>
    <w:tblStylePr w:type="lastCol">
      <w:rPr>
        <w:b/>
        <w:bCs/>
        <w:caps/>
      </w:rPr>
      <w:tblPr/>
      <w:trPr>
        <w:hidden/>
      </w:trPr>
      <w:tcPr>
        <w:tcBorders>
          <w:left w:val="nil"/>
        </w:tcBorders>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style>
  <w:style w:type="table" w:styleId="PlainTable4">
    <w:name w:val="Plain Table 4"/>
    <w:basedOn w:val="TableNormal"/>
    <w:uiPriority w:val="44"/>
    <w:rsid w:val="00150F71"/>
    <w:tblPr>
      <w:tblStyleRowBandSize w:val="1"/>
      <w:tblStyleColBandSize w:val="1"/>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table" w:styleId="PlainTable5">
    <w:name w:val="Plain Table 5"/>
    <w:basedOn w:val="TableNormal"/>
    <w:uiPriority w:val="45"/>
    <w:rsid w:val="00150F71"/>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character" w:styleId="SmartHyperlink">
    <w:name w:val="Smart Hyperlink"/>
    <w:basedOn w:val="DefaultParagraphFont"/>
    <w:uiPriority w:val="99"/>
    <w:semiHidden/>
    <w:unhideWhenUsed/>
    <w:rsid w:val="00150F71"/>
    <w:rPr>
      <w:u w:val="dotted"/>
    </w:rPr>
  </w:style>
  <w:style w:type="character" w:customStyle="1" w:styleId="SmartLink1">
    <w:name w:val="SmartLink1"/>
    <w:basedOn w:val="DefaultParagraphFont"/>
    <w:uiPriority w:val="99"/>
    <w:semiHidden/>
    <w:unhideWhenUsed/>
    <w:rsid w:val="00150F71"/>
    <w:rPr>
      <w:color w:val="2B579A"/>
      <w:shd w:val="clear" w:color="auto" w:fill="E1DFDD"/>
    </w:rPr>
  </w:style>
  <w:style w:type="table" w:styleId="TableGridLight">
    <w:name w:val="Grid Table Light"/>
    <w:basedOn w:val="TableNormal"/>
    <w:uiPriority w:val="40"/>
    <w:rsid w:val="00150F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character" w:styleId="UnresolvedMention">
    <w:name w:val="Unresolved Mention"/>
    <w:basedOn w:val="DefaultParagraphFont"/>
    <w:uiPriority w:val="99"/>
    <w:semiHidden/>
    <w:unhideWhenUsed/>
    <w:rsid w:val="00150F71"/>
    <w:rPr>
      <w:color w:val="605E5C"/>
      <w:shd w:val="clear" w:color="auto" w:fill="E1DFDD"/>
    </w:rPr>
  </w:style>
  <w:style w:type="character" w:styleId="CommentReference">
    <w:name w:val="annotation reference"/>
    <w:aliases w:val="-H18"/>
    <w:basedOn w:val="DefaultParagraphFont"/>
    <w:uiPriority w:val="99"/>
    <w:unhideWhenUsed/>
    <w:rsid w:val="009C3E51"/>
    <w:rPr>
      <w:sz w:val="16"/>
      <w:szCs w:val="16"/>
    </w:rPr>
  </w:style>
  <w:style w:type="paragraph" w:styleId="List4">
    <w:name w:val="List 4"/>
    <w:basedOn w:val="Normal"/>
    <w:rsid w:val="006D7639"/>
    <w:pPr>
      <w:ind w:left="1440" w:hanging="360"/>
      <w:contextualSpacing/>
    </w:pPr>
  </w:style>
  <w:style w:type="paragraph" w:styleId="List5">
    <w:name w:val="List 5"/>
    <w:basedOn w:val="Normal"/>
    <w:rsid w:val="006D7639"/>
    <w:pPr>
      <w:ind w:left="1800" w:hanging="360"/>
      <w:contextualSpacing/>
    </w:pPr>
  </w:style>
  <w:style w:type="paragraph" w:styleId="ListBullet">
    <w:name w:val="List Bullet"/>
    <w:basedOn w:val="Normal"/>
    <w:uiPriority w:val="99"/>
    <w:unhideWhenUsed/>
    <w:rsid w:val="0049596D"/>
    <w:pPr>
      <w:numPr>
        <w:numId w:val="20"/>
      </w:numPr>
      <w:spacing w:after="240"/>
    </w:pPr>
    <w:rPr>
      <w:lang w:val="en-GB"/>
    </w:rPr>
  </w:style>
  <w:style w:type="paragraph" w:styleId="ListBullet2">
    <w:name w:val="List Bullet 2"/>
    <w:basedOn w:val="Normal"/>
    <w:semiHidden/>
    <w:unhideWhenUsed/>
    <w:rsid w:val="006D7639"/>
    <w:pPr>
      <w:numPr>
        <w:numId w:val="19"/>
      </w:numPr>
      <w:contextualSpacing/>
    </w:pPr>
  </w:style>
  <w:style w:type="paragraph" w:styleId="BodyTextFirstIndent">
    <w:name w:val="Body Text First Indent"/>
    <w:basedOn w:val="BodyText"/>
    <w:link w:val="BodyTextFirstIndentChar"/>
    <w:rsid w:val="00DE6DB4"/>
    <w:pPr>
      <w:ind w:firstLine="360"/>
    </w:pPr>
  </w:style>
  <w:style w:type="character" w:customStyle="1" w:styleId="BodyTextFirstIndentChar">
    <w:name w:val="Body Text First Indent Char"/>
    <w:basedOn w:val="BodyTextChar"/>
    <w:link w:val="BodyTextFirstIndent"/>
    <w:rsid w:val="00DE6DB4"/>
    <w:rPr>
      <w:rFonts w:eastAsia="Calibri" w:cs="Cordia New"/>
      <w:sz w:val="24"/>
      <w:szCs w:val="22"/>
    </w:rPr>
  </w:style>
  <w:style w:type="character" w:styleId="BookTitle">
    <w:name w:val="Book Title"/>
    <w:basedOn w:val="DefaultParagraphFont"/>
    <w:uiPriority w:val="33"/>
    <w:rsid w:val="00DE6DB4"/>
    <w:rPr>
      <w:b/>
      <w:bCs/>
      <w:i/>
      <w:iCs/>
      <w:spacing w:val="5"/>
    </w:rPr>
  </w:style>
  <w:style w:type="paragraph" w:styleId="Date">
    <w:name w:val="Date"/>
    <w:basedOn w:val="Normal"/>
    <w:next w:val="Normal"/>
    <w:link w:val="DateChar"/>
    <w:rsid w:val="00DE6DB4"/>
  </w:style>
  <w:style w:type="character" w:customStyle="1" w:styleId="DateChar">
    <w:name w:val="Date Char"/>
    <w:basedOn w:val="DefaultParagraphFont"/>
    <w:link w:val="Date"/>
    <w:rsid w:val="00DE6DB4"/>
    <w:rPr>
      <w:rFonts w:eastAsia="Calibri" w:cs="Cordia New"/>
      <w:sz w:val="24"/>
      <w:szCs w:val="22"/>
    </w:rPr>
  </w:style>
  <w:style w:type="character" w:styleId="Emphasis">
    <w:name w:val="Emphasis"/>
    <w:basedOn w:val="DefaultParagraphFont"/>
    <w:uiPriority w:val="20"/>
    <w:rsid w:val="00DE6DB4"/>
    <w:rPr>
      <w:i/>
      <w:iCs/>
    </w:rPr>
  </w:style>
  <w:style w:type="character" w:styleId="IntenseEmphasis">
    <w:name w:val="Intense Emphasis"/>
    <w:basedOn w:val="DefaultParagraphFont"/>
    <w:uiPriority w:val="21"/>
    <w:rsid w:val="00DE6DB4"/>
    <w:rPr>
      <w:i/>
      <w:iCs/>
      <w:color w:val="4F81BD" w:themeColor="accent1"/>
    </w:rPr>
  </w:style>
  <w:style w:type="paragraph" w:styleId="IntenseQuote">
    <w:name w:val="Intense Quote"/>
    <w:basedOn w:val="Normal"/>
    <w:next w:val="Normal"/>
    <w:link w:val="IntenseQuoteChar"/>
    <w:uiPriority w:val="30"/>
    <w:rsid w:val="00DE6DB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E6DB4"/>
    <w:rPr>
      <w:rFonts w:eastAsia="Calibri" w:cs="Cordia New"/>
      <w:i/>
      <w:iCs/>
      <w:color w:val="4F81BD" w:themeColor="accent1"/>
      <w:sz w:val="24"/>
      <w:szCs w:val="22"/>
    </w:rPr>
  </w:style>
  <w:style w:type="character" w:styleId="SubtleEmphasis">
    <w:name w:val="Subtle Emphasis"/>
    <w:basedOn w:val="DefaultParagraphFont"/>
    <w:uiPriority w:val="19"/>
    <w:rsid w:val="00DE6DB4"/>
    <w:rPr>
      <w:i/>
      <w:iCs/>
      <w:color w:val="404040" w:themeColor="text1" w:themeTint="BF"/>
    </w:rPr>
  </w:style>
  <w:style w:type="character" w:customStyle="1" w:styleId="SmartLinkError1">
    <w:name w:val="SmartLinkError1"/>
    <w:basedOn w:val="DefaultParagraphFont"/>
    <w:uiPriority w:val="99"/>
    <w:semiHidden/>
    <w:unhideWhenUsed/>
    <w:rsid w:val="002700D9"/>
    <w:rPr>
      <w:color w:val="FF0000"/>
    </w:rPr>
  </w:style>
  <w:style w:type="character" w:customStyle="1" w:styleId="SmartLink2">
    <w:name w:val="SmartLink2"/>
    <w:basedOn w:val="DefaultParagraphFont"/>
    <w:uiPriority w:val="99"/>
    <w:semiHidden/>
    <w:unhideWhenUsed/>
    <w:rsid w:val="00FF59D7"/>
    <w:rPr>
      <w:color w:val="0000FF" w:themeColor="hyperlink"/>
      <w:u w:val="single"/>
      <w:shd w:val="clear" w:color="auto" w:fill="E1DFDD"/>
    </w:rPr>
  </w:style>
  <w:style w:type="character" w:customStyle="1" w:styleId="SmartLinkError2">
    <w:name w:val="SmartLinkError2"/>
    <w:basedOn w:val="DefaultParagraphFont"/>
    <w:uiPriority w:val="99"/>
    <w:semiHidden/>
    <w:unhideWhenUsed/>
    <w:rsid w:val="00FF59D7"/>
    <w:rPr>
      <w:color w:val="FF0000"/>
    </w:rPr>
  </w:style>
  <w:style w:type="numbering" w:customStyle="1" w:styleId="CPTB">
    <w:name w:val="CPT_B"/>
    <w:uiPriority w:val="99"/>
    <w:rsid w:val="00C952D5"/>
    <w:pPr>
      <w:numPr>
        <w:numId w:val="21"/>
      </w:numPr>
    </w:pPr>
  </w:style>
  <w:style w:type="paragraph" w:customStyle="1" w:styleId="CPTListBullet">
    <w:name w:val="CPT_List Bullet"/>
    <w:basedOn w:val="Normal"/>
    <w:qFormat/>
    <w:rsid w:val="00355A35"/>
    <w:pPr>
      <w:numPr>
        <w:numId w:val="45"/>
      </w:numPr>
    </w:pPr>
  </w:style>
  <w:style w:type="paragraph" w:customStyle="1" w:styleId="CPTListNumber">
    <w:name w:val="CPT_List Number"/>
    <w:basedOn w:val="CPTListBullet"/>
    <w:qFormat/>
    <w:rsid w:val="00355A35"/>
    <w:pPr>
      <w:numPr>
        <w:numId w:val="46"/>
      </w:numPr>
    </w:pPr>
  </w:style>
  <w:style w:type="numbering" w:customStyle="1" w:styleId="CPTN">
    <w:name w:val="CPT_N"/>
    <w:uiPriority w:val="99"/>
    <w:rsid w:val="00C952D5"/>
    <w:pPr>
      <w:numPr>
        <w:numId w:val="23"/>
      </w:numPr>
    </w:pPr>
  </w:style>
  <w:style w:type="character" w:customStyle="1" w:styleId="TableText12">
    <w:name w:val="TableText 12"/>
    <w:rsid w:val="000875F6"/>
    <w:rPr>
      <w:rFonts w:ascii="Times New Roman" w:hAnsi="Times New Roman" w:cs="Times New Roman" w:hint="default"/>
      <w:sz w:val="24"/>
    </w:rPr>
  </w:style>
  <w:style w:type="character" w:styleId="SmartLink">
    <w:name w:val="Smart Link"/>
    <w:basedOn w:val="DefaultParagraphFont"/>
    <w:uiPriority w:val="99"/>
    <w:semiHidden/>
    <w:unhideWhenUsed/>
    <w:rsid w:val="006507EB"/>
    <w:rPr>
      <w:color w:val="0000FF"/>
      <w:u w:val="single"/>
      <w:shd w:val="clear" w:color="auto" w:fill="F3F2F1"/>
    </w:rPr>
  </w:style>
  <w:style w:type="character" w:customStyle="1" w:styleId="CPTInstructionalChar">
    <w:name w:val="CPT_Instructional Char"/>
    <w:basedOn w:val="DefaultParagraphFont"/>
    <w:link w:val="CPTInstructional"/>
    <w:rsid w:val="00A34E22"/>
    <w:rPr>
      <w:rFonts w:eastAsia="Calibri" w:cs="Arial"/>
      <w:vanish/>
      <w:color w:val="FF0000"/>
      <w:sz w:val="22"/>
    </w:rPr>
  </w:style>
  <w:style w:type="paragraph" w:customStyle="1" w:styleId="02Heading2">
    <w:name w:val="02Heading 2"/>
    <w:next w:val="Normal"/>
    <w:qFormat/>
    <w:rsid w:val="00E17345"/>
    <w:pPr>
      <w:keepNext/>
      <w:keepLines/>
      <w:spacing w:before="120" w:after="60" w:line="300" w:lineRule="atLeast"/>
      <w:outlineLvl w:val="1"/>
    </w:pPr>
    <w:rPr>
      <w:b/>
      <w:sz w:val="28"/>
      <w:szCs w:val="28"/>
    </w:rPr>
  </w:style>
  <w:style w:type="paragraph" w:customStyle="1" w:styleId="03Heading3">
    <w:name w:val="03Heading 3"/>
    <w:next w:val="Normal"/>
    <w:link w:val="03Heading3Char"/>
    <w:qFormat/>
    <w:rsid w:val="00E17345"/>
    <w:pPr>
      <w:keepNext/>
      <w:keepLines/>
      <w:spacing w:before="120" w:after="60" w:line="300" w:lineRule="atLeast"/>
      <w:outlineLvl w:val="2"/>
    </w:pPr>
    <w:rPr>
      <w:b/>
      <w:sz w:val="24"/>
      <w:szCs w:val="24"/>
    </w:rPr>
  </w:style>
  <w:style w:type="character" w:customStyle="1" w:styleId="03Heading3Char">
    <w:name w:val="03Heading 3 Char"/>
    <w:link w:val="03Heading3"/>
    <w:rsid w:val="00E17345"/>
    <w:rPr>
      <w:b/>
      <w:sz w:val="24"/>
      <w:szCs w:val="24"/>
    </w:rPr>
  </w:style>
  <w:style w:type="character" w:customStyle="1" w:styleId="normaltextrun">
    <w:name w:val="normaltextrun"/>
    <w:basedOn w:val="DefaultParagraphFont"/>
    <w:rsid w:val="00E17345"/>
  </w:style>
  <w:style w:type="character" w:customStyle="1" w:styleId="eop">
    <w:name w:val="eop"/>
    <w:basedOn w:val="DefaultParagraphFont"/>
    <w:rsid w:val="00E17345"/>
  </w:style>
  <w:style w:type="paragraph" w:customStyle="1" w:styleId="Level3Heading">
    <w:name w:val="Level 3 Heading"/>
    <w:basedOn w:val="Heading3"/>
    <w:next w:val="Normal"/>
    <w:qFormat/>
    <w:rsid w:val="00731F45"/>
    <w:pPr>
      <w:keepLines/>
      <w:widowControl w:val="0"/>
      <w:numPr>
        <w:ilvl w:val="0"/>
        <w:numId w:val="0"/>
      </w:numPr>
      <w:tabs>
        <w:tab w:val="clear" w:pos="1080"/>
      </w:tabs>
      <w:adjustRightInd/>
      <w:snapToGrid/>
      <w:spacing w:before="0"/>
      <w:ind w:left="720" w:hanging="720"/>
      <w:textAlignment w:val="auto"/>
      <w:outlineLvl w:val="9"/>
    </w:pPr>
    <w:rPr>
      <w:rFonts w:ascii="Times New Roman" w:eastAsia="Times New Roman" w:hAnsi="Times New Roman"/>
      <w:b w:val="0"/>
      <w:snapToGrid w:val="0"/>
      <w:color w:val="000000"/>
      <w:sz w:val="20"/>
      <w:szCs w:val="20"/>
      <w:lang w:val="x-none" w:eastAsia="x-none"/>
    </w:rPr>
  </w:style>
  <w:style w:type="character" w:customStyle="1" w:styleId="whitespace-normal">
    <w:name w:val="whitespace-normal"/>
    <w:basedOn w:val="DefaultParagraphFont"/>
    <w:rsid w:val="003850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7666">
      <w:bodyDiv w:val="1"/>
      <w:marLeft w:val="0"/>
      <w:marRight w:val="0"/>
      <w:marTop w:val="0"/>
      <w:marBottom w:val="0"/>
      <w:divBdr>
        <w:top w:val="none" w:sz="0" w:space="0" w:color="auto"/>
        <w:left w:val="none" w:sz="0" w:space="0" w:color="auto"/>
        <w:bottom w:val="none" w:sz="0" w:space="0" w:color="auto"/>
        <w:right w:val="none" w:sz="0" w:space="0" w:color="auto"/>
      </w:divBdr>
    </w:div>
    <w:div w:id="11079548">
      <w:bodyDiv w:val="1"/>
      <w:marLeft w:val="0"/>
      <w:marRight w:val="0"/>
      <w:marTop w:val="0"/>
      <w:marBottom w:val="0"/>
      <w:divBdr>
        <w:top w:val="none" w:sz="0" w:space="0" w:color="auto"/>
        <w:left w:val="none" w:sz="0" w:space="0" w:color="auto"/>
        <w:bottom w:val="none" w:sz="0" w:space="0" w:color="auto"/>
        <w:right w:val="none" w:sz="0" w:space="0" w:color="auto"/>
      </w:divBdr>
    </w:div>
    <w:div w:id="25759458">
      <w:bodyDiv w:val="1"/>
      <w:marLeft w:val="0"/>
      <w:marRight w:val="0"/>
      <w:marTop w:val="0"/>
      <w:marBottom w:val="0"/>
      <w:divBdr>
        <w:top w:val="none" w:sz="0" w:space="0" w:color="auto"/>
        <w:left w:val="none" w:sz="0" w:space="0" w:color="auto"/>
        <w:bottom w:val="none" w:sz="0" w:space="0" w:color="auto"/>
        <w:right w:val="none" w:sz="0" w:space="0" w:color="auto"/>
      </w:divBdr>
      <w:divsChild>
        <w:div w:id="494761272">
          <w:marLeft w:val="0"/>
          <w:marRight w:val="0"/>
          <w:marTop w:val="0"/>
          <w:marBottom w:val="0"/>
          <w:divBdr>
            <w:top w:val="none" w:sz="0" w:space="0" w:color="auto"/>
            <w:left w:val="none" w:sz="0" w:space="0" w:color="auto"/>
            <w:bottom w:val="none" w:sz="0" w:space="0" w:color="auto"/>
            <w:right w:val="none" w:sz="0" w:space="0" w:color="auto"/>
          </w:divBdr>
          <w:divsChild>
            <w:div w:id="1997804476">
              <w:marLeft w:val="0"/>
              <w:marRight w:val="0"/>
              <w:marTop w:val="0"/>
              <w:marBottom w:val="0"/>
              <w:divBdr>
                <w:top w:val="none" w:sz="0" w:space="0" w:color="auto"/>
                <w:left w:val="none" w:sz="0" w:space="0" w:color="auto"/>
                <w:bottom w:val="none" w:sz="0" w:space="0" w:color="auto"/>
                <w:right w:val="none" w:sz="0" w:space="0" w:color="auto"/>
              </w:divBdr>
              <w:divsChild>
                <w:div w:id="1318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91016">
      <w:bodyDiv w:val="1"/>
      <w:marLeft w:val="0"/>
      <w:marRight w:val="0"/>
      <w:marTop w:val="0"/>
      <w:marBottom w:val="0"/>
      <w:divBdr>
        <w:top w:val="none" w:sz="0" w:space="0" w:color="auto"/>
        <w:left w:val="none" w:sz="0" w:space="0" w:color="auto"/>
        <w:bottom w:val="none" w:sz="0" w:space="0" w:color="auto"/>
        <w:right w:val="none" w:sz="0" w:space="0" w:color="auto"/>
      </w:divBdr>
      <w:divsChild>
        <w:div w:id="1953517684">
          <w:marLeft w:val="0"/>
          <w:marRight w:val="0"/>
          <w:marTop w:val="0"/>
          <w:marBottom w:val="0"/>
          <w:divBdr>
            <w:top w:val="none" w:sz="0" w:space="0" w:color="auto"/>
            <w:left w:val="none" w:sz="0" w:space="0" w:color="auto"/>
            <w:bottom w:val="none" w:sz="0" w:space="0" w:color="auto"/>
            <w:right w:val="none" w:sz="0" w:space="0" w:color="auto"/>
          </w:divBdr>
          <w:divsChild>
            <w:div w:id="553851822">
              <w:marLeft w:val="0"/>
              <w:marRight w:val="0"/>
              <w:marTop w:val="0"/>
              <w:marBottom w:val="0"/>
              <w:divBdr>
                <w:top w:val="none" w:sz="0" w:space="0" w:color="auto"/>
                <w:left w:val="none" w:sz="0" w:space="0" w:color="auto"/>
                <w:bottom w:val="none" w:sz="0" w:space="0" w:color="auto"/>
                <w:right w:val="none" w:sz="0" w:space="0" w:color="auto"/>
              </w:divBdr>
              <w:divsChild>
                <w:div w:id="600257013">
                  <w:marLeft w:val="0"/>
                  <w:marRight w:val="0"/>
                  <w:marTop w:val="0"/>
                  <w:marBottom w:val="0"/>
                  <w:divBdr>
                    <w:top w:val="none" w:sz="0" w:space="0" w:color="auto"/>
                    <w:left w:val="none" w:sz="0" w:space="0" w:color="auto"/>
                    <w:bottom w:val="none" w:sz="0" w:space="0" w:color="auto"/>
                    <w:right w:val="none" w:sz="0" w:space="0" w:color="auto"/>
                  </w:divBdr>
                  <w:divsChild>
                    <w:div w:id="683900744">
                      <w:marLeft w:val="0"/>
                      <w:marRight w:val="0"/>
                      <w:marTop w:val="0"/>
                      <w:marBottom w:val="0"/>
                      <w:divBdr>
                        <w:top w:val="none" w:sz="0" w:space="0" w:color="auto"/>
                        <w:left w:val="none" w:sz="0" w:space="0" w:color="auto"/>
                        <w:bottom w:val="none" w:sz="0" w:space="0" w:color="auto"/>
                        <w:right w:val="none" w:sz="0" w:space="0" w:color="auto"/>
                      </w:divBdr>
                      <w:divsChild>
                        <w:div w:id="2041542282">
                          <w:marLeft w:val="0"/>
                          <w:marRight w:val="0"/>
                          <w:marTop w:val="0"/>
                          <w:marBottom w:val="0"/>
                          <w:divBdr>
                            <w:top w:val="none" w:sz="0" w:space="0" w:color="auto"/>
                            <w:left w:val="none" w:sz="0" w:space="0" w:color="auto"/>
                            <w:bottom w:val="none" w:sz="0" w:space="0" w:color="auto"/>
                            <w:right w:val="none" w:sz="0" w:space="0" w:color="auto"/>
                          </w:divBdr>
                          <w:divsChild>
                            <w:div w:id="1235051300">
                              <w:marLeft w:val="0"/>
                              <w:marRight w:val="0"/>
                              <w:marTop w:val="0"/>
                              <w:marBottom w:val="0"/>
                              <w:divBdr>
                                <w:top w:val="none" w:sz="0" w:space="0" w:color="auto"/>
                                <w:left w:val="none" w:sz="0" w:space="0" w:color="auto"/>
                                <w:bottom w:val="none" w:sz="0" w:space="0" w:color="auto"/>
                                <w:right w:val="none" w:sz="0" w:space="0" w:color="auto"/>
                              </w:divBdr>
                              <w:divsChild>
                                <w:div w:id="1424492860">
                                  <w:marLeft w:val="0"/>
                                  <w:marRight w:val="0"/>
                                  <w:marTop w:val="0"/>
                                  <w:marBottom w:val="0"/>
                                  <w:divBdr>
                                    <w:top w:val="none" w:sz="0" w:space="0" w:color="auto"/>
                                    <w:left w:val="none" w:sz="0" w:space="0" w:color="auto"/>
                                    <w:bottom w:val="none" w:sz="0" w:space="0" w:color="auto"/>
                                    <w:right w:val="none" w:sz="0" w:space="0" w:color="auto"/>
                                  </w:divBdr>
                                  <w:divsChild>
                                    <w:div w:id="1935235908">
                                      <w:marLeft w:val="0"/>
                                      <w:marRight w:val="0"/>
                                      <w:marTop w:val="0"/>
                                      <w:marBottom w:val="0"/>
                                      <w:divBdr>
                                        <w:top w:val="none" w:sz="0" w:space="0" w:color="auto"/>
                                        <w:left w:val="none" w:sz="0" w:space="0" w:color="auto"/>
                                        <w:bottom w:val="none" w:sz="0" w:space="0" w:color="auto"/>
                                        <w:right w:val="none" w:sz="0" w:space="0" w:color="auto"/>
                                      </w:divBdr>
                                      <w:divsChild>
                                        <w:div w:id="313997345">
                                          <w:marLeft w:val="0"/>
                                          <w:marRight w:val="0"/>
                                          <w:marTop w:val="0"/>
                                          <w:marBottom w:val="0"/>
                                          <w:divBdr>
                                            <w:top w:val="none" w:sz="0" w:space="0" w:color="auto"/>
                                            <w:left w:val="none" w:sz="0" w:space="0" w:color="auto"/>
                                            <w:bottom w:val="none" w:sz="0" w:space="0" w:color="auto"/>
                                            <w:right w:val="none" w:sz="0" w:space="0" w:color="auto"/>
                                          </w:divBdr>
                                          <w:divsChild>
                                            <w:div w:id="1859156677">
                                              <w:marLeft w:val="3444"/>
                                              <w:marRight w:val="0"/>
                                              <w:marTop w:val="0"/>
                                              <w:marBottom w:val="0"/>
                                              <w:divBdr>
                                                <w:top w:val="single" w:sz="4" w:space="0" w:color="D2D5D7"/>
                                                <w:left w:val="single" w:sz="4" w:space="0" w:color="D2D5D7"/>
                                                <w:bottom w:val="none" w:sz="0" w:space="0" w:color="auto"/>
                                                <w:right w:val="single" w:sz="4" w:space="0" w:color="D2D5D7"/>
                                              </w:divBdr>
                                              <w:divsChild>
                                                <w:div w:id="344744159">
                                                  <w:marLeft w:val="0"/>
                                                  <w:marRight w:val="0"/>
                                                  <w:marTop w:val="0"/>
                                                  <w:marBottom w:val="0"/>
                                                  <w:divBdr>
                                                    <w:top w:val="none" w:sz="0" w:space="0" w:color="auto"/>
                                                    <w:left w:val="none" w:sz="0" w:space="0" w:color="auto"/>
                                                    <w:bottom w:val="none" w:sz="0" w:space="0" w:color="auto"/>
                                                    <w:right w:val="none" w:sz="0" w:space="0" w:color="auto"/>
                                                  </w:divBdr>
                                                  <w:divsChild>
                                                    <w:div w:id="1192838189">
                                                      <w:marLeft w:val="0"/>
                                                      <w:marRight w:val="0"/>
                                                      <w:marTop w:val="0"/>
                                                      <w:marBottom w:val="0"/>
                                                      <w:divBdr>
                                                        <w:top w:val="none" w:sz="0" w:space="0" w:color="auto"/>
                                                        <w:left w:val="none" w:sz="0" w:space="0" w:color="auto"/>
                                                        <w:bottom w:val="none" w:sz="0" w:space="0" w:color="auto"/>
                                                        <w:right w:val="none" w:sz="0" w:space="0" w:color="auto"/>
                                                      </w:divBdr>
                                                      <w:divsChild>
                                                        <w:div w:id="252202672">
                                                          <w:marLeft w:val="0"/>
                                                          <w:marRight w:val="0"/>
                                                          <w:marTop w:val="0"/>
                                                          <w:marBottom w:val="0"/>
                                                          <w:divBdr>
                                                            <w:top w:val="none" w:sz="0" w:space="0" w:color="auto"/>
                                                            <w:left w:val="none" w:sz="0" w:space="0" w:color="auto"/>
                                                            <w:bottom w:val="none" w:sz="0" w:space="0" w:color="auto"/>
                                                            <w:right w:val="none" w:sz="0" w:space="0" w:color="auto"/>
                                                          </w:divBdr>
                                                          <w:divsChild>
                                                            <w:div w:id="1478761598">
                                                              <w:marLeft w:val="0"/>
                                                              <w:marRight w:val="0"/>
                                                              <w:marTop w:val="0"/>
                                                              <w:marBottom w:val="0"/>
                                                              <w:divBdr>
                                                                <w:top w:val="none" w:sz="0" w:space="0" w:color="auto"/>
                                                                <w:left w:val="none" w:sz="0" w:space="0" w:color="auto"/>
                                                                <w:bottom w:val="none" w:sz="0" w:space="0" w:color="auto"/>
                                                                <w:right w:val="none" w:sz="0" w:space="0" w:color="auto"/>
                                                              </w:divBdr>
                                                              <w:divsChild>
                                                                <w:div w:id="834145486">
                                                                  <w:marLeft w:val="-60"/>
                                                                  <w:marRight w:val="0"/>
                                                                  <w:marTop w:val="24"/>
                                                                  <w:marBottom w:val="24"/>
                                                                  <w:divBdr>
                                                                    <w:top w:val="none" w:sz="0" w:space="0" w:color="auto"/>
                                                                    <w:left w:val="none" w:sz="0" w:space="0" w:color="auto"/>
                                                                    <w:bottom w:val="none" w:sz="0" w:space="0" w:color="auto"/>
                                                                    <w:right w:val="none" w:sz="0" w:space="0" w:color="auto"/>
                                                                  </w:divBdr>
                                                                  <w:divsChild>
                                                                    <w:div w:id="216475956">
                                                                      <w:marLeft w:val="0"/>
                                                                      <w:marRight w:val="0"/>
                                                                      <w:marTop w:val="0"/>
                                                                      <w:marBottom w:val="0"/>
                                                                      <w:divBdr>
                                                                        <w:top w:val="none" w:sz="0" w:space="0" w:color="auto"/>
                                                                        <w:left w:val="none" w:sz="0" w:space="0" w:color="auto"/>
                                                                        <w:bottom w:val="none" w:sz="0" w:space="0" w:color="auto"/>
                                                                        <w:right w:val="none" w:sz="0" w:space="0" w:color="auto"/>
                                                                      </w:divBdr>
                                                                      <w:divsChild>
                                                                        <w:div w:id="507135184">
                                                                          <w:marLeft w:val="0"/>
                                                                          <w:marRight w:val="0"/>
                                                                          <w:marTop w:val="0"/>
                                                                          <w:marBottom w:val="0"/>
                                                                          <w:divBdr>
                                                                            <w:top w:val="none" w:sz="0" w:space="0" w:color="auto"/>
                                                                            <w:left w:val="none" w:sz="0" w:space="0" w:color="auto"/>
                                                                            <w:bottom w:val="none" w:sz="0" w:space="0" w:color="auto"/>
                                                                            <w:right w:val="none" w:sz="0" w:space="0" w:color="auto"/>
                                                                          </w:divBdr>
                                                                          <w:divsChild>
                                                                            <w:div w:id="2034915241">
                                                                              <w:marLeft w:val="0"/>
                                                                              <w:marRight w:val="0"/>
                                                                              <w:marTop w:val="0"/>
                                                                              <w:marBottom w:val="0"/>
                                                                              <w:divBdr>
                                                                                <w:top w:val="none" w:sz="0" w:space="0" w:color="auto"/>
                                                                                <w:left w:val="none" w:sz="0" w:space="0" w:color="auto"/>
                                                                                <w:bottom w:val="none" w:sz="0" w:space="0" w:color="auto"/>
                                                                                <w:right w:val="none" w:sz="0" w:space="0" w:color="auto"/>
                                                                              </w:divBdr>
                                                                              <w:divsChild>
                                                                                <w:div w:id="1171676713">
                                                                                  <w:marLeft w:val="0"/>
                                                                                  <w:marRight w:val="0"/>
                                                                                  <w:marTop w:val="0"/>
                                                                                  <w:marBottom w:val="0"/>
                                                                                  <w:divBdr>
                                                                                    <w:top w:val="none" w:sz="0" w:space="0" w:color="auto"/>
                                                                                    <w:left w:val="none" w:sz="0" w:space="0" w:color="auto"/>
                                                                                    <w:bottom w:val="none" w:sz="0" w:space="0" w:color="auto"/>
                                                                                    <w:right w:val="none" w:sz="0" w:space="0" w:color="auto"/>
                                                                                  </w:divBdr>
                                                                                  <w:divsChild>
                                                                                    <w:div w:id="1899898367">
                                                                                      <w:marLeft w:val="0"/>
                                                                                      <w:marRight w:val="0"/>
                                                                                      <w:marTop w:val="0"/>
                                                                                      <w:marBottom w:val="0"/>
                                                                                      <w:divBdr>
                                                                                        <w:top w:val="none" w:sz="0" w:space="0" w:color="auto"/>
                                                                                        <w:left w:val="none" w:sz="0" w:space="0" w:color="auto"/>
                                                                                        <w:bottom w:val="none" w:sz="0" w:space="0" w:color="auto"/>
                                                                                        <w:right w:val="none" w:sz="0" w:space="0" w:color="auto"/>
                                                                                      </w:divBdr>
                                                                                      <w:divsChild>
                                                                                        <w:div w:id="1039205706">
                                                                                          <w:marLeft w:val="0"/>
                                                                                          <w:marRight w:val="0"/>
                                                                                          <w:marTop w:val="24"/>
                                                                                          <w:marBottom w:val="24"/>
                                                                                          <w:divBdr>
                                                                                            <w:top w:val="none" w:sz="0" w:space="0" w:color="auto"/>
                                                                                            <w:left w:val="none" w:sz="0" w:space="0" w:color="auto"/>
                                                                                            <w:bottom w:val="none" w:sz="0" w:space="0" w:color="auto"/>
                                                                                            <w:right w:val="none" w:sz="0" w:space="0" w:color="auto"/>
                                                                                          </w:divBdr>
                                                                                          <w:divsChild>
                                                                                            <w:div w:id="273175576">
                                                                                              <w:marLeft w:val="0"/>
                                                                                              <w:marRight w:val="0"/>
                                                                                              <w:marTop w:val="0"/>
                                                                                              <w:marBottom w:val="0"/>
                                                                                              <w:divBdr>
                                                                                                <w:top w:val="none" w:sz="0" w:space="0" w:color="auto"/>
                                                                                                <w:left w:val="none" w:sz="0" w:space="0" w:color="auto"/>
                                                                                                <w:bottom w:val="none" w:sz="0" w:space="0" w:color="auto"/>
                                                                                                <w:right w:val="none" w:sz="0" w:space="0" w:color="auto"/>
                                                                                              </w:divBdr>
                                                                                            </w:div>
                                                                                            <w:div w:id="461122879">
                                                                                              <w:marLeft w:val="0"/>
                                                                                              <w:marRight w:val="0"/>
                                                                                              <w:marTop w:val="0"/>
                                                                                              <w:marBottom w:val="0"/>
                                                                                              <w:divBdr>
                                                                                                <w:top w:val="none" w:sz="0" w:space="0" w:color="auto"/>
                                                                                                <w:left w:val="none" w:sz="0" w:space="0" w:color="auto"/>
                                                                                                <w:bottom w:val="none" w:sz="0" w:space="0" w:color="auto"/>
                                                                                                <w:right w:val="none" w:sz="0" w:space="0" w:color="auto"/>
                                                                                              </w:divBdr>
                                                                                            </w:div>
                                                                                            <w:div w:id="478812040">
                                                                                              <w:marLeft w:val="0"/>
                                                                                              <w:marRight w:val="0"/>
                                                                                              <w:marTop w:val="0"/>
                                                                                              <w:marBottom w:val="0"/>
                                                                                              <w:divBdr>
                                                                                                <w:top w:val="none" w:sz="0" w:space="0" w:color="auto"/>
                                                                                                <w:left w:val="none" w:sz="0" w:space="0" w:color="auto"/>
                                                                                                <w:bottom w:val="none" w:sz="0" w:space="0" w:color="auto"/>
                                                                                                <w:right w:val="none" w:sz="0" w:space="0" w:color="auto"/>
                                                                                              </w:divBdr>
                                                                                              <w:divsChild>
                                                                                                <w:div w:id="576787361">
                                                                                                  <w:marLeft w:val="0"/>
                                                                                                  <w:marRight w:val="0"/>
                                                                                                  <w:marTop w:val="0"/>
                                                                                                  <w:marBottom w:val="0"/>
                                                                                                  <w:divBdr>
                                                                                                    <w:top w:val="none" w:sz="0" w:space="0" w:color="auto"/>
                                                                                                    <w:left w:val="none" w:sz="0" w:space="0" w:color="auto"/>
                                                                                                    <w:bottom w:val="none" w:sz="0" w:space="0" w:color="auto"/>
                                                                                                    <w:right w:val="none" w:sz="0" w:space="0" w:color="auto"/>
                                                                                                  </w:divBdr>
                                                                                                </w:div>
                                                                                              </w:divsChild>
                                                                                            </w:div>
                                                                                            <w:div w:id="600260729">
                                                                                              <w:marLeft w:val="0"/>
                                                                                              <w:marRight w:val="0"/>
                                                                                              <w:marTop w:val="0"/>
                                                                                              <w:marBottom w:val="0"/>
                                                                                              <w:divBdr>
                                                                                                <w:top w:val="none" w:sz="0" w:space="0" w:color="auto"/>
                                                                                                <w:left w:val="none" w:sz="0" w:space="0" w:color="auto"/>
                                                                                                <w:bottom w:val="none" w:sz="0" w:space="0" w:color="auto"/>
                                                                                                <w:right w:val="none" w:sz="0" w:space="0" w:color="auto"/>
                                                                                              </w:divBdr>
                                                                                              <w:divsChild>
                                                                                                <w:div w:id="1847480627">
                                                                                                  <w:marLeft w:val="0"/>
                                                                                                  <w:marRight w:val="0"/>
                                                                                                  <w:marTop w:val="0"/>
                                                                                                  <w:marBottom w:val="0"/>
                                                                                                  <w:divBdr>
                                                                                                    <w:top w:val="none" w:sz="0" w:space="0" w:color="auto"/>
                                                                                                    <w:left w:val="none" w:sz="0" w:space="0" w:color="auto"/>
                                                                                                    <w:bottom w:val="none" w:sz="0" w:space="0" w:color="auto"/>
                                                                                                    <w:right w:val="none" w:sz="0" w:space="0" w:color="auto"/>
                                                                                                  </w:divBdr>
                                                                                                </w:div>
                                                                                              </w:divsChild>
                                                                                            </w:div>
                                                                                            <w:div w:id="696346435">
                                                                                              <w:marLeft w:val="0"/>
                                                                                              <w:marRight w:val="0"/>
                                                                                              <w:marTop w:val="0"/>
                                                                                              <w:marBottom w:val="0"/>
                                                                                              <w:divBdr>
                                                                                                <w:top w:val="none" w:sz="0" w:space="0" w:color="auto"/>
                                                                                                <w:left w:val="none" w:sz="0" w:space="0" w:color="auto"/>
                                                                                                <w:bottom w:val="none" w:sz="0" w:space="0" w:color="auto"/>
                                                                                                <w:right w:val="none" w:sz="0" w:space="0" w:color="auto"/>
                                                                                              </w:divBdr>
                                                                                            </w:div>
                                                                                            <w:div w:id="816528747">
                                                                                              <w:marLeft w:val="0"/>
                                                                                              <w:marRight w:val="0"/>
                                                                                              <w:marTop w:val="0"/>
                                                                                              <w:marBottom w:val="0"/>
                                                                                              <w:divBdr>
                                                                                                <w:top w:val="none" w:sz="0" w:space="0" w:color="auto"/>
                                                                                                <w:left w:val="none" w:sz="0" w:space="0" w:color="auto"/>
                                                                                                <w:bottom w:val="none" w:sz="0" w:space="0" w:color="auto"/>
                                                                                                <w:right w:val="none" w:sz="0" w:space="0" w:color="auto"/>
                                                                                              </w:divBdr>
                                                                                              <w:divsChild>
                                                                                                <w:div w:id="253830495">
                                                                                                  <w:marLeft w:val="0"/>
                                                                                                  <w:marRight w:val="0"/>
                                                                                                  <w:marTop w:val="0"/>
                                                                                                  <w:marBottom w:val="0"/>
                                                                                                  <w:divBdr>
                                                                                                    <w:top w:val="none" w:sz="0" w:space="0" w:color="auto"/>
                                                                                                    <w:left w:val="none" w:sz="0" w:space="0" w:color="auto"/>
                                                                                                    <w:bottom w:val="none" w:sz="0" w:space="0" w:color="auto"/>
                                                                                                    <w:right w:val="none" w:sz="0" w:space="0" w:color="auto"/>
                                                                                                  </w:divBdr>
                                                                                                </w:div>
                                                                                                <w:div w:id="458960326">
                                                                                                  <w:marLeft w:val="0"/>
                                                                                                  <w:marRight w:val="0"/>
                                                                                                  <w:marTop w:val="0"/>
                                                                                                  <w:marBottom w:val="0"/>
                                                                                                  <w:divBdr>
                                                                                                    <w:top w:val="none" w:sz="0" w:space="0" w:color="auto"/>
                                                                                                    <w:left w:val="none" w:sz="0" w:space="0" w:color="auto"/>
                                                                                                    <w:bottom w:val="none" w:sz="0" w:space="0" w:color="auto"/>
                                                                                                    <w:right w:val="none" w:sz="0" w:space="0" w:color="auto"/>
                                                                                                  </w:divBdr>
                                                                                                </w:div>
                                                                                              </w:divsChild>
                                                                                            </w:div>
                                                                                            <w:div w:id="1263611001">
                                                                                              <w:marLeft w:val="0"/>
                                                                                              <w:marRight w:val="0"/>
                                                                                              <w:marTop w:val="0"/>
                                                                                              <w:marBottom w:val="0"/>
                                                                                              <w:divBdr>
                                                                                                <w:top w:val="none" w:sz="0" w:space="0" w:color="auto"/>
                                                                                                <w:left w:val="none" w:sz="0" w:space="0" w:color="auto"/>
                                                                                                <w:bottom w:val="none" w:sz="0" w:space="0" w:color="auto"/>
                                                                                                <w:right w:val="none" w:sz="0" w:space="0" w:color="auto"/>
                                                                                              </w:divBdr>
                                                                                            </w:div>
                                                                                            <w:div w:id="1871919723">
                                                                                              <w:marLeft w:val="0"/>
                                                                                              <w:marRight w:val="0"/>
                                                                                              <w:marTop w:val="0"/>
                                                                                              <w:marBottom w:val="0"/>
                                                                                              <w:divBdr>
                                                                                                <w:top w:val="none" w:sz="0" w:space="0" w:color="auto"/>
                                                                                                <w:left w:val="none" w:sz="0" w:space="0" w:color="auto"/>
                                                                                                <w:bottom w:val="none" w:sz="0" w:space="0" w:color="auto"/>
                                                                                                <w:right w:val="none" w:sz="0" w:space="0" w:color="auto"/>
                                                                                              </w:divBdr>
                                                                                              <w:divsChild>
                                                                                                <w:div w:id="939725257">
                                                                                                  <w:marLeft w:val="0"/>
                                                                                                  <w:marRight w:val="0"/>
                                                                                                  <w:marTop w:val="0"/>
                                                                                                  <w:marBottom w:val="0"/>
                                                                                                  <w:divBdr>
                                                                                                    <w:top w:val="none" w:sz="0" w:space="0" w:color="auto"/>
                                                                                                    <w:left w:val="none" w:sz="0" w:space="0" w:color="auto"/>
                                                                                                    <w:bottom w:val="none" w:sz="0" w:space="0" w:color="auto"/>
                                                                                                    <w:right w:val="none" w:sz="0" w:space="0" w:color="auto"/>
                                                                                                  </w:divBdr>
                                                                                                </w:div>
                                                                                                <w:div w:id="1800342104">
                                                                                                  <w:marLeft w:val="0"/>
                                                                                                  <w:marRight w:val="0"/>
                                                                                                  <w:marTop w:val="0"/>
                                                                                                  <w:marBottom w:val="0"/>
                                                                                                  <w:divBdr>
                                                                                                    <w:top w:val="none" w:sz="0" w:space="0" w:color="auto"/>
                                                                                                    <w:left w:val="none" w:sz="0" w:space="0" w:color="auto"/>
                                                                                                    <w:bottom w:val="none" w:sz="0" w:space="0" w:color="auto"/>
                                                                                                    <w:right w:val="none" w:sz="0" w:space="0" w:color="auto"/>
                                                                                                  </w:divBdr>
                                                                                                </w:div>
                                                                                                <w:div w:id="2081827701">
                                                                                                  <w:marLeft w:val="0"/>
                                                                                                  <w:marRight w:val="0"/>
                                                                                                  <w:marTop w:val="0"/>
                                                                                                  <w:marBottom w:val="0"/>
                                                                                                  <w:divBdr>
                                                                                                    <w:top w:val="none" w:sz="0" w:space="0" w:color="auto"/>
                                                                                                    <w:left w:val="none" w:sz="0" w:space="0" w:color="auto"/>
                                                                                                    <w:bottom w:val="none" w:sz="0" w:space="0" w:color="auto"/>
                                                                                                    <w:right w:val="none" w:sz="0" w:space="0" w:color="auto"/>
                                                                                                  </w:divBdr>
                                                                                                </w:div>
                                                                                              </w:divsChild>
                                                                                            </w:div>
                                                                                            <w:div w:id="1886526319">
                                                                                              <w:marLeft w:val="0"/>
                                                                                              <w:marRight w:val="0"/>
                                                                                              <w:marTop w:val="0"/>
                                                                                              <w:marBottom w:val="0"/>
                                                                                              <w:divBdr>
                                                                                                <w:top w:val="none" w:sz="0" w:space="0" w:color="auto"/>
                                                                                                <w:left w:val="none" w:sz="0" w:space="0" w:color="auto"/>
                                                                                                <w:bottom w:val="none" w:sz="0" w:space="0" w:color="auto"/>
                                                                                                <w:right w:val="none" w:sz="0" w:space="0" w:color="auto"/>
                                                                                              </w:divBdr>
                                                                                              <w:divsChild>
                                                                                                <w:div w:id="8987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68054">
      <w:bodyDiv w:val="1"/>
      <w:marLeft w:val="0"/>
      <w:marRight w:val="0"/>
      <w:marTop w:val="0"/>
      <w:marBottom w:val="0"/>
      <w:divBdr>
        <w:top w:val="none" w:sz="0" w:space="0" w:color="auto"/>
        <w:left w:val="none" w:sz="0" w:space="0" w:color="auto"/>
        <w:bottom w:val="none" w:sz="0" w:space="0" w:color="auto"/>
        <w:right w:val="none" w:sz="0" w:space="0" w:color="auto"/>
      </w:divBdr>
    </w:div>
    <w:div w:id="95755978">
      <w:bodyDiv w:val="1"/>
      <w:marLeft w:val="0"/>
      <w:marRight w:val="0"/>
      <w:marTop w:val="0"/>
      <w:marBottom w:val="0"/>
      <w:divBdr>
        <w:top w:val="none" w:sz="0" w:space="0" w:color="auto"/>
        <w:left w:val="none" w:sz="0" w:space="0" w:color="auto"/>
        <w:bottom w:val="none" w:sz="0" w:space="0" w:color="auto"/>
        <w:right w:val="none" w:sz="0" w:space="0" w:color="auto"/>
      </w:divBdr>
    </w:div>
    <w:div w:id="104925466">
      <w:bodyDiv w:val="1"/>
      <w:marLeft w:val="0"/>
      <w:marRight w:val="0"/>
      <w:marTop w:val="0"/>
      <w:marBottom w:val="0"/>
      <w:divBdr>
        <w:top w:val="none" w:sz="0" w:space="0" w:color="auto"/>
        <w:left w:val="none" w:sz="0" w:space="0" w:color="auto"/>
        <w:bottom w:val="none" w:sz="0" w:space="0" w:color="auto"/>
        <w:right w:val="none" w:sz="0" w:space="0" w:color="auto"/>
      </w:divBdr>
    </w:div>
    <w:div w:id="128205798">
      <w:bodyDiv w:val="1"/>
      <w:marLeft w:val="0"/>
      <w:marRight w:val="0"/>
      <w:marTop w:val="0"/>
      <w:marBottom w:val="0"/>
      <w:divBdr>
        <w:top w:val="none" w:sz="0" w:space="0" w:color="auto"/>
        <w:left w:val="none" w:sz="0" w:space="0" w:color="auto"/>
        <w:bottom w:val="none" w:sz="0" w:space="0" w:color="auto"/>
        <w:right w:val="none" w:sz="0" w:space="0" w:color="auto"/>
      </w:divBdr>
    </w:div>
    <w:div w:id="142475324">
      <w:bodyDiv w:val="1"/>
      <w:marLeft w:val="0"/>
      <w:marRight w:val="0"/>
      <w:marTop w:val="0"/>
      <w:marBottom w:val="0"/>
      <w:divBdr>
        <w:top w:val="none" w:sz="0" w:space="0" w:color="auto"/>
        <w:left w:val="none" w:sz="0" w:space="0" w:color="auto"/>
        <w:bottom w:val="none" w:sz="0" w:space="0" w:color="auto"/>
        <w:right w:val="none" w:sz="0" w:space="0" w:color="auto"/>
      </w:divBdr>
      <w:divsChild>
        <w:div w:id="1044867453">
          <w:marLeft w:val="0"/>
          <w:marRight w:val="0"/>
          <w:marTop w:val="0"/>
          <w:marBottom w:val="0"/>
          <w:divBdr>
            <w:top w:val="none" w:sz="0" w:space="0" w:color="auto"/>
            <w:left w:val="none" w:sz="0" w:space="0" w:color="auto"/>
            <w:bottom w:val="none" w:sz="0" w:space="0" w:color="auto"/>
            <w:right w:val="none" w:sz="0" w:space="0" w:color="auto"/>
          </w:divBdr>
          <w:divsChild>
            <w:div w:id="1658654422">
              <w:marLeft w:val="0"/>
              <w:marRight w:val="0"/>
              <w:marTop w:val="0"/>
              <w:marBottom w:val="0"/>
              <w:divBdr>
                <w:top w:val="none" w:sz="0" w:space="0" w:color="auto"/>
                <w:left w:val="none" w:sz="0" w:space="0" w:color="auto"/>
                <w:bottom w:val="none" w:sz="0" w:space="0" w:color="auto"/>
                <w:right w:val="none" w:sz="0" w:space="0" w:color="auto"/>
              </w:divBdr>
              <w:divsChild>
                <w:div w:id="559177403">
                  <w:marLeft w:val="0"/>
                  <w:marRight w:val="0"/>
                  <w:marTop w:val="0"/>
                  <w:marBottom w:val="0"/>
                  <w:divBdr>
                    <w:top w:val="none" w:sz="0" w:space="0" w:color="auto"/>
                    <w:left w:val="none" w:sz="0" w:space="0" w:color="auto"/>
                    <w:bottom w:val="none" w:sz="0" w:space="0" w:color="auto"/>
                    <w:right w:val="none" w:sz="0" w:space="0" w:color="auto"/>
                  </w:divBdr>
                  <w:divsChild>
                    <w:div w:id="882443078">
                      <w:marLeft w:val="0"/>
                      <w:marRight w:val="0"/>
                      <w:marTop w:val="0"/>
                      <w:marBottom w:val="0"/>
                      <w:divBdr>
                        <w:top w:val="none" w:sz="0" w:space="0" w:color="auto"/>
                        <w:left w:val="none" w:sz="0" w:space="0" w:color="auto"/>
                        <w:bottom w:val="none" w:sz="0" w:space="0" w:color="auto"/>
                        <w:right w:val="none" w:sz="0" w:space="0" w:color="auto"/>
                      </w:divBdr>
                      <w:divsChild>
                        <w:div w:id="571086864">
                          <w:marLeft w:val="0"/>
                          <w:marRight w:val="0"/>
                          <w:marTop w:val="0"/>
                          <w:marBottom w:val="0"/>
                          <w:divBdr>
                            <w:top w:val="none" w:sz="0" w:space="0" w:color="auto"/>
                            <w:left w:val="none" w:sz="0" w:space="0" w:color="auto"/>
                            <w:bottom w:val="none" w:sz="0" w:space="0" w:color="auto"/>
                            <w:right w:val="none" w:sz="0" w:space="0" w:color="auto"/>
                          </w:divBdr>
                          <w:divsChild>
                            <w:div w:id="1076633319">
                              <w:marLeft w:val="0"/>
                              <w:marRight w:val="0"/>
                              <w:marTop w:val="0"/>
                              <w:marBottom w:val="0"/>
                              <w:divBdr>
                                <w:top w:val="none" w:sz="0" w:space="0" w:color="auto"/>
                                <w:left w:val="none" w:sz="0" w:space="0" w:color="auto"/>
                                <w:bottom w:val="none" w:sz="0" w:space="0" w:color="auto"/>
                                <w:right w:val="none" w:sz="0" w:space="0" w:color="auto"/>
                              </w:divBdr>
                              <w:divsChild>
                                <w:div w:id="21360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7251">
      <w:bodyDiv w:val="1"/>
      <w:marLeft w:val="0"/>
      <w:marRight w:val="0"/>
      <w:marTop w:val="0"/>
      <w:marBottom w:val="0"/>
      <w:divBdr>
        <w:top w:val="none" w:sz="0" w:space="0" w:color="auto"/>
        <w:left w:val="none" w:sz="0" w:space="0" w:color="auto"/>
        <w:bottom w:val="none" w:sz="0" w:space="0" w:color="auto"/>
        <w:right w:val="none" w:sz="0" w:space="0" w:color="auto"/>
      </w:divBdr>
    </w:div>
    <w:div w:id="163202410">
      <w:bodyDiv w:val="1"/>
      <w:marLeft w:val="0"/>
      <w:marRight w:val="0"/>
      <w:marTop w:val="0"/>
      <w:marBottom w:val="0"/>
      <w:divBdr>
        <w:top w:val="none" w:sz="0" w:space="0" w:color="auto"/>
        <w:left w:val="none" w:sz="0" w:space="0" w:color="auto"/>
        <w:bottom w:val="none" w:sz="0" w:space="0" w:color="auto"/>
        <w:right w:val="none" w:sz="0" w:space="0" w:color="auto"/>
      </w:divBdr>
    </w:div>
    <w:div w:id="174927130">
      <w:bodyDiv w:val="1"/>
      <w:marLeft w:val="0"/>
      <w:marRight w:val="0"/>
      <w:marTop w:val="0"/>
      <w:marBottom w:val="0"/>
      <w:divBdr>
        <w:top w:val="none" w:sz="0" w:space="0" w:color="auto"/>
        <w:left w:val="none" w:sz="0" w:space="0" w:color="auto"/>
        <w:bottom w:val="none" w:sz="0" w:space="0" w:color="auto"/>
        <w:right w:val="none" w:sz="0" w:space="0" w:color="auto"/>
      </w:divBdr>
    </w:div>
    <w:div w:id="180703083">
      <w:bodyDiv w:val="1"/>
      <w:marLeft w:val="0"/>
      <w:marRight w:val="0"/>
      <w:marTop w:val="0"/>
      <w:marBottom w:val="0"/>
      <w:divBdr>
        <w:top w:val="none" w:sz="0" w:space="0" w:color="auto"/>
        <w:left w:val="none" w:sz="0" w:space="0" w:color="auto"/>
        <w:bottom w:val="none" w:sz="0" w:space="0" w:color="auto"/>
        <w:right w:val="none" w:sz="0" w:space="0" w:color="auto"/>
      </w:divBdr>
    </w:div>
    <w:div w:id="184565281">
      <w:bodyDiv w:val="1"/>
      <w:marLeft w:val="0"/>
      <w:marRight w:val="0"/>
      <w:marTop w:val="0"/>
      <w:marBottom w:val="0"/>
      <w:divBdr>
        <w:top w:val="none" w:sz="0" w:space="0" w:color="auto"/>
        <w:left w:val="none" w:sz="0" w:space="0" w:color="auto"/>
        <w:bottom w:val="none" w:sz="0" w:space="0" w:color="auto"/>
        <w:right w:val="none" w:sz="0" w:space="0" w:color="auto"/>
      </w:divBdr>
    </w:div>
    <w:div w:id="205605489">
      <w:bodyDiv w:val="1"/>
      <w:marLeft w:val="0"/>
      <w:marRight w:val="0"/>
      <w:marTop w:val="0"/>
      <w:marBottom w:val="0"/>
      <w:divBdr>
        <w:top w:val="none" w:sz="0" w:space="0" w:color="auto"/>
        <w:left w:val="none" w:sz="0" w:space="0" w:color="auto"/>
        <w:bottom w:val="none" w:sz="0" w:space="0" w:color="auto"/>
        <w:right w:val="none" w:sz="0" w:space="0" w:color="auto"/>
      </w:divBdr>
    </w:div>
    <w:div w:id="236137126">
      <w:bodyDiv w:val="1"/>
      <w:marLeft w:val="0"/>
      <w:marRight w:val="0"/>
      <w:marTop w:val="0"/>
      <w:marBottom w:val="0"/>
      <w:divBdr>
        <w:top w:val="none" w:sz="0" w:space="0" w:color="auto"/>
        <w:left w:val="none" w:sz="0" w:space="0" w:color="auto"/>
        <w:bottom w:val="none" w:sz="0" w:space="0" w:color="auto"/>
        <w:right w:val="none" w:sz="0" w:space="0" w:color="auto"/>
      </w:divBdr>
    </w:div>
    <w:div w:id="241452767">
      <w:bodyDiv w:val="1"/>
      <w:marLeft w:val="0"/>
      <w:marRight w:val="0"/>
      <w:marTop w:val="0"/>
      <w:marBottom w:val="0"/>
      <w:divBdr>
        <w:top w:val="none" w:sz="0" w:space="0" w:color="auto"/>
        <w:left w:val="none" w:sz="0" w:space="0" w:color="auto"/>
        <w:bottom w:val="none" w:sz="0" w:space="0" w:color="auto"/>
        <w:right w:val="none" w:sz="0" w:space="0" w:color="auto"/>
      </w:divBdr>
    </w:div>
    <w:div w:id="245573317">
      <w:bodyDiv w:val="1"/>
      <w:marLeft w:val="0"/>
      <w:marRight w:val="0"/>
      <w:marTop w:val="0"/>
      <w:marBottom w:val="0"/>
      <w:divBdr>
        <w:top w:val="none" w:sz="0" w:space="0" w:color="auto"/>
        <w:left w:val="none" w:sz="0" w:space="0" w:color="auto"/>
        <w:bottom w:val="none" w:sz="0" w:space="0" w:color="auto"/>
        <w:right w:val="none" w:sz="0" w:space="0" w:color="auto"/>
      </w:divBdr>
      <w:divsChild>
        <w:div w:id="128592015">
          <w:marLeft w:val="360"/>
          <w:marRight w:val="0"/>
          <w:marTop w:val="144"/>
          <w:marBottom w:val="0"/>
          <w:divBdr>
            <w:top w:val="none" w:sz="0" w:space="0" w:color="auto"/>
            <w:left w:val="none" w:sz="0" w:space="0" w:color="auto"/>
            <w:bottom w:val="none" w:sz="0" w:space="0" w:color="auto"/>
            <w:right w:val="none" w:sz="0" w:space="0" w:color="auto"/>
          </w:divBdr>
        </w:div>
        <w:div w:id="936593910">
          <w:marLeft w:val="360"/>
          <w:marRight w:val="0"/>
          <w:marTop w:val="144"/>
          <w:marBottom w:val="0"/>
          <w:divBdr>
            <w:top w:val="none" w:sz="0" w:space="0" w:color="auto"/>
            <w:left w:val="none" w:sz="0" w:space="0" w:color="auto"/>
            <w:bottom w:val="none" w:sz="0" w:space="0" w:color="auto"/>
            <w:right w:val="none" w:sz="0" w:space="0" w:color="auto"/>
          </w:divBdr>
        </w:div>
        <w:div w:id="936672070">
          <w:marLeft w:val="360"/>
          <w:marRight w:val="0"/>
          <w:marTop w:val="144"/>
          <w:marBottom w:val="0"/>
          <w:divBdr>
            <w:top w:val="none" w:sz="0" w:space="0" w:color="auto"/>
            <w:left w:val="none" w:sz="0" w:space="0" w:color="auto"/>
            <w:bottom w:val="none" w:sz="0" w:space="0" w:color="auto"/>
            <w:right w:val="none" w:sz="0" w:space="0" w:color="auto"/>
          </w:divBdr>
        </w:div>
        <w:div w:id="1198816805">
          <w:marLeft w:val="360"/>
          <w:marRight w:val="0"/>
          <w:marTop w:val="144"/>
          <w:marBottom w:val="0"/>
          <w:divBdr>
            <w:top w:val="none" w:sz="0" w:space="0" w:color="auto"/>
            <w:left w:val="none" w:sz="0" w:space="0" w:color="auto"/>
            <w:bottom w:val="none" w:sz="0" w:space="0" w:color="auto"/>
            <w:right w:val="none" w:sz="0" w:space="0" w:color="auto"/>
          </w:divBdr>
        </w:div>
        <w:div w:id="1748073337">
          <w:marLeft w:val="360"/>
          <w:marRight w:val="0"/>
          <w:marTop w:val="144"/>
          <w:marBottom w:val="0"/>
          <w:divBdr>
            <w:top w:val="none" w:sz="0" w:space="0" w:color="auto"/>
            <w:left w:val="none" w:sz="0" w:space="0" w:color="auto"/>
            <w:bottom w:val="none" w:sz="0" w:space="0" w:color="auto"/>
            <w:right w:val="none" w:sz="0" w:space="0" w:color="auto"/>
          </w:divBdr>
        </w:div>
        <w:div w:id="1811366751">
          <w:marLeft w:val="360"/>
          <w:marRight w:val="0"/>
          <w:marTop w:val="144"/>
          <w:marBottom w:val="0"/>
          <w:divBdr>
            <w:top w:val="none" w:sz="0" w:space="0" w:color="auto"/>
            <w:left w:val="none" w:sz="0" w:space="0" w:color="auto"/>
            <w:bottom w:val="none" w:sz="0" w:space="0" w:color="auto"/>
            <w:right w:val="none" w:sz="0" w:space="0" w:color="auto"/>
          </w:divBdr>
        </w:div>
        <w:div w:id="1838155708">
          <w:marLeft w:val="360"/>
          <w:marRight w:val="0"/>
          <w:marTop w:val="144"/>
          <w:marBottom w:val="0"/>
          <w:divBdr>
            <w:top w:val="none" w:sz="0" w:space="0" w:color="auto"/>
            <w:left w:val="none" w:sz="0" w:space="0" w:color="auto"/>
            <w:bottom w:val="none" w:sz="0" w:space="0" w:color="auto"/>
            <w:right w:val="none" w:sz="0" w:space="0" w:color="auto"/>
          </w:divBdr>
        </w:div>
      </w:divsChild>
    </w:div>
    <w:div w:id="274752243">
      <w:bodyDiv w:val="1"/>
      <w:marLeft w:val="0"/>
      <w:marRight w:val="0"/>
      <w:marTop w:val="0"/>
      <w:marBottom w:val="0"/>
      <w:divBdr>
        <w:top w:val="none" w:sz="0" w:space="0" w:color="auto"/>
        <w:left w:val="none" w:sz="0" w:space="0" w:color="auto"/>
        <w:bottom w:val="none" w:sz="0" w:space="0" w:color="auto"/>
        <w:right w:val="none" w:sz="0" w:space="0" w:color="auto"/>
      </w:divBdr>
    </w:div>
    <w:div w:id="278613387">
      <w:bodyDiv w:val="1"/>
      <w:marLeft w:val="0"/>
      <w:marRight w:val="0"/>
      <w:marTop w:val="0"/>
      <w:marBottom w:val="0"/>
      <w:divBdr>
        <w:top w:val="none" w:sz="0" w:space="0" w:color="auto"/>
        <w:left w:val="none" w:sz="0" w:space="0" w:color="auto"/>
        <w:bottom w:val="none" w:sz="0" w:space="0" w:color="auto"/>
        <w:right w:val="none" w:sz="0" w:space="0" w:color="auto"/>
      </w:divBdr>
    </w:div>
    <w:div w:id="289945709">
      <w:bodyDiv w:val="1"/>
      <w:marLeft w:val="0"/>
      <w:marRight w:val="0"/>
      <w:marTop w:val="0"/>
      <w:marBottom w:val="0"/>
      <w:divBdr>
        <w:top w:val="none" w:sz="0" w:space="0" w:color="auto"/>
        <w:left w:val="none" w:sz="0" w:space="0" w:color="auto"/>
        <w:bottom w:val="none" w:sz="0" w:space="0" w:color="auto"/>
        <w:right w:val="none" w:sz="0" w:space="0" w:color="auto"/>
      </w:divBdr>
    </w:div>
    <w:div w:id="340276332">
      <w:bodyDiv w:val="1"/>
      <w:marLeft w:val="0"/>
      <w:marRight w:val="0"/>
      <w:marTop w:val="0"/>
      <w:marBottom w:val="0"/>
      <w:divBdr>
        <w:top w:val="none" w:sz="0" w:space="0" w:color="auto"/>
        <w:left w:val="none" w:sz="0" w:space="0" w:color="auto"/>
        <w:bottom w:val="none" w:sz="0" w:space="0" w:color="auto"/>
        <w:right w:val="none" w:sz="0" w:space="0" w:color="auto"/>
      </w:divBdr>
    </w:div>
    <w:div w:id="340789068">
      <w:bodyDiv w:val="1"/>
      <w:marLeft w:val="0"/>
      <w:marRight w:val="0"/>
      <w:marTop w:val="0"/>
      <w:marBottom w:val="0"/>
      <w:divBdr>
        <w:top w:val="none" w:sz="0" w:space="0" w:color="auto"/>
        <w:left w:val="none" w:sz="0" w:space="0" w:color="auto"/>
        <w:bottom w:val="none" w:sz="0" w:space="0" w:color="auto"/>
        <w:right w:val="none" w:sz="0" w:space="0" w:color="auto"/>
      </w:divBdr>
    </w:div>
    <w:div w:id="358554191">
      <w:bodyDiv w:val="1"/>
      <w:marLeft w:val="0"/>
      <w:marRight w:val="0"/>
      <w:marTop w:val="0"/>
      <w:marBottom w:val="0"/>
      <w:divBdr>
        <w:top w:val="none" w:sz="0" w:space="0" w:color="auto"/>
        <w:left w:val="none" w:sz="0" w:space="0" w:color="auto"/>
        <w:bottom w:val="none" w:sz="0" w:space="0" w:color="auto"/>
        <w:right w:val="none" w:sz="0" w:space="0" w:color="auto"/>
      </w:divBdr>
    </w:div>
    <w:div w:id="367150511">
      <w:bodyDiv w:val="1"/>
      <w:marLeft w:val="0"/>
      <w:marRight w:val="0"/>
      <w:marTop w:val="0"/>
      <w:marBottom w:val="0"/>
      <w:divBdr>
        <w:top w:val="none" w:sz="0" w:space="0" w:color="auto"/>
        <w:left w:val="none" w:sz="0" w:space="0" w:color="auto"/>
        <w:bottom w:val="none" w:sz="0" w:space="0" w:color="auto"/>
        <w:right w:val="none" w:sz="0" w:space="0" w:color="auto"/>
      </w:divBdr>
    </w:div>
    <w:div w:id="369109055">
      <w:bodyDiv w:val="1"/>
      <w:marLeft w:val="0"/>
      <w:marRight w:val="0"/>
      <w:marTop w:val="0"/>
      <w:marBottom w:val="0"/>
      <w:divBdr>
        <w:top w:val="none" w:sz="0" w:space="0" w:color="auto"/>
        <w:left w:val="none" w:sz="0" w:space="0" w:color="auto"/>
        <w:bottom w:val="none" w:sz="0" w:space="0" w:color="auto"/>
        <w:right w:val="none" w:sz="0" w:space="0" w:color="auto"/>
      </w:divBdr>
    </w:div>
    <w:div w:id="379474221">
      <w:bodyDiv w:val="1"/>
      <w:marLeft w:val="0"/>
      <w:marRight w:val="0"/>
      <w:marTop w:val="0"/>
      <w:marBottom w:val="0"/>
      <w:divBdr>
        <w:top w:val="none" w:sz="0" w:space="0" w:color="auto"/>
        <w:left w:val="none" w:sz="0" w:space="0" w:color="auto"/>
        <w:bottom w:val="none" w:sz="0" w:space="0" w:color="auto"/>
        <w:right w:val="none" w:sz="0" w:space="0" w:color="auto"/>
      </w:divBdr>
    </w:div>
    <w:div w:id="395207377">
      <w:bodyDiv w:val="1"/>
      <w:marLeft w:val="0"/>
      <w:marRight w:val="0"/>
      <w:marTop w:val="0"/>
      <w:marBottom w:val="0"/>
      <w:divBdr>
        <w:top w:val="none" w:sz="0" w:space="0" w:color="auto"/>
        <w:left w:val="none" w:sz="0" w:space="0" w:color="auto"/>
        <w:bottom w:val="none" w:sz="0" w:space="0" w:color="auto"/>
        <w:right w:val="none" w:sz="0" w:space="0" w:color="auto"/>
      </w:divBdr>
    </w:div>
    <w:div w:id="404842513">
      <w:bodyDiv w:val="1"/>
      <w:marLeft w:val="0"/>
      <w:marRight w:val="0"/>
      <w:marTop w:val="0"/>
      <w:marBottom w:val="0"/>
      <w:divBdr>
        <w:top w:val="none" w:sz="0" w:space="0" w:color="auto"/>
        <w:left w:val="none" w:sz="0" w:space="0" w:color="auto"/>
        <w:bottom w:val="none" w:sz="0" w:space="0" w:color="auto"/>
        <w:right w:val="none" w:sz="0" w:space="0" w:color="auto"/>
      </w:divBdr>
    </w:div>
    <w:div w:id="410128075">
      <w:bodyDiv w:val="1"/>
      <w:marLeft w:val="0"/>
      <w:marRight w:val="0"/>
      <w:marTop w:val="0"/>
      <w:marBottom w:val="0"/>
      <w:divBdr>
        <w:top w:val="none" w:sz="0" w:space="0" w:color="auto"/>
        <w:left w:val="none" w:sz="0" w:space="0" w:color="auto"/>
        <w:bottom w:val="none" w:sz="0" w:space="0" w:color="auto"/>
        <w:right w:val="none" w:sz="0" w:space="0" w:color="auto"/>
      </w:divBdr>
    </w:div>
    <w:div w:id="429816064">
      <w:bodyDiv w:val="1"/>
      <w:marLeft w:val="0"/>
      <w:marRight w:val="0"/>
      <w:marTop w:val="0"/>
      <w:marBottom w:val="0"/>
      <w:divBdr>
        <w:top w:val="none" w:sz="0" w:space="0" w:color="auto"/>
        <w:left w:val="none" w:sz="0" w:space="0" w:color="auto"/>
        <w:bottom w:val="none" w:sz="0" w:space="0" w:color="auto"/>
        <w:right w:val="none" w:sz="0" w:space="0" w:color="auto"/>
      </w:divBdr>
      <w:divsChild>
        <w:div w:id="1259101611">
          <w:marLeft w:val="0"/>
          <w:marRight w:val="0"/>
          <w:marTop w:val="0"/>
          <w:marBottom w:val="0"/>
          <w:divBdr>
            <w:top w:val="none" w:sz="0" w:space="0" w:color="auto"/>
            <w:left w:val="none" w:sz="0" w:space="0" w:color="auto"/>
            <w:bottom w:val="none" w:sz="0" w:space="0" w:color="auto"/>
            <w:right w:val="none" w:sz="0" w:space="0" w:color="auto"/>
          </w:divBdr>
          <w:divsChild>
            <w:div w:id="1899196736">
              <w:marLeft w:val="0"/>
              <w:marRight w:val="0"/>
              <w:marTop w:val="0"/>
              <w:marBottom w:val="0"/>
              <w:divBdr>
                <w:top w:val="none" w:sz="0" w:space="0" w:color="auto"/>
                <w:left w:val="none" w:sz="0" w:space="0" w:color="auto"/>
                <w:bottom w:val="none" w:sz="0" w:space="0" w:color="auto"/>
                <w:right w:val="none" w:sz="0" w:space="0" w:color="auto"/>
              </w:divBdr>
              <w:divsChild>
                <w:div w:id="477655101">
                  <w:marLeft w:val="0"/>
                  <w:marRight w:val="0"/>
                  <w:marTop w:val="0"/>
                  <w:marBottom w:val="0"/>
                  <w:divBdr>
                    <w:top w:val="none" w:sz="0" w:space="0" w:color="auto"/>
                    <w:left w:val="none" w:sz="0" w:space="0" w:color="auto"/>
                    <w:bottom w:val="none" w:sz="0" w:space="0" w:color="auto"/>
                    <w:right w:val="none" w:sz="0" w:space="0" w:color="auto"/>
                  </w:divBdr>
                  <w:divsChild>
                    <w:div w:id="1541628949">
                      <w:marLeft w:val="0"/>
                      <w:marRight w:val="0"/>
                      <w:marTop w:val="0"/>
                      <w:marBottom w:val="0"/>
                      <w:divBdr>
                        <w:top w:val="none" w:sz="0" w:space="0" w:color="auto"/>
                        <w:left w:val="none" w:sz="0" w:space="0" w:color="auto"/>
                        <w:bottom w:val="none" w:sz="0" w:space="0" w:color="auto"/>
                        <w:right w:val="none" w:sz="0" w:space="0" w:color="auto"/>
                      </w:divBdr>
                      <w:divsChild>
                        <w:div w:id="421293560">
                          <w:marLeft w:val="0"/>
                          <w:marRight w:val="0"/>
                          <w:marTop w:val="0"/>
                          <w:marBottom w:val="0"/>
                          <w:divBdr>
                            <w:top w:val="none" w:sz="0" w:space="0" w:color="auto"/>
                            <w:left w:val="none" w:sz="0" w:space="0" w:color="auto"/>
                            <w:bottom w:val="none" w:sz="0" w:space="0" w:color="auto"/>
                            <w:right w:val="none" w:sz="0" w:space="0" w:color="auto"/>
                          </w:divBdr>
                          <w:divsChild>
                            <w:div w:id="2084140441">
                              <w:marLeft w:val="0"/>
                              <w:marRight w:val="0"/>
                              <w:marTop w:val="0"/>
                              <w:marBottom w:val="0"/>
                              <w:divBdr>
                                <w:top w:val="none" w:sz="0" w:space="0" w:color="auto"/>
                                <w:left w:val="none" w:sz="0" w:space="0" w:color="auto"/>
                                <w:bottom w:val="none" w:sz="0" w:space="0" w:color="auto"/>
                                <w:right w:val="none" w:sz="0" w:space="0" w:color="auto"/>
                              </w:divBdr>
                              <w:divsChild>
                                <w:div w:id="1075857620">
                                  <w:marLeft w:val="0"/>
                                  <w:marRight w:val="0"/>
                                  <w:marTop w:val="0"/>
                                  <w:marBottom w:val="0"/>
                                  <w:divBdr>
                                    <w:top w:val="none" w:sz="0" w:space="0" w:color="auto"/>
                                    <w:left w:val="none" w:sz="0" w:space="0" w:color="auto"/>
                                    <w:bottom w:val="none" w:sz="0" w:space="0" w:color="auto"/>
                                    <w:right w:val="none" w:sz="0" w:space="0" w:color="auto"/>
                                  </w:divBdr>
                                  <w:divsChild>
                                    <w:div w:id="1850636191">
                                      <w:marLeft w:val="0"/>
                                      <w:marRight w:val="0"/>
                                      <w:marTop w:val="0"/>
                                      <w:marBottom w:val="0"/>
                                      <w:divBdr>
                                        <w:top w:val="none" w:sz="0" w:space="0" w:color="auto"/>
                                        <w:left w:val="none" w:sz="0" w:space="0" w:color="auto"/>
                                        <w:bottom w:val="none" w:sz="0" w:space="0" w:color="auto"/>
                                        <w:right w:val="none" w:sz="0" w:space="0" w:color="auto"/>
                                      </w:divBdr>
                                      <w:divsChild>
                                        <w:div w:id="96950938">
                                          <w:marLeft w:val="0"/>
                                          <w:marRight w:val="0"/>
                                          <w:marTop w:val="0"/>
                                          <w:marBottom w:val="0"/>
                                          <w:divBdr>
                                            <w:top w:val="none" w:sz="0" w:space="0" w:color="auto"/>
                                            <w:left w:val="none" w:sz="0" w:space="0" w:color="auto"/>
                                            <w:bottom w:val="none" w:sz="0" w:space="0" w:color="auto"/>
                                            <w:right w:val="none" w:sz="0" w:space="0" w:color="auto"/>
                                          </w:divBdr>
                                          <w:divsChild>
                                            <w:div w:id="229777417">
                                              <w:marLeft w:val="3444"/>
                                              <w:marRight w:val="0"/>
                                              <w:marTop w:val="0"/>
                                              <w:marBottom w:val="0"/>
                                              <w:divBdr>
                                                <w:top w:val="single" w:sz="4" w:space="0" w:color="D2D5D7"/>
                                                <w:left w:val="single" w:sz="4" w:space="0" w:color="D2D5D7"/>
                                                <w:bottom w:val="none" w:sz="0" w:space="0" w:color="auto"/>
                                                <w:right w:val="single" w:sz="4" w:space="0" w:color="D2D5D7"/>
                                              </w:divBdr>
                                              <w:divsChild>
                                                <w:div w:id="796945135">
                                                  <w:marLeft w:val="0"/>
                                                  <w:marRight w:val="0"/>
                                                  <w:marTop w:val="0"/>
                                                  <w:marBottom w:val="0"/>
                                                  <w:divBdr>
                                                    <w:top w:val="none" w:sz="0" w:space="0" w:color="auto"/>
                                                    <w:left w:val="none" w:sz="0" w:space="0" w:color="auto"/>
                                                    <w:bottom w:val="none" w:sz="0" w:space="0" w:color="auto"/>
                                                    <w:right w:val="none" w:sz="0" w:space="0" w:color="auto"/>
                                                  </w:divBdr>
                                                  <w:divsChild>
                                                    <w:div w:id="403184453">
                                                      <w:marLeft w:val="0"/>
                                                      <w:marRight w:val="0"/>
                                                      <w:marTop w:val="0"/>
                                                      <w:marBottom w:val="0"/>
                                                      <w:divBdr>
                                                        <w:top w:val="none" w:sz="0" w:space="0" w:color="auto"/>
                                                        <w:left w:val="none" w:sz="0" w:space="0" w:color="auto"/>
                                                        <w:bottom w:val="none" w:sz="0" w:space="0" w:color="auto"/>
                                                        <w:right w:val="none" w:sz="0" w:space="0" w:color="auto"/>
                                                      </w:divBdr>
                                                      <w:divsChild>
                                                        <w:div w:id="463039790">
                                                          <w:marLeft w:val="0"/>
                                                          <w:marRight w:val="0"/>
                                                          <w:marTop w:val="0"/>
                                                          <w:marBottom w:val="0"/>
                                                          <w:divBdr>
                                                            <w:top w:val="none" w:sz="0" w:space="0" w:color="auto"/>
                                                            <w:left w:val="none" w:sz="0" w:space="0" w:color="auto"/>
                                                            <w:bottom w:val="none" w:sz="0" w:space="0" w:color="auto"/>
                                                            <w:right w:val="none" w:sz="0" w:space="0" w:color="auto"/>
                                                          </w:divBdr>
                                                          <w:divsChild>
                                                            <w:div w:id="923950517">
                                                              <w:marLeft w:val="0"/>
                                                              <w:marRight w:val="0"/>
                                                              <w:marTop w:val="0"/>
                                                              <w:marBottom w:val="0"/>
                                                              <w:divBdr>
                                                                <w:top w:val="none" w:sz="0" w:space="0" w:color="auto"/>
                                                                <w:left w:val="none" w:sz="0" w:space="0" w:color="auto"/>
                                                                <w:bottom w:val="none" w:sz="0" w:space="0" w:color="auto"/>
                                                                <w:right w:val="none" w:sz="0" w:space="0" w:color="auto"/>
                                                              </w:divBdr>
                                                              <w:divsChild>
                                                                <w:div w:id="570195354">
                                                                  <w:marLeft w:val="0"/>
                                                                  <w:marRight w:val="0"/>
                                                                  <w:marTop w:val="0"/>
                                                                  <w:marBottom w:val="0"/>
                                                                  <w:divBdr>
                                                                    <w:top w:val="none" w:sz="0" w:space="0" w:color="auto"/>
                                                                    <w:left w:val="none" w:sz="0" w:space="0" w:color="auto"/>
                                                                    <w:bottom w:val="none" w:sz="0" w:space="0" w:color="auto"/>
                                                                    <w:right w:val="none" w:sz="0" w:space="0" w:color="auto"/>
                                                                  </w:divBdr>
                                                                  <w:divsChild>
                                                                    <w:div w:id="2026782452">
                                                                      <w:marLeft w:val="0"/>
                                                                      <w:marRight w:val="0"/>
                                                                      <w:marTop w:val="0"/>
                                                                      <w:marBottom w:val="0"/>
                                                                      <w:divBdr>
                                                                        <w:top w:val="none" w:sz="0" w:space="0" w:color="auto"/>
                                                                        <w:left w:val="none" w:sz="0" w:space="0" w:color="auto"/>
                                                                        <w:bottom w:val="none" w:sz="0" w:space="0" w:color="auto"/>
                                                                        <w:right w:val="none" w:sz="0" w:space="0" w:color="auto"/>
                                                                      </w:divBdr>
                                                                      <w:divsChild>
                                                                        <w:div w:id="629476576">
                                                                          <w:marLeft w:val="0"/>
                                                                          <w:marRight w:val="0"/>
                                                                          <w:marTop w:val="0"/>
                                                                          <w:marBottom w:val="0"/>
                                                                          <w:divBdr>
                                                                            <w:top w:val="none" w:sz="0" w:space="0" w:color="auto"/>
                                                                            <w:left w:val="none" w:sz="0" w:space="0" w:color="auto"/>
                                                                            <w:bottom w:val="none" w:sz="0" w:space="0" w:color="auto"/>
                                                                            <w:right w:val="none" w:sz="0" w:space="0" w:color="auto"/>
                                                                          </w:divBdr>
                                                                          <w:divsChild>
                                                                            <w:div w:id="191573613">
                                                                              <w:marLeft w:val="0"/>
                                                                              <w:marRight w:val="0"/>
                                                                              <w:marTop w:val="0"/>
                                                                              <w:marBottom w:val="0"/>
                                                                              <w:divBdr>
                                                                                <w:top w:val="none" w:sz="0" w:space="0" w:color="auto"/>
                                                                                <w:left w:val="none" w:sz="0" w:space="0" w:color="auto"/>
                                                                                <w:bottom w:val="none" w:sz="0" w:space="0" w:color="auto"/>
                                                                                <w:right w:val="none" w:sz="0" w:space="0" w:color="auto"/>
                                                                              </w:divBdr>
                                                                            </w:div>
                                                                            <w:div w:id="364795276">
                                                                              <w:marLeft w:val="0"/>
                                                                              <w:marRight w:val="0"/>
                                                                              <w:marTop w:val="0"/>
                                                                              <w:marBottom w:val="0"/>
                                                                              <w:divBdr>
                                                                                <w:top w:val="none" w:sz="0" w:space="0" w:color="auto"/>
                                                                                <w:left w:val="none" w:sz="0" w:space="0" w:color="auto"/>
                                                                                <w:bottom w:val="none" w:sz="0" w:space="0" w:color="auto"/>
                                                                                <w:right w:val="none" w:sz="0" w:space="0" w:color="auto"/>
                                                                              </w:divBdr>
                                                                            </w:div>
                                                                            <w:div w:id="17957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6756918">
      <w:bodyDiv w:val="1"/>
      <w:marLeft w:val="0"/>
      <w:marRight w:val="0"/>
      <w:marTop w:val="0"/>
      <w:marBottom w:val="0"/>
      <w:divBdr>
        <w:top w:val="none" w:sz="0" w:space="0" w:color="auto"/>
        <w:left w:val="none" w:sz="0" w:space="0" w:color="auto"/>
        <w:bottom w:val="none" w:sz="0" w:space="0" w:color="auto"/>
        <w:right w:val="none" w:sz="0" w:space="0" w:color="auto"/>
      </w:divBdr>
      <w:divsChild>
        <w:div w:id="850484531">
          <w:marLeft w:val="0"/>
          <w:marRight w:val="0"/>
          <w:marTop w:val="0"/>
          <w:marBottom w:val="0"/>
          <w:divBdr>
            <w:top w:val="none" w:sz="0" w:space="0" w:color="auto"/>
            <w:left w:val="none" w:sz="0" w:space="0" w:color="auto"/>
            <w:bottom w:val="none" w:sz="0" w:space="0" w:color="auto"/>
            <w:right w:val="none" w:sz="0" w:space="0" w:color="auto"/>
          </w:divBdr>
          <w:divsChild>
            <w:div w:id="314846786">
              <w:marLeft w:val="0"/>
              <w:marRight w:val="0"/>
              <w:marTop w:val="0"/>
              <w:marBottom w:val="0"/>
              <w:divBdr>
                <w:top w:val="none" w:sz="0" w:space="0" w:color="auto"/>
                <w:left w:val="none" w:sz="0" w:space="0" w:color="auto"/>
                <w:bottom w:val="none" w:sz="0" w:space="0" w:color="auto"/>
                <w:right w:val="none" w:sz="0" w:space="0" w:color="auto"/>
              </w:divBdr>
              <w:divsChild>
                <w:div w:id="224999925">
                  <w:marLeft w:val="0"/>
                  <w:marRight w:val="0"/>
                  <w:marTop w:val="0"/>
                  <w:marBottom w:val="0"/>
                  <w:divBdr>
                    <w:top w:val="none" w:sz="0" w:space="0" w:color="auto"/>
                    <w:left w:val="none" w:sz="0" w:space="0" w:color="auto"/>
                    <w:bottom w:val="none" w:sz="0" w:space="0" w:color="auto"/>
                    <w:right w:val="none" w:sz="0" w:space="0" w:color="auto"/>
                  </w:divBdr>
                  <w:divsChild>
                    <w:div w:id="1832603987">
                      <w:marLeft w:val="420"/>
                      <w:marRight w:val="0"/>
                      <w:marTop w:val="0"/>
                      <w:marBottom w:val="0"/>
                      <w:divBdr>
                        <w:top w:val="none" w:sz="0" w:space="0" w:color="auto"/>
                        <w:left w:val="none" w:sz="0" w:space="0" w:color="auto"/>
                        <w:bottom w:val="none" w:sz="0" w:space="0" w:color="auto"/>
                        <w:right w:val="none" w:sz="0" w:space="0" w:color="auto"/>
                      </w:divBdr>
                      <w:divsChild>
                        <w:div w:id="1064260523">
                          <w:marLeft w:val="0"/>
                          <w:marRight w:val="0"/>
                          <w:marTop w:val="0"/>
                          <w:marBottom w:val="0"/>
                          <w:divBdr>
                            <w:top w:val="none" w:sz="0" w:space="0" w:color="auto"/>
                            <w:left w:val="none" w:sz="0" w:space="0" w:color="auto"/>
                            <w:bottom w:val="none" w:sz="0" w:space="0" w:color="auto"/>
                            <w:right w:val="none" w:sz="0" w:space="0" w:color="auto"/>
                          </w:divBdr>
                          <w:divsChild>
                            <w:div w:id="1617981112">
                              <w:marLeft w:val="0"/>
                              <w:marRight w:val="0"/>
                              <w:marTop w:val="0"/>
                              <w:marBottom w:val="0"/>
                              <w:divBdr>
                                <w:top w:val="none" w:sz="0" w:space="0" w:color="auto"/>
                                <w:left w:val="none" w:sz="0" w:space="0" w:color="auto"/>
                                <w:bottom w:val="none" w:sz="0" w:space="0" w:color="auto"/>
                                <w:right w:val="none" w:sz="0" w:space="0" w:color="auto"/>
                              </w:divBdr>
                              <w:divsChild>
                                <w:div w:id="156388921">
                                  <w:marLeft w:val="0"/>
                                  <w:marRight w:val="0"/>
                                  <w:marTop w:val="0"/>
                                  <w:marBottom w:val="0"/>
                                  <w:divBdr>
                                    <w:top w:val="none" w:sz="0" w:space="0" w:color="auto"/>
                                    <w:left w:val="none" w:sz="0" w:space="0" w:color="auto"/>
                                    <w:bottom w:val="none" w:sz="0" w:space="0" w:color="auto"/>
                                    <w:right w:val="none" w:sz="0" w:space="0" w:color="auto"/>
                                  </w:divBdr>
                                </w:div>
                                <w:div w:id="1711997477">
                                  <w:marLeft w:val="0"/>
                                  <w:marRight w:val="0"/>
                                  <w:marTop w:val="0"/>
                                  <w:marBottom w:val="0"/>
                                  <w:divBdr>
                                    <w:top w:val="none" w:sz="0" w:space="0" w:color="auto"/>
                                    <w:left w:val="none" w:sz="0" w:space="0" w:color="auto"/>
                                    <w:bottom w:val="none" w:sz="0" w:space="0" w:color="auto"/>
                                    <w:right w:val="none" w:sz="0" w:space="0" w:color="auto"/>
                                  </w:divBdr>
                                  <w:divsChild>
                                    <w:div w:id="318191479">
                                      <w:marLeft w:val="0"/>
                                      <w:marRight w:val="0"/>
                                      <w:marTop w:val="0"/>
                                      <w:marBottom w:val="0"/>
                                      <w:divBdr>
                                        <w:top w:val="none" w:sz="0" w:space="0" w:color="auto"/>
                                        <w:left w:val="none" w:sz="0" w:space="0" w:color="auto"/>
                                        <w:bottom w:val="none" w:sz="0" w:space="0" w:color="auto"/>
                                        <w:right w:val="none" w:sz="0" w:space="0" w:color="auto"/>
                                      </w:divBdr>
                                      <w:divsChild>
                                        <w:div w:id="487214403">
                                          <w:marLeft w:val="0"/>
                                          <w:marRight w:val="0"/>
                                          <w:marTop w:val="0"/>
                                          <w:marBottom w:val="0"/>
                                          <w:divBdr>
                                            <w:top w:val="none" w:sz="0" w:space="0" w:color="auto"/>
                                            <w:left w:val="none" w:sz="0" w:space="0" w:color="auto"/>
                                            <w:bottom w:val="none" w:sz="0" w:space="0" w:color="auto"/>
                                            <w:right w:val="none" w:sz="0" w:space="0" w:color="auto"/>
                                          </w:divBdr>
                                        </w:div>
                                      </w:divsChild>
                                    </w:div>
                                    <w:div w:id="1541092367">
                                      <w:marLeft w:val="0"/>
                                      <w:marRight w:val="0"/>
                                      <w:marTop w:val="0"/>
                                      <w:marBottom w:val="0"/>
                                      <w:divBdr>
                                        <w:top w:val="none" w:sz="0" w:space="0" w:color="auto"/>
                                        <w:left w:val="none" w:sz="0" w:space="0" w:color="auto"/>
                                        <w:bottom w:val="none" w:sz="0" w:space="0" w:color="auto"/>
                                        <w:right w:val="none" w:sz="0" w:space="0" w:color="auto"/>
                                      </w:divBdr>
                                    </w:div>
                                    <w:div w:id="18531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03763">
      <w:bodyDiv w:val="1"/>
      <w:marLeft w:val="0"/>
      <w:marRight w:val="0"/>
      <w:marTop w:val="0"/>
      <w:marBottom w:val="0"/>
      <w:divBdr>
        <w:top w:val="none" w:sz="0" w:space="0" w:color="auto"/>
        <w:left w:val="none" w:sz="0" w:space="0" w:color="auto"/>
        <w:bottom w:val="none" w:sz="0" w:space="0" w:color="auto"/>
        <w:right w:val="none" w:sz="0" w:space="0" w:color="auto"/>
      </w:divBdr>
    </w:div>
    <w:div w:id="455761562">
      <w:bodyDiv w:val="1"/>
      <w:marLeft w:val="0"/>
      <w:marRight w:val="0"/>
      <w:marTop w:val="0"/>
      <w:marBottom w:val="0"/>
      <w:divBdr>
        <w:top w:val="none" w:sz="0" w:space="0" w:color="auto"/>
        <w:left w:val="none" w:sz="0" w:space="0" w:color="auto"/>
        <w:bottom w:val="none" w:sz="0" w:space="0" w:color="auto"/>
        <w:right w:val="none" w:sz="0" w:space="0" w:color="auto"/>
      </w:divBdr>
    </w:div>
    <w:div w:id="485047793">
      <w:bodyDiv w:val="1"/>
      <w:marLeft w:val="0"/>
      <w:marRight w:val="0"/>
      <w:marTop w:val="0"/>
      <w:marBottom w:val="0"/>
      <w:divBdr>
        <w:top w:val="none" w:sz="0" w:space="0" w:color="auto"/>
        <w:left w:val="none" w:sz="0" w:space="0" w:color="auto"/>
        <w:bottom w:val="none" w:sz="0" w:space="0" w:color="auto"/>
        <w:right w:val="none" w:sz="0" w:space="0" w:color="auto"/>
      </w:divBdr>
    </w:div>
    <w:div w:id="490365771">
      <w:bodyDiv w:val="1"/>
      <w:marLeft w:val="0"/>
      <w:marRight w:val="0"/>
      <w:marTop w:val="0"/>
      <w:marBottom w:val="0"/>
      <w:divBdr>
        <w:top w:val="none" w:sz="0" w:space="0" w:color="auto"/>
        <w:left w:val="none" w:sz="0" w:space="0" w:color="auto"/>
        <w:bottom w:val="none" w:sz="0" w:space="0" w:color="auto"/>
        <w:right w:val="none" w:sz="0" w:space="0" w:color="auto"/>
      </w:divBdr>
    </w:div>
    <w:div w:id="495073386">
      <w:bodyDiv w:val="1"/>
      <w:marLeft w:val="0"/>
      <w:marRight w:val="0"/>
      <w:marTop w:val="0"/>
      <w:marBottom w:val="0"/>
      <w:divBdr>
        <w:top w:val="none" w:sz="0" w:space="0" w:color="auto"/>
        <w:left w:val="none" w:sz="0" w:space="0" w:color="auto"/>
        <w:bottom w:val="none" w:sz="0" w:space="0" w:color="auto"/>
        <w:right w:val="none" w:sz="0" w:space="0" w:color="auto"/>
      </w:divBdr>
    </w:div>
    <w:div w:id="515120086">
      <w:bodyDiv w:val="1"/>
      <w:marLeft w:val="0"/>
      <w:marRight w:val="0"/>
      <w:marTop w:val="0"/>
      <w:marBottom w:val="0"/>
      <w:divBdr>
        <w:top w:val="none" w:sz="0" w:space="0" w:color="auto"/>
        <w:left w:val="none" w:sz="0" w:space="0" w:color="auto"/>
        <w:bottom w:val="none" w:sz="0" w:space="0" w:color="auto"/>
        <w:right w:val="none" w:sz="0" w:space="0" w:color="auto"/>
      </w:divBdr>
    </w:div>
    <w:div w:id="523059866">
      <w:bodyDiv w:val="1"/>
      <w:marLeft w:val="0"/>
      <w:marRight w:val="0"/>
      <w:marTop w:val="0"/>
      <w:marBottom w:val="0"/>
      <w:divBdr>
        <w:top w:val="none" w:sz="0" w:space="0" w:color="auto"/>
        <w:left w:val="none" w:sz="0" w:space="0" w:color="auto"/>
        <w:bottom w:val="none" w:sz="0" w:space="0" w:color="auto"/>
        <w:right w:val="none" w:sz="0" w:space="0" w:color="auto"/>
      </w:divBdr>
    </w:div>
    <w:div w:id="524170646">
      <w:bodyDiv w:val="1"/>
      <w:marLeft w:val="0"/>
      <w:marRight w:val="0"/>
      <w:marTop w:val="0"/>
      <w:marBottom w:val="0"/>
      <w:divBdr>
        <w:top w:val="none" w:sz="0" w:space="0" w:color="auto"/>
        <w:left w:val="none" w:sz="0" w:space="0" w:color="auto"/>
        <w:bottom w:val="none" w:sz="0" w:space="0" w:color="auto"/>
        <w:right w:val="none" w:sz="0" w:space="0" w:color="auto"/>
      </w:divBdr>
    </w:div>
    <w:div w:id="527761925">
      <w:bodyDiv w:val="1"/>
      <w:marLeft w:val="0"/>
      <w:marRight w:val="0"/>
      <w:marTop w:val="0"/>
      <w:marBottom w:val="0"/>
      <w:divBdr>
        <w:top w:val="none" w:sz="0" w:space="0" w:color="auto"/>
        <w:left w:val="none" w:sz="0" w:space="0" w:color="auto"/>
        <w:bottom w:val="none" w:sz="0" w:space="0" w:color="auto"/>
        <w:right w:val="none" w:sz="0" w:space="0" w:color="auto"/>
      </w:divBdr>
    </w:div>
    <w:div w:id="545724581">
      <w:bodyDiv w:val="1"/>
      <w:marLeft w:val="0"/>
      <w:marRight w:val="0"/>
      <w:marTop w:val="0"/>
      <w:marBottom w:val="0"/>
      <w:divBdr>
        <w:top w:val="none" w:sz="0" w:space="0" w:color="auto"/>
        <w:left w:val="none" w:sz="0" w:space="0" w:color="auto"/>
        <w:bottom w:val="none" w:sz="0" w:space="0" w:color="auto"/>
        <w:right w:val="none" w:sz="0" w:space="0" w:color="auto"/>
      </w:divBdr>
      <w:divsChild>
        <w:div w:id="2017145367">
          <w:marLeft w:val="0"/>
          <w:marRight w:val="0"/>
          <w:marTop w:val="0"/>
          <w:marBottom w:val="0"/>
          <w:divBdr>
            <w:top w:val="none" w:sz="0" w:space="0" w:color="auto"/>
            <w:left w:val="none" w:sz="0" w:space="0" w:color="auto"/>
            <w:bottom w:val="none" w:sz="0" w:space="0" w:color="auto"/>
            <w:right w:val="none" w:sz="0" w:space="0" w:color="auto"/>
          </w:divBdr>
          <w:divsChild>
            <w:div w:id="928656207">
              <w:marLeft w:val="0"/>
              <w:marRight w:val="0"/>
              <w:marTop w:val="0"/>
              <w:marBottom w:val="0"/>
              <w:divBdr>
                <w:top w:val="none" w:sz="0" w:space="0" w:color="auto"/>
                <w:left w:val="none" w:sz="0" w:space="0" w:color="auto"/>
                <w:bottom w:val="none" w:sz="0" w:space="0" w:color="auto"/>
                <w:right w:val="none" w:sz="0" w:space="0" w:color="auto"/>
              </w:divBdr>
              <w:divsChild>
                <w:div w:id="238488001">
                  <w:marLeft w:val="0"/>
                  <w:marRight w:val="0"/>
                  <w:marTop w:val="0"/>
                  <w:marBottom w:val="0"/>
                  <w:divBdr>
                    <w:top w:val="none" w:sz="0" w:space="0" w:color="auto"/>
                    <w:left w:val="none" w:sz="0" w:space="0" w:color="auto"/>
                    <w:bottom w:val="none" w:sz="0" w:space="0" w:color="auto"/>
                    <w:right w:val="none" w:sz="0" w:space="0" w:color="auto"/>
                  </w:divBdr>
                  <w:divsChild>
                    <w:div w:id="972560990">
                      <w:marLeft w:val="0"/>
                      <w:marRight w:val="0"/>
                      <w:marTop w:val="0"/>
                      <w:marBottom w:val="0"/>
                      <w:divBdr>
                        <w:top w:val="none" w:sz="0" w:space="0" w:color="auto"/>
                        <w:left w:val="none" w:sz="0" w:space="0" w:color="auto"/>
                        <w:bottom w:val="none" w:sz="0" w:space="0" w:color="auto"/>
                        <w:right w:val="none" w:sz="0" w:space="0" w:color="auto"/>
                      </w:divBdr>
                      <w:divsChild>
                        <w:div w:id="2110074705">
                          <w:marLeft w:val="0"/>
                          <w:marRight w:val="0"/>
                          <w:marTop w:val="0"/>
                          <w:marBottom w:val="0"/>
                          <w:divBdr>
                            <w:top w:val="none" w:sz="0" w:space="0" w:color="auto"/>
                            <w:left w:val="none" w:sz="0" w:space="0" w:color="auto"/>
                            <w:bottom w:val="none" w:sz="0" w:space="0" w:color="auto"/>
                            <w:right w:val="none" w:sz="0" w:space="0" w:color="auto"/>
                          </w:divBdr>
                          <w:divsChild>
                            <w:div w:id="139465712">
                              <w:marLeft w:val="0"/>
                              <w:marRight w:val="0"/>
                              <w:marTop w:val="0"/>
                              <w:marBottom w:val="0"/>
                              <w:divBdr>
                                <w:top w:val="none" w:sz="0" w:space="0" w:color="auto"/>
                                <w:left w:val="none" w:sz="0" w:space="0" w:color="auto"/>
                                <w:bottom w:val="none" w:sz="0" w:space="0" w:color="auto"/>
                                <w:right w:val="none" w:sz="0" w:space="0" w:color="auto"/>
                              </w:divBdr>
                              <w:divsChild>
                                <w:div w:id="4425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960677">
      <w:bodyDiv w:val="1"/>
      <w:marLeft w:val="0"/>
      <w:marRight w:val="0"/>
      <w:marTop w:val="0"/>
      <w:marBottom w:val="0"/>
      <w:divBdr>
        <w:top w:val="none" w:sz="0" w:space="0" w:color="auto"/>
        <w:left w:val="none" w:sz="0" w:space="0" w:color="auto"/>
        <w:bottom w:val="none" w:sz="0" w:space="0" w:color="auto"/>
        <w:right w:val="none" w:sz="0" w:space="0" w:color="auto"/>
      </w:divBdr>
    </w:div>
    <w:div w:id="556866629">
      <w:bodyDiv w:val="1"/>
      <w:marLeft w:val="0"/>
      <w:marRight w:val="0"/>
      <w:marTop w:val="0"/>
      <w:marBottom w:val="0"/>
      <w:divBdr>
        <w:top w:val="none" w:sz="0" w:space="0" w:color="auto"/>
        <w:left w:val="none" w:sz="0" w:space="0" w:color="auto"/>
        <w:bottom w:val="none" w:sz="0" w:space="0" w:color="auto"/>
        <w:right w:val="none" w:sz="0" w:space="0" w:color="auto"/>
      </w:divBdr>
    </w:div>
    <w:div w:id="594677072">
      <w:bodyDiv w:val="1"/>
      <w:marLeft w:val="0"/>
      <w:marRight w:val="0"/>
      <w:marTop w:val="0"/>
      <w:marBottom w:val="0"/>
      <w:divBdr>
        <w:top w:val="none" w:sz="0" w:space="0" w:color="auto"/>
        <w:left w:val="none" w:sz="0" w:space="0" w:color="auto"/>
        <w:bottom w:val="none" w:sz="0" w:space="0" w:color="auto"/>
        <w:right w:val="none" w:sz="0" w:space="0" w:color="auto"/>
      </w:divBdr>
      <w:divsChild>
        <w:div w:id="2090074253">
          <w:marLeft w:val="850"/>
          <w:marRight w:val="0"/>
          <w:marTop w:val="67"/>
          <w:marBottom w:val="0"/>
          <w:divBdr>
            <w:top w:val="none" w:sz="0" w:space="0" w:color="auto"/>
            <w:left w:val="none" w:sz="0" w:space="0" w:color="auto"/>
            <w:bottom w:val="none" w:sz="0" w:space="0" w:color="auto"/>
            <w:right w:val="none" w:sz="0" w:space="0" w:color="auto"/>
          </w:divBdr>
        </w:div>
      </w:divsChild>
    </w:div>
    <w:div w:id="624428452">
      <w:bodyDiv w:val="1"/>
      <w:marLeft w:val="0"/>
      <w:marRight w:val="0"/>
      <w:marTop w:val="0"/>
      <w:marBottom w:val="0"/>
      <w:divBdr>
        <w:top w:val="none" w:sz="0" w:space="0" w:color="auto"/>
        <w:left w:val="none" w:sz="0" w:space="0" w:color="auto"/>
        <w:bottom w:val="none" w:sz="0" w:space="0" w:color="auto"/>
        <w:right w:val="none" w:sz="0" w:space="0" w:color="auto"/>
      </w:divBdr>
    </w:div>
    <w:div w:id="676155435">
      <w:bodyDiv w:val="1"/>
      <w:marLeft w:val="0"/>
      <w:marRight w:val="0"/>
      <w:marTop w:val="0"/>
      <w:marBottom w:val="0"/>
      <w:divBdr>
        <w:top w:val="none" w:sz="0" w:space="0" w:color="auto"/>
        <w:left w:val="none" w:sz="0" w:space="0" w:color="auto"/>
        <w:bottom w:val="none" w:sz="0" w:space="0" w:color="auto"/>
        <w:right w:val="none" w:sz="0" w:space="0" w:color="auto"/>
      </w:divBdr>
    </w:div>
    <w:div w:id="699940111">
      <w:bodyDiv w:val="1"/>
      <w:marLeft w:val="0"/>
      <w:marRight w:val="0"/>
      <w:marTop w:val="0"/>
      <w:marBottom w:val="0"/>
      <w:divBdr>
        <w:top w:val="none" w:sz="0" w:space="0" w:color="auto"/>
        <w:left w:val="none" w:sz="0" w:space="0" w:color="auto"/>
        <w:bottom w:val="none" w:sz="0" w:space="0" w:color="auto"/>
        <w:right w:val="none" w:sz="0" w:space="0" w:color="auto"/>
      </w:divBdr>
    </w:div>
    <w:div w:id="727728330">
      <w:bodyDiv w:val="1"/>
      <w:marLeft w:val="0"/>
      <w:marRight w:val="0"/>
      <w:marTop w:val="0"/>
      <w:marBottom w:val="0"/>
      <w:divBdr>
        <w:top w:val="none" w:sz="0" w:space="0" w:color="auto"/>
        <w:left w:val="none" w:sz="0" w:space="0" w:color="auto"/>
        <w:bottom w:val="none" w:sz="0" w:space="0" w:color="auto"/>
        <w:right w:val="none" w:sz="0" w:space="0" w:color="auto"/>
      </w:divBdr>
    </w:div>
    <w:div w:id="742872865">
      <w:bodyDiv w:val="1"/>
      <w:marLeft w:val="0"/>
      <w:marRight w:val="0"/>
      <w:marTop w:val="0"/>
      <w:marBottom w:val="0"/>
      <w:divBdr>
        <w:top w:val="none" w:sz="0" w:space="0" w:color="auto"/>
        <w:left w:val="none" w:sz="0" w:space="0" w:color="auto"/>
        <w:bottom w:val="none" w:sz="0" w:space="0" w:color="auto"/>
        <w:right w:val="none" w:sz="0" w:space="0" w:color="auto"/>
      </w:divBdr>
    </w:div>
    <w:div w:id="756513798">
      <w:bodyDiv w:val="1"/>
      <w:marLeft w:val="0"/>
      <w:marRight w:val="0"/>
      <w:marTop w:val="0"/>
      <w:marBottom w:val="0"/>
      <w:divBdr>
        <w:top w:val="none" w:sz="0" w:space="0" w:color="auto"/>
        <w:left w:val="none" w:sz="0" w:space="0" w:color="auto"/>
        <w:bottom w:val="none" w:sz="0" w:space="0" w:color="auto"/>
        <w:right w:val="none" w:sz="0" w:space="0" w:color="auto"/>
      </w:divBdr>
    </w:div>
    <w:div w:id="758645715">
      <w:bodyDiv w:val="1"/>
      <w:marLeft w:val="0"/>
      <w:marRight w:val="0"/>
      <w:marTop w:val="0"/>
      <w:marBottom w:val="0"/>
      <w:divBdr>
        <w:top w:val="none" w:sz="0" w:space="0" w:color="auto"/>
        <w:left w:val="none" w:sz="0" w:space="0" w:color="auto"/>
        <w:bottom w:val="none" w:sz="0" w:space="0" w:color="auto"/>
        <w:right w:val="none" w:sz="0" w:space="0" w:color="auto"/>
      </w:divBdr>
    </w:div>
    <w:div w:id="760415427">
      <w:bodyDiv w:val="1"/>
      <w:marLeft w:val="0"/>
      <w:marRight w:val="0"/>
      <w:marTop w:val="0"/>
      <w:marBottom w:val="0"/>
      <w:divBdr>
        <w:top w:val="none" w:sz="0" w:space="0" w:color="auto"/>
        <w:left w:val="none" w:sz="0" w:space="0" w:color="auto"/>
        <w:bottom w:val="none" w:sz="0" w:space="0" w:color="auto"/>
        <w:right w:val="none" w:sz="0" w:space="0" w:color="auto"/>
      </w:divBdr>
    </w:div>
    <w:div w:id="769736342">
      <w:bodyDiv w:val="1"/>
      <w:marLeft w:val="0"/>
      <w:marRight w:val="0"/>
      <w:marTop w:val="0"/>
      <w:marBottom w:val="0"/>
      <w:divBdr>
        <w:top w:val="none" w:sz="0" w:space="0" w:color="auto"/>
        <w:left w:val="none" w:sz="0" w:space="0" w:color="auto"/>
        <w:bottom w:val="none" w:sz="0" w:space="0" w:color="auto"/>
        <w:right w:val="none" w:sz="0" w:space="0" w:color="auto"/>
      </w:divBdr>
    </w:div>
    <w:div w:id="770051061">
      <w:bodyDiv w:val="1"/>
      <w:marLeft w:val="0"/>
      <w:marRight w:val="0"/>
      <w:marTop w:val="0"/>
      <w:marBottom w:val="0"/>
      <w:divBdr>
        <w:top w:val="none" w:sz="0" w:space="0" w:color="auto"/>
        <w:left w:val="none" w:sz="0" w:space="0" w:color="auto"/>
        <w:bottom w:val="none" w:sz="0" w:space="0" w:color="auto"/>
        <w:right w:val="none" w:sz="0" w:space="0" w:color="auto"/>
      </w:divBdr>
    </w:div>
    <w:div w:id="783966069">
      <w:bodyDiv w:val="1"/>
      <w:marLeft w:val="0"/>
      <w:marRight w:val="0"/>
      <w:marTop w:val="0"/>
      <w:marBottom w:val="0"/>
      <w:divBdr>
        <w:top w:val="none" w:sz="0" w:space="0" w:color="auto"/>
        <w:left w:val="none" w:sz="0" w:space="0" w:color="auto"/>
        <w:bottom w:val="none" w:sz="0" w:space="0" w:color="auto"/>
        <w:right w:val="none" w:sz="0" w:space="0" w:color="auto"/>
      </w:divBdr>
    </w:div>
    <w:div w:id="835267103">
      <w:bodyDiv w:val="1"/>
      <w:marLeft w:val="0"/>
      <w:marRight w:val="0"/>
      <w:marTop w:val="0"/>
      <w:marBottom w:val="0"/>
      <w:divBdr>
        <w:top w:val="none" w:sz="0" w:space="0" w:color="auto"/>
        <w:left w:val="none" w:sz="0" w:space="0" w:color="auto"/>
        <w:bottom w:val="none" w:sz="0" w:space="0" w:color="auto"/>
        <w:right w:val="none" w:sz="0" w:space="0" w:color="auto"/>
      </w:divBdr>
    </w:div>
    <w:div w:id="842159129">
      <w:bodyDiv w:val="1"/>
      <w:marLeft w:val="0"/>
      <w:marRight w:val="0"/>
      <w:marTop w:val="0"/>
      <w:marBottom w:val="0"/>
      <w:divBdr>
        <w:top w:val="none" w:sz="0" w:space="0" w:color="auto"/>
        <w:left w:val="none" w:sz="0" w:space="0" w:color="auto"/>
        <w:bottom w:val="none" w:sz="0" w:space="0" w:color="auto"/>
        <w:right w:val="none" w:sz="0" w:space="0" w:color="auto"/>
      </w:divBdr>
    </w:div>
    <w:div w:id="866139736">
      <w:bodyDiv w:val="1"/>
      <w:marLeft w:val="0"/>
      <w:marRight w:val="0"/>
      <w:marTop w:val="0"/>
      <w:marBottom w:val="0"/>
      <w:divBdr>
        <w:top w:val="none" w:sz="0" w:space="0" w:color="auto"/>
        <w:left w:val="none" w:sz="0" w:space="0" w:color="auto"/>
        <w:bottom w:val="none" w:sz="0" w:space="0" w:color="auto"/>
        <w:right w:val="none" w:sz="0" w:space="0" w:color="auto"/>
      </w:divBdr>
    </w:div>
    <w:div w:id="870070122">
      <w:bodyDiv w:val="1"/>
      <w:marLeft w:val="0"/>
      <w:marRight w:val="0"/>
      <w:marTop w:val="0"/>
      <w:marBottom w:val="0"/>
      <w:divBdr>
        <w:top w:val="none" w:sz="0" w:space="0" w:color="auto"/>
        <w:left w:val="none" w:sz="0" w:space="0" w:color="auto"/>
        <w:bottom w:val="none" w:sz="0" w:space="0" w:color="auto"/>
        <w:right w:val="none" w:sz="0" w:space="0" w:color="auto"/>
      </w:divBdr>
    </w:div>
    <w:div w:id="897477207">
      <w:bodyDiv w:val="1"/>
      <w:marLeft w:val="0"/>
      <w:marRight w:val="0"/>
      <w:marTop w:val="0"/>
      <w:marBottom w:val="0"/>
      <w:divBdr>
        <w:top w:val="none" w:sz="0" w:space="0" w:color="auto"/>
        <w:left w:val="none" w:sz="0" w:space="0" w:color="auto"/>
        <w:bottom w:val="none" w:sz="0" w:space="0" w:color="auto"/>
        <w:right w:val="none" w:sz="0" w:space="0" w:color="auto"/>
      </w:divBdr>
    </w:div>
    <w:div w:id="897940774">
      <w:bodyDiv w:val="1"/>
      <w:marLeft w:val="0"/>
      <w:marRight w:val="0"/>
      <w:marTop w:val="0"/>
      <w:marBottom w:val="0"/>
      <w:divBdr>
        <w:top w:val="none" w:sz="0" w:space="0" w:color="auto"/>
        <w:left w:val="none" w:sz="0" w:space="0" w:color="auto"/>
        <w:bottom w:val="none" w:sz="0" w:space="0" w:color="auto"/>
        <w:right w:val="none" w:sz="0" w:space="0" w:color="auto"/>
      </w:divBdr>
    </w:div>
    <w:div w:id="909536651">
      <w:bodyDiv w:val="1"/>
      <w:marLeft w:val="0"/>
      <w:marRight w:val="0"/>
      <w:marTop w:val="0"/>
      <w:marBottom w:val="0"/>
      <w:divBdr>
        <w:top w:val="none" w:sz="0" w:space="0" w:color="auto"/>
        <w:left w:val="none" w:sz="0" w:space="0" w:color="auto"/>
        <w:bottom w:val="none" w:sz="0" w:space="0" w:color="auto"/>
        <w:right w:val="none" w:sz="0" w:space="0" w:color="auto"/>
      </w:divBdr>
    </w:div>
    <w:div w:id="912817360">
      <w:bodyDiv w:val="1"/>
      <w:marLeft w:val="0"/>
      <w:marRight w:val="0"/>
      <w:marTop w:val="0"/>
      <w:marBottom w:val="0"/>
      <w:divBdr>
        <w:top w:val="none" w:sz="0" w:space="0" w:color="auto"/>
        <w:left w:val="none" w:sz="0" w:space="0" w:color="auto"/>
        <w:bottom w:val="none" w:sz="0" w:space="0" w:color="auto"/>
        <w:right w:val="none" w:sz="0" w:space="0" w:color="auto"/>
      </w:divBdr>
    </w:div>
    <w:div w:id="918833949">
      <w:bodyDiv w:val="1"/>
      <w:marLeft w:val="0"/>
      <w:marRight w:val="0"/>
      <w:marTop w:val="0"/>
      <w:marBottom w:val="0"/>
      <w:divBdr>
        <w:top w:val="none" w:sz="0" w:space="0" w:color="auto"/>
        <w:left w:val="none" w:sz="0" w:space="0" w:color="auto"/>
        <w:bottom w:val="none" w:sz="0" w:space="0" w:color="auto"/>
        <w:right w:val="none" w:sz="0" w:space="0" w:color="auto"/>
      </w:divBdr>
    </w:div>
    <w:div w:id="928659862">
      <w:bodyDiv w:val="1"/>
      <w:marLeft w:val="0"/>
      <w:marRight w:val="0"/>
      <w:marTop w:val="0"/>
      <w:marBottom w:val="0"/>
      <w:divBdr>
        <w:top w:val="none" w:sz="0" w:space="0" w:color="auto"/>
        <w:left w:val="none" w:sz="0" w:space="0" w:color="auto"/>
        <w:bottom w:val="none" w:sz="0" w:space="0" w:color="auto"/>
        <w:right w:val="none" w:sz="0" w:space="0" w:color="auto"/>
      </w:divBdr>
    </w:div>
    <w:div w:id="979110804">
      <w:bodyDiv w:val="1"/>
      <w:marLeft w:val="0"/>
      <w:marRight w:val="0"/>
      <w:marTop w:val="0"/>
      <w:marBottom w:val="0"/>
      <w:divBdr>
        <w:top w:val="none" w:sz="0" w:space="0" w:color="auto"/>
        <w:left w:val="none" w:sz="0" w:space="0" w:color="auto"/>
        <w:bottom w:val="none" w:sz="0" w:space="0" w:color="auto"/>
        <w:right w:val="none" w:sz="0" w:space="0" w:color="auto"/>
      </w:divBdr>
    </w:div>
    <w:div w:id="981079761">
      <w:bodyDiv w:val="1"/>
      <w:marLeft w:val="0"/>
      <w:marRight w:val="0"/>
      <w:marTop w:val="0"/>
      <w:marBottom w:val="0"/>
      <w:divBdr>
        <w:top w:val="none" w:sz="0" w:space="0" w:color="auto"/>
        <w:left w:val="none" w:sz="0" w:space="0" w:color="auto"/>
        <w:bottom w:val="none" w:sz="0" w:space="0" w:color="auto"/>
        <w:right w:val="none" w:sz="0" w:space="0" w:color="auto"/>
      </w:divBdr>
      <w:divsChild>
        <w:div w:id="393243083">
          <w:marLeft w:val="0"/>
          <w:marRight w:val="0"/>
          <w:marTop w:val="0"/>
          <w:marBottom w:val="0"/>
          <w:divBdr>
            <w:top w:val="none" w:sz="0" w:space="0" w:color="auto"/>
            <w:left w:val="none" w:sz="0" w:space="0" w:color="auto"/>
            <w:bottom w:val="none" w:sz="0" w:space="0" w:color="auto"/>
            <w:right w:val="none" w:sz="0" w:space="0" w:color="auto"/>
          </w:divBdr>
          <w:divsChild>
            <w:div w:id="868221632">
              <w:marLeft w:val="0"/>
              <w:marRight w:val="0"/>
              <w:marTop w:val="0"/>
              <w:marBottom w:val="0"/>
              <w:divBdr>
                <w:top w:val="none" w:sz="0" w:space="0" w:color="auto"/>
                <w:left w:val="none" w:sz="0" w:space="0" w:color="auto"/>
                <w:bottom w:val="none" w:sz="0" w:space="0" w:color="auto"/>
                <w:right w:val="none" w:sz="0" w:space="0" w:color="auto"/>
              </w:divBdr>
              <w:divsChild>
                <w:div w:id="488712867">
                  <w:marLeft w:val="0"/>
                  <w:marRight w:val="0"/>
                  <w:marTop w:val="0"/>
                  <w:marBottom w:val="0"/>
                  <w:divBdr>
                    <w:top w:val="none" w:sz="0" w:space="0" w:color="auto"/>
                    <w:left w:val="none" w:sz="0" w:space="0" w:color="auto"/>
                    <w:bottom w:val="none" w:sz="0" w:space="0" w:color="auto"/>
                    <w:right w:val="none" w:sz="0" w:space="0" w:color="auto"/>
                  </w:divBdr>
                  <w:divsChild>
                    <w:div w:id="16572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984290">
      <w:bodyDiv w:val="1"/>
      <w:marLeft w:val="0"/>
      <w:marRight w:val="0"/>
      <w:marTop w:val="0"/>
      <w:marBottom w:val="0"/>
      <w:divBdr>
        <w:top w:val="none" w:sz="0" w:space="0" w:color="auto"/>
        <w:left w:val="none" w:sz="0" w:space="0" w:color="auto"/>
        <w:bottom w:val="none" w:sz="0" w:space="0" w:color="auto"/>
        <w:right w:val="none" w:sz="0" w:space="0" w:color="auto"/>
      </w:divBdr>
    </w:div>
    <w:div w:id="996425243">
      <w:bodyDiv w:val="1"/>
      <w:marLeft w:val="0"/>
      <w:marRight w:val="0"/>
      <w:marTop w:val="0"/>
      <w:marBottom w:val="0"/>
      <w:divBdr>
        <w:top w:val="none" w:sz="0" w:space="0" w:color="auto"/>
        <w:left w:val="none" w:sz="0" w:space="0" w:color="auto"/>
        <w:bottom w:val="none" w:sz="0" w:space="0" w:color="auto"/>
        <w:right w:val="none" w:sz="0" w:space="0" w:color="auto"/>
      </w:divBdr>
    </w:div>
    <w:div w:id="999430039">
      <w:bodyDiv w:val="1"/>
      <w:marLeft w:val="0"/>
      <w:marRight w:val="0"/>
      <w:marTop w:val="0"/>
      <w:marBottom w:val="0"/>
      <w:divBdr>
        <w:top w:val="none" w:sz="0" w:space="0" w:color="auto"/>
        <w:left w:val="none" w:sz="0" w:space="0" w:color="auto"/>
        <w:bottom w:val="none" w:sz="0" w:space="0" w:color="auto"/>
        <w:right w:val="none" w:sz="0" w:space="0" w:color="auto"/>
      </w:divBdr>
    </w:div>
    <w:div w:id="1002700867">
      <w:bodyDiv w:val="1"/>
      <w:marLeft w:val="0"/>
      <w:marRight w:val="0"/>
      <w:marTop w:val="0"/>
      <w:marBottom w:val="0"/>
      <w:divBdr>
        <w:top w:val="none" w:sz="0" w:space="0" w:color="auto"/>
        <w:left w:val="none" w:sz="0" w:space="0" w:color="auto"/>
        <w:bottom w:val="none" w:sz="0" w:space="0" w:color="auto"/>
        <w:right w:val="none" w:sz="0" w:space="0" w:color="auto"/>
      </w:divBdr>
      <w:divsChild>
        <w:div w:id="1006245157">
          <w:marLeft w:val="0"/>
          <w:marRight w:val="0"/>
          <w:marTop w:val="0"/>
          <w:marBottom w:val="0"/>
          <w:divBdr>
            <w:top w:val="none" w:sz="0" w:space="0" w:color="auto"/>
            <w:left w:val="none" w:sz="0" w:space="0" w:color="auto"/>
            <w:bottom w:val="none" w:sz="0" w:space="0" w:color="auto"/>
            <w:right w:val="none" w:sz="0" w:space="0" w:color="auto"/>
          </w:divBdr>
          <w:divsChild>
            <w:div w:id="1543787374">
              <w:marLeft w:val="0"/>
              <w:marRight w:val="0"/>
              <w:marTop w:val="0"/>
              <w:marBottom w:val="0"/>
              <w:divBdr>
                <w:top w:val="none" w:sz="0" w:space="0" w:color="auto"/>
                <w:left w:val="none" w:sz="0" w:space="0" w:color="auto"/>
                <w:bottom w:val="none" w:sz="0" w:space="0" w:color="auto"/>
                <w:right w:val="none" w:sz="0" w:space="0" w:color="auto"/>
              </w:divBdr>
              <w:divsChild>
                <w:div w:id="1922179280">
                  <w:marLeft w:val="0"/>
                  <w:marRight w:val="0"/>
                  <w:marTop w:val="0"/>
                  <w:marBottom w:val="0"/>
                  <w:divBdr>
                    <w:top w:val="none" w:sz="0" w:space="0" w:color="auto"/>
                    <w:left w:val="none" w:sz="0" w:space="0" w:color="auto"/>
                    <w:bottom w:val="none" w:sz="0" w:space="0" w:color="auto"/>
                    <w:right w:val="none" w:sz="0" w:space="0" w:color="auto"/>
                  </w:divBdr>
                  <w:divsChild>
                    <w:div w:id="1967004130">
                      <w:marLeft w:val="0"/>
                      <w:marRight w:val="0"/>
                      <w:marTop w:val="0"/>
                      <w:marBottom w:val="0"/>
                      <w:divBdr>
                        <w:top w:val="none" w:sz="0" w:space="0" w:color="auto"/>
                        <w:left w:val="none" w:sz="0" w:space="0" w:color="auto"/>
                        <w:bottom w:val="none" w:sz="0" w:space="0" w:color="auto"/>
                        <w:right w:val="none" w:sz="0" w:space="0" w:color="auto"/>
                      </w:divBdr>
                      <w:divsChild>
                        <w:div w:id="121389614">
                          <w:marLeft w:val="0"/>
                          <w:marRight w:val="0"/>
                          <w:marTop w:val="0"/>
                          <w:marBottom w:val="0"/>
                          <w:divBdr>
                            <w:top w:val="none" w:sz="0" w:space="0" w:color="auto"/>
                            <w:left w:val="none" w:sz="0" w:space="0" w:color="auto"/>
                            <w:bottom w:val="none" w:sz="0" w:space="0" w:color="auto"/>
                            <w:right w:val="none" w:sz="0" w:space="0" w:color="auto"/>
                          </w:divBdr>
                          <w:divsChild>
                            <w:div w:id="1534535272">
                              <w:marLeft w:val="0"/>
                              <w:marRight w:val="0"/>
                              <w:marTop w:val="0"/>
                              <w:marBottom w:val="0"/>
                              <w:divBdr>
                                <w:top w:val="none" w:sz="0" w:space="0" w:color="auto"/>
                                <w:left w:val="none" w:sz="0" w:space="0" w:color="auto"/>
                                <w:bottom w:val="none" w:sz="0" w:space="0" w:color="auto"/>
                                <w:right w:val="none" w:sz="0" w:space="0" w:color="auto"/>
                              </w:divBdr>
                              <w:divsChild>
                                <w:div w:id="1267545811">
                                  <w:marLeft w:val="0"/>
                                  <w:marRight w:val="0"/>
                                  <w:marTop w:val="0"/>
                                  <w:marBottom w:val="0"/>
                                  <w:divBdr>
                                    <w:top w:val="none" w:sz="0" w:space="0" w:color="auto"/>
                                    <w:left w:val="none" w:sz="0" w:space="0" w:color="auto"/>
                                    <w:bottom w:val="none" w:sz="0" w:space="0" w:color="auto"/>
                                    <w:right w:val="none" w:sz="0" w:space="0" w:color="auto"/>
                                  </w:divBdr>
                                  <w:divsChild>
                                    <w:div w:id="919218101">
                                      <w:marLeft w:val="0"/>
                                      <w:marRight w:val="0"/>
                                      <w:marTop w:val="0"/>
                                      <w:marBottom w:val="0"/>
                                      <w:divBdr>
                                        <w:top w:val="none" w:sz="0" w:space="0" w:color="auto"/>
                                        <w:left w:val="none" w:sz="0" w:space="0" w:color="auto"/>
                                        <w:bottom w:val="none" w:sz="0" w:space="0" w:color="auto"/>
                                        <w:right w:val="none" w:sz="0" w:space="0" w:color="auto"/>
                                      </w:divBdr>
                                      <w:divsChild>
                                        <w:div w:id="1756317038">
                                          <w:marLeft w:val="0"/>
                                          <w:marRight w:val="0"/>
                                          <w:marTop w:val="0"/>
                                          <w:marBottom w:val="0"/>
                                          <w:divBdr>
                                            <w:top w:val="none" w:sz="0" w:space="0" w:color="auto"/>
                                            <w:left w:val="none" w:sz="0" w:space="0" w:color="auto"/>
                                            <w:bottom w:val="none" w:sz="0" w:space="0" w:color="auto"/>
                                            <w:right w:val="none" w:sz="0" w:space="0" w:color="auto"/>
                                          </w:divBdr>
                                          <w:divsChild>
                                            <w:div w:id="709764398">
                                              <w:marLeft w:val="0"/>
                                              <w:marRight w:val="0"/>
                                              <w:marTop w:val="0"/>
                                              <w:marBottom w:val="0"/>
                                              <w:divBdr>
                                                <w:top w:val="none" w:sz="0" w:space="0" w:color="auto"/>
                                                <w:left w:val="none" w:sz="0" w:space="0" w:color="auto"/>
                                                <w:bottom w:val="none" w:sz="0" w:space="0" w:color="auto"/>
                                                <w:right w:val="none" w:sz="0" w:space="0" w:color="auto"/>
                                              </w:divBdr>
                                              <w:divsChild>
                                                <w:div w:id="1812938831">
                                                  <w:marLeft w:val="0"/>
                                                  <w:marRight w:val="0"/>
                                                  <w:marTop w:val="0"/>
                                                  <w:marBottom w:val="0"/>
                                                  <w:divBdr>
                                                    <w:top w:val="none" w:sz="0" w:space="0" w:color="auto"/>
                                                    <w:left w:val="none" w:sz="0" w:space="0" w:color="auto"/>
                                                    <w:bottom w:val="none" w:sz="0" w:space="0" w:color="auto"/>
                                                    <w:right w:val="none" w:sz="0" w:space="0" w:color="auto"/>
                                                  </w:divBdr>
                                                  <w:divsChild>
                                                    <w:div w:id="1023701163">
                                                      <w:marLeft w:val="0"/>
                                                      <w:marRight w:val="0"/>
                                                      <w:marTop w:val="0"/>
                                                      <w:marBottom w:val="0"/>
                                                      <w:divBdr>
                                                        <w:top w:val="single" w:sz="12" w:space="0" w:color="ABABAB"/>
                                                        <w:left w:val="single" w:sz="6" w:space="0" w:color="ABABAB"/>
                                                        <w:bottom w:val="none" w:sz="0" w:space="0" w:color="auto"/>
                                                        <w:right w:val="single" w:sz="6" w:space="0" w:color="ABABAB"/>
                                                      </w:divBdr>
                                                      <w:divsChild>
                                                        <w:div w:id="285047488">
                                                          <w:marLeft w:val="0"/>
                                                          <w:marRight w:val="0"/>
                                                          <w:marTop w:val="0"/>
                                                          <w:marBottom w:val="0"/>
                                                          <w:divBdr>
                                                            <w:top w:val="none" w:sz="0" w:space="0" w:color="auto"/>
                                                            <w:left w:val="none" w:sz="0" w:space="0" w:color="auto"/>
                                                            <w:bottom w:val="none" w:sz="0" w:space="0" w:color="auto"/>
                                                            <w:right w:val="none" w:sz="0" w:space="0" w:color="auto"/>
                                                          </w:divBdr>
                                                          <w:divsChild>
                                                            <w:div w:id="1146436049">
                                                              <w:marLeft w:val="0"/>
                                                              <w:marRight w:val="0"/>
                                                              <w:marTop w:val="0"/>
                                                              <w:marBottom w:val="0"/>
                                                              <w:divBdr>
                                                                <w:top w:val="none" w:sz="0" w:space="0" w:color="auto"/>
                                                                <w:left w:val="none" w:sz="0" w:space="0" w:color="auto"/>
                                                                <w:bottom w:val="none" w:sz="0" w:space="0" w:color="auto"/>
                                                                <w:right w:val="none" w:sz="0" w:space="0" w:color="auto"/>
                                                              </w:divBdr>
                                                              <w:divsChild>
                                                                <w:div w:id="1900096767">
                                                                  <w:marLeft w:val="0"/>
                                                                  <w:marRight w:val="0"/>
                                                                  <w:marTop w:val="0"/>
                                                                  <w:marBottom w:val="0"/>
                                                                  <w:divBdr>
                                                                    <w:top w:val="none" w:sz="0" w:space="0" w:color="auto"/>
                                                                    <w:left w:val="none" w:sz="0" w:space="0" w:color="auto"/>
                                                                    <w:bottom w:val="none" w:sz="0" w:space="0" w:color="auto"/>
                                                                    <w:right w:val="none" w:sz="0" w:space="0" w:color="auto"/>
                                                                  </w:divBdr>
                                                                  <w:divsChild>
                                                                    <w:div w:id="866257073">
                                                                      <w:marLeft w:val="0"/>
                                                                      <w:marRight w:val="0"/>
                                                                      <w:marTop w:val="0"/>
                                                                      <w:marBottom w:val="0"/>
                                                                      <w:divBdr>
                                                                        <w:top w:val="none" w:sz="0" w:space="0" w:color="auto"/>
                                                                        <w:left w:val="none" w:sz="0" w:space="0" w:color="auto"/>
                                                                        <w:bottom w:val="none" w:sz="0" w:space="0" w:color="auto"/>
                                                                        <w:right w:val="none" w:sz="0" w:space="0" w:color="auto"/>
                                                                      </w:divBdr>
                                                                      <w:divsChild>
                                                                        <w:div w:id="600183000">
                                                                          <w:marLeft w:val="0"/>
                                                                          <w:marRight w:val="0"/>
                                                                          <w:marTop w:val="0"/>
                                                                          <w:marBottom w:val="0"/>
                                                                          <w:divBdr>
                                                                            <w:top w:val="none" w:sz="0" w:space="0" w:color="auto"/>
                                                                            <w:left w:val="none" w:sz="0" w:space="0" w:color="auto"/>
                                                                            <w:bottom w:val="none" w:sz="0" w:space="0" w:color="auto"/>
                                                                            <w:right w:val="none" w:sz="0" w:space="0" w:color="auto"/>
                                                                          </w:divBdr>
                                                                          <w:divsChild>
                                                                            <w:div w:id="24914264">
                                                                              <w:marLeft w:val="0"/>
                                                                              <w:marRight w:val="0"/>
                                                                              <w:marTop w:val="0"/>
                                                                              <w:marBottom w:val="0"/>
                                                                              <w:divBdr>
                                                                                <w:top w:val="none" w:sz="0" w:space="0" w:color="auto"/>
                                                                                <w:left w:val="none" w:sz="0" w:space="0" w:color="auto"/>
                                                                                <w:bottom w:val="none" w:sz="0" w:space="0" w:color="auto"/>
                                                                                <w:right w:val="none" w:sz="0" w:space="0" w:color="auto"/>
                                                                              </w:divBdr>
                                                                              <w:divsChild>
                                                                                <w:div w:id="187447063">
                                                                                  <w:marLeft w:val="0"/>
                                                                                  <w:marRight w:val="0"/>
                                                                                  <w:marTop w:val="0"/>
                                                                                  <w:marBottom w:val="0"/>
                                                                                  <w:divBdr>
                                                                                    <w:top w:val="none" w:sz="0" w:space="0" w:color="auto"/>
                                                                                    <w:left w:val="none" w:sz="0" w:space="0" w:color="auto"/>
                                                                                    <w:bottom w:val="none" w:sz="0" w:space="0" w:color="auto"/>
                                                                                    <w:right w:val="none" w:sz="0" w:space="0" w:color="auto"/>
                                                                                  </w:divBdr>
                                                                                </w:div>
                                                                                <w:div w:id="710694228">
                                                                                  <w:marLeft w:val="0"/>
                                                                                  <w:marRight w:val="0"/>
                                                                                  <w:marTop w:val="0"/>
                                                                                  <w:marBottom w:val="0"/>
                                                                                  <w:divBdr>
                                                                                    <w:top w:val="none" w:sz="0" w:space="0" w:color="auto"/>
                                                                                    <w:left w:val="none" w:sz="0" w:space="0" w:color="auto"/>
                                                                                    <w:bottom w:val="none" w:sz="0" w:space="0" w:color="auto"/>
                                                                                    <w:right w:val="none" w:sz="0" w:space="0" w:color="auto"/>
                                                                                  </w:divBdr>
                                                                                </w:div>
                                                                                <w:div w:id="913005426">
                                                                                  <w:marLeft w:val="0"/>
                                                                                  <w:marRight w:val="0"/>
                                                                                  <w:marTop w:val="0"/>
                                                                                  <w:marBottom w:val="0"/>
                                                                                  <w:divBdr>
                                                                                    <w:top w:val="none" w:sz="0" w:space="0" w:color="auto"/>
                                                                                    <w:left w:val="none" w:sz="0" w:space="0" w:color="auto"/>
                                                                                    <w:bottom w:val="none" w:sz="0" w:space="0" w:color="auto"/>
                                                                                    <w:right w:val="none" w:sz="0" w:space="0" w:color="auto"/>
                                                                                  </w:divBdr>
                                                                                </w:div>
                                                                                <w:div w:id="957638424">
                                                                                  <w:marLeft w:val="0"/>
                                                                                  <w:marRight w:val="0"/>
                                                                                  <w:marTop w:val="0"/>
                                                                                  <w:marBottom w:val="0"/>
                                                                                  <w:divBdr>
                                                                                    <w:top w:val="none" w:sz="0" w:space="0" w:color="auto"/>
                                                                                    <w:left w:val="none" w:sz="0" w:space="0" w:color="auto"/>
                                                                                    <w:bottom w:val="none" w:sz="0" w:space="0" w:color="auto"/>
                                                                                    <w:right w:val="none" w:sz="0" w:space="0" w:color="auto"/>
                                                                                  </w:divBdr>
                                                                                </w:div>
                                                                                <w:div w:id="1123890865">
                                                                                  <w:marLeft w:val="0"/>
                                                                                  <w:marRight w:val="0"/>
                                                                                  <w:marTop w:val="0"/>
                                                                                  <w:marBottom w:val="0"/>
                                                                                  <w:divBdr>
                                                                                    <w:top w:val="none" w:sz="0" w:space="0" w:color="auto"/>
                                                                                    <w:left w:val="none" w:sz="0" w:space="0" w:color="auto"/>
                                                                                    <w:bottom w:val="none" w:sz="0" w:space="0" w:color="auto"/>
                                                                                    <w:right w:val="none" w:sz="0" w:space="0" w:color="auto"/>
                                                                                  </w:divBdr>
                                                                                </w:div>
                                                                                <w:div w:id="11702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0157091">
      <w:bodyDiv w:val="1"/>
      <w:marLeft w:val="0"/>
      <w:marRight w:val="0"/>
      <w:marTop w:val="0"/>
      <w:marBottom w:val="0"/>
      <w:divBdr>
        <w:top w:val="none" w:sz="0" w:space="0" w:color="auto"/>
        <w:left w:val="none" w:sz="0" w:space="0" w:color="auto"/>
        <w:bottom w:val="none" w:sz="0" w:space="0" w:color="auto"/>
        <w:right w:val="none" w:sz="0" w:space="0" w:color="auto"/>
      </w:divBdr>
    </w:div>
    <w:div w:id="1031221051">
      <w:bodyDiv w:val="1"/>
      <w:marLeft w:val="0"/>
      <w:marRight w:val="0"/>
      <w:marTop w:val="0"/>
      <w:marBottom w:val="0"/>
      <w:divBdr>
        <w:top w:val="none" w:sz="0" w:space="0" w:color="auto"/>
        <w:left w:val="none" w:sz="0" w:space="0" w:color="auto"/>
        <w:bottom w:val="none" w:sz="0" w:space="0" w:color="auto"/>
        <w:right w:val="none" w:sz="0" w:space="0" w:color="auto"/>
      </w:divBdr>
      <w:divsChild>
        <w:div w:id="97337710">
          <w:marLeft w:val="0"/>
          <w:marRight w:val="0"/>
          <w:marTop w:val="0"/>
          <w:marBottom w:val="0"/>
          <w:divBdr>
            <w:top w:val="none" w:sz="0" w:space="0" w:color="auto"/>
            <w:left w:val="none" w:sz="0" w:space="0" w:color="auto"/>
            <w:bottom w:val="none" w:sz="0" w:space="0" w:color="auto"/>
            <w:right w:val="none" w:sz="0" w:space="0" w:color="auto"/>
          </w:divBdr>
        </w:div>
      </w:divsChild>
    </w:div>
    <w:div w:id="1035427166">
      <w:bodyDiv w:val="1"/>
      <w:marLeft w:val="0"/>
      <w:marRight w:val="0"/>
      <w:marTop w:val="0"/>
      <w:marBottom w:val="0"/>
      <w:divBdr>
        <w:top w:val="none" w:sz="0" w:space="0" w:color="auto"/>
        <w:left w:val="none" w:sz="0" w:space="0" w:color="auto"/>
        <w:bottom w:val="none" w:sz="0" w:space="0" w:color="auto"/>
        <w:right w:val="none" w:sz="0" w:space="0" w:color="auto"/>
      </w:divBdr>
    </w:div>
    <w:div w:id="1040395038">
      <w:bodyDiv w:val="1"/>
      <w:marLeft w:val="0"/>
      <w:marRight w:val="0"/>
      <w:marTop w:val="0"/>
      <w:marBottom w:val="0"/>
      <w:divBdr>
        <w:top w:val="none" w:sz="0" w:space="0" w:color="auto"/>
        <w:left w:val="none" w:sz="0" w:space="0" w:color="auto"/>
        <w:bottom w:val="none" w:sz="0" w:space="0" w:color="auto"/>
        <w:right w:val="none" w:sz="0" w:space="0" w:color="auto"/>
      </w:divBdr>
    </w:div>
    <w:div w:id="1071587667">
      <w:bodyDiv w:val="1"/>
      <w:marLeft w:val="0"/>
      <w:marRight w:val="0"/>
      <w:marTop w:val="0"/>
      <w:marBottom w:val="0"/>
      <w:divBdr>
        <w:top w:val="none" w:sz="0" w:space="0" w:color="auto"/>
        <w:left w:val="none" w:sz="0" w:space="0" w:color="auto"/>
        <w:bottom w:val="none" w:sz="0" w:space="0" w:color="auto"/>
        <w:right w:val="none" w:sz="0" w:space="0" w:color="auto"/>
      </w:divBdr>
      <w:divsChild>
        <w:div w:id="1560167564">
          <w:marLeft w:val="0"/>
          <w:marRight w:val="0"/>
          <w:marTop w:val="0"/>
          <w:marBottom w:val="0"/>
          <w:divBdr>
            <w:top w:val="none" w:sz="0" w:space="0" w:color="auto"/>
            <w:left w:val="none" w:sz="0" w:space="0" w:color="auto"/>
            <w:bottom w:val="none" w:sz="0" w:space="0" w:color="auto"/>
            <w:right w:val="none" w:sz="0" w:space="0" w:color="auto"/>
          </w:divBdr>
          <w:divsChild>
            <w:div w:id="907885201">
              <w:marLeft w:val="0"/>
              <w:marRight w:val="0"/>
              <w:marTop w:val="0"/>
              <w:marBottom w:val="0"/>
              <w:divBdr>
                <w:top w:val="none" w:sz="0" w:space="0" w:color="auto"/>
                <w:left w:val="none" w:sz="0" w:space="0" w:color="auto"/>
                <w:bottom w:val="none" w:sz="0" w:space="0" w:color="auto"/>
                <w:right w:val="none" w:sz="0" w:space="0" w:color="auto"/>
              </w:divBdr>
              <w:divsChild>
                <w:div w:id="209460991">
                  <w:marLeft w:val="0"/>
                  <w:marRight w:val="0"/>
                  <w:marTop w:val="0"/>
                  <w:marBottom w:val="0"/>
                  <w:divBdr>
                    <w:top w:val="none" w:sz="0" w:space="0" w:color="auto"/>
                    <w:left w:val="none" w:sz="0" w:space="0" w:color="auto"/>
                    <w:bottom w:val="none" w:sz="0" w:space="0" w:color="auto"/>
                    <w:right w:val="none" w:sz="0" w:space="0" w:color="auto"/>
                  </w:divBdr>
                  <w:divsChild>
                    <w:div w:id="947274960">
                      <w:marLeft w:val="2325"/>
                      <w:marRight w:val="0"/>
                      <w:marTop w:val="0"/>
                      <w:marBottom w:val="0"/>
                      <w:divBdr>
                        <w:top w:val="none" w:sz="0" w:space="0" w:color="auto"/>
                        <w:left w:val="none" w:sz="0" w:space="0" w:color="auto"/>
                        <w:bottom w:val="none" w:sz="0" w:space="0" w:color="auto"/>
                        <w:right w:val="none" w:sz="0" w:space="0" w:color="auto"/>
                      </w:divBdr>
                      <w:divsChild>
                        <w:div w:id="817458478">
                          <w:marLeft w:val="0"/>
                          <w:marRight w:val="0"/>
                          <w:marTop w:val="0"/>
                          <w:marBottom w:val="0"/>
                          <w:divBdr>
                            <w:top w:val="none" w:sz="0" w:space="0" w:color="auto"/>
                            <w:left w:val="none" w:sz="0" w:space="0" w:color="auto"/>
                            <w:bottom w:val="none" w:sz="0" w:space="0" w:color="auto"/>
                            <w:right w:val="none" w:sz="0" w:space="0" w:color="auto"/>
                          </w:divBdr>
                          <w:divsChild>
                            <w:div w:id="1681274665">
                              <w:marLeft w:val="0"/>
                              <w:marRight w:val="0"/>
                              <w:marTop w:val="0"/>
                              <w:marBottom w:val="0"/>
                              <w:divBdr>
                                <w:top w:val="none" w:sz="0" w:space="0" w:color="auto"/>
                                <w:left w:val="none" w:sz="0" w:space="0" w:color="auto"/>
                                <w:bottom w:val="none" w:sz="0" w:space="0" w:color="auto"/>
                                <w:right w:val="none" w:sz="0" w:space="0" w:color="auto"/>
                              </w:divBdr>
                              <w:divsChild>
                                <w:div w:id="1587571539">
                                  <w:marLeft w:val="0"/>
                                  <w:marRight w:val="0"/>
                                  <w:marTop w:val="0"/>
                                  <w:marBottom w:val="0"/>
                                  <w:divBdr>
                                    <w:top w:val="none" w:sz="0" w:space="0" w:color="auto"/>
                                    <w:left w:val="none" w:sz="0" w:space="0" w:color="auto"/>
                                    <w:bottom w:val="none" w:sz="0" w:space="0" w:color="auto"/>
                                    <w:right w:val="none" w:sz="0" w:space="0" w:color="auto"/>
                                  </w:divBdr>
                                  <w:divsChild>
                                    <w:div w:id="88964706">
                                      <w:marLeft w:val="0"/>
                                      <w:marRight w:val="0"/>
                                      <w:marTop w:val="0"/>
                                      <w:marBottom w:val="0"/>
                                      <w:divBdr>
                                        <w:top w:val="none" w:sz="0" w:space="0" w:color="auto"/>
                                        <w:left w:val="none" w:sz="0" w:space="0" w:color="auto"/>
                                        <w:bottom w:val="none" w:sz="0" w:space="0" w:color="auto"/>
                                        <w:right w:val="none" w:sz="0" w:space="0" w:color="auto"/>
                                      </w:divBdr>
                                      <w:divsChild>
                                        <w:div w:id="2071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054307">
      <w:bodyDiv w:val="1"/>
      <w:marLeft w:val="0"/>
      <w:marRight w:val="0"/>
      <w:marTop w:val="0"/>
      <w:marBottom w:val="0"/>
      <w:divBdr>
        <w:top w:val="none" w:sz="0" w:space="0" w:color="auto"/>
        <w:left w:val="none" w:sz="0" w:space="0" w:color="auto"/>
        <w:bottom w:val="none" w:sz="0" w:space="0" w:color="auto"/>
        <w:right w:val="none" w:sz="0" w:space="0" w:color="auto"/>
      </w:divBdr>
    </w:div>
    <w:div w:id="1085111432">
      <w:bodyDiv w:val="1"/>
      <w:marLeft w:val="0"/>
      <w:marRight w:val="0"/>
      <w:marTop w:val="0"/>
      <w:marBottom w:val="0"/>
      <w:divBdr>
        <w:top w:val="none" w:sz="0" w:space="0" w:color="auto"/>
        <w:left w:val="none" w:sz="0" w:space="0" w:color="auto"/>
        <w:bottom w:val="none" w:sz="0" w:space="0" w:color="auto"/>
        <w:right w:val="none" w:sz="0" w:space="0" w:color="auto"/>
      </w:divBdr>
    </w:div>
    <w:div w:id="1109547158">
      <w:bodyDiv w:val="1"/>
      <w:marLeft w:val="0"/>
      <w:marRight w:val="0"/>
      <w:marTop w:val="0"/>
      <w:marBottom w:val="0"/>
      <w:divBdr>
        <w:top w:val="none" w:sz="0" w:space="0" w:color="auto"/>
        <w:left w:val="none" w:sz="0" w:space="0" w:color="auto"/>
        <w:bottom w:val="none" w:sz="0" w:space="0" w:color="auto"/>
        <w:right w:val="none" w:sz="0" w:space="0" w:color="auto"/>
      </w:divBdr>
    </w:div>
    <w:div w:id="1133062929">
      <w:bodyDiv w:val="1"/>
      <w:marLeft w:val="0"/>
      <w:marRight w:val="0"/>
      <w:marTop w:val="0"/>
      <w:marBottom w:val="0"/>
      <w:divBdr>
        <w:top w:val="none" w:sz="0" w:space="0" w:color="auto"/>
        <w:left w:val="none" w:sz="0" w:space="0" w:color="auto"/>
        <w:bottom w:val="none" w:sz="0" w:space="0" w:color="auto"/>
        <w:right w:val="none" w:sz="0" w:space="0" w:color="auto"/>
      </w:divBdr>
    </w:div>
    <w:div w:id="1160996736">
      <w:bodyDiv w:val="1"/>
      <w:marLeft w:val="0"/>
      <w:marRight w:val="0"/>
      <w:marTop w:val="0"/>
      <w:marBottom w:val="0"/>
      <w:divBdr>
        <w:top w:val="none" w:sz="0" w:space="0" w:color="auto"/>
        <w:left w:val="none" w:sz="0" w:space="0" w:color="auto"/>
        <w:bottom w:val="none" w:sz="0" w:space="0" w:color="auto"/>
        <w:right w:val="none" w:sz="0" w:space="0" w:color="auto"/>
      </w:divBdr>
      <w:divsChild>
        <w:div w:id="2102532046">
          <w:marLeft w:val="0"/>
          <w:marRight w:val="0"/>
          <w:marTop w:val="0"/>
          <w:marBottom w:val="0"/>
          <w:divBdr>
            <w:top w:val="none" w:sz="0" w:space="0" w:color="auto"/>
            <w:left w:val="none" w:sz="0" w:space="0" w:color="auto"/>
            <w:bottom w:val="none" w:sz="0" w:space="0" w:color="auto"/>
            <w:right w:val="none" w:sz="0" w:space="0" w:color="auto"/>
          </w:divBdr>
          <w:divsChild>
            <w:div w:id="310140644">
              <w:marLeft w:val="0"/>
              <w:marRight w:val="0"/>
              <w:marTop w:val="0"/>
              <w:marBottom w:val="0"/>
              <w:divBdr>
                <w:top w:val="none" w:sz="0" w:space="0" w:color="auto"/>
                <w:left w:val="none" w:sz="0" w:space="0" w:color="auto"/>
                <w:bottom w:val="none" w:sz="0" w:space="0" w:color="auto"/>
                <w:right w:val="none" w:sz="0" w:space="0" w:color="auto"/>
              </w:divBdr>
              <w:divsChild>
                <w:div w:id="1561480575">
                  <w:marLeft w:val="0"/>
                  <w:marRight w:val="0"/>
                  <w:marTop w:val="0"/>
                  <w:marBottom w:val="0"/>
                  <w:divBdr>
                    <w:top w:val="none" w:sz="0" w:space="0" w:color="auto"/>
                    <w:left w:val="none" w:sz="0" w:space="0" w:color="auto"/>
                    <w:bottom w:val="none" w:sz="0" w:space="0" w:color="auto"/>
                    <w:right w:val="none" w:sz="0" w:space="0" w:color="auto"/>
                  </w:divBdr>
                  <w:divsChild>
                    <w:div w:id="1231650340">
                      <w:marLeft w:val="0"/>
                      <w:marRight w:val="0"/>
                      <w:marTop w:val="0"/>
                      <w:marBottom w:val="0"/>
                      <w:divBdr>
                        <w:top w:val="none" w:sz="0" w:space="0" w:color="auto"/>
                        <w:left w:val="none" w:sz="0" w:space="0" w:color="auto"/>
                        <w:bottom w:val="none" w:sz="0" w:space="0" w:color="auto"/>
                        <w:right w:val="none" w:sz="0" w:space="0" w:color="auto"/>
                      </w:divBdr>
                      <w:divsChild>
                        <w:div w:id="741679462">
                          <w:marLeft w:val="0"/>
                          <w:marRight w:val="0"/>
                          <w:marTop w:val="0"/>
                          <w:marBottom w:val="0"/>
                          <w:divBdr>
                            <w:top w:val="none" w:sz="0" w:space="0" w:color="auto"/>
                            <w:left w:val="none" w:sz="0" w:space="0" w:color="auto"/>
                            <w:bottom w:val="none" w:sz="0" w:space="0" w:color="auto"/>
                            <w:right w:val="none" w:sz="0" w:space="0" w:color="auto"/>
                          </w:divBdr>
                          <w:divsChild>
                            <w:div w:id="688802158">
                              <w:marLeft w:val="0"/>
                              <w:marRight w:val="0"/>
                              <w:marTop w:val="0"/>
                              <w:marBottom w:val="0"/>
                              <w:divBdr>
                                <w:top w:val="none" w:sz="0" w:space="0" w:color="auto"/>
                                <w:left w:val="none" w:sz="0" w:space="0" w:color="auto"/>
                                <w:bottom w:val="none" w:sz="0" w:space="0" w:color="auto"/>
                                <w:right w:val="none" w:sz="0" w:space="0" w:color="auto"/>
                              </w:divBdr>
                              <w:divsChild>
                                <w:div w:id="198469767">
                                  <w:marLeft w:val="0"/>
                                  <w:marRight w:val="0"/>
                                  <w:marTop w:val="0"/>
                                  <w:marBottom w:val="0"/>
                                  <w:divBdr>
                                    <w:top w:val="none" w:sz="0" w:space="0" w:color="auto"/>
                                    <w:left w:val="none" w:sz="0" w:space="0" w:color="auto"/>
                                    <w:bottom w:val="none" w:sz="0" w:space="0" w:color="auto"/>
                                    <w:right w:val="none" w:sz="0" w:space="0" w:color="auto"/>
                                  </w:divBdr>
                                  <w:divsChild>
                                    <w:div w:id="1696924586">
                                      <w:marLeft w:val="0"/>
                                      <w:marRight w:val="0"/>
                                      <w:marTop w:val="0"/>
                                      <w:marBottom w:val="0"/>
                                      <w:divBdr>
                                        <w:top w:val="none" w:sz="0" w:space="0" w:color="auto"/>
                                        <w:left w:val="none" w:sz="0" w:space="0" w:color="auto"/>
                                        <w:bottom w:val="none" w:sz="0" w:space="0" w:color="auto"/>
                                        <w:right w:val="none" w:sz="0" w:space="0" w:color="auto"/>
                                      </w:divBdr>
                                      <w:divsChild>
                                        <w:div w:id="946237087">
                                          <w:marLeft w:val="0"/>
                                          <w:marRight w:val="0"/>
                                          <w:marTop w:val="0"/>
                                          <w:marBottom w:val="0"/>
                                          <w:divBdr>
                                            <w:top w:val="none" w:sz="0" w:space="0" w:color="auto"/>
                                            <w:left w:val="none" w:sz="0" w:space="0" w:color="auto"/>
                                            <w:bottom w:val="none" w:sz="0" w:space="0" w:color="auto"/>
                                            <w:right w:val="none" w:sz="0" w:space="0" w:color="auto"/>
                                          </w:divBdr>
                                          <w:divsChild>
                                            <w:div w:id="1945183583">
                                              <w:marLeft w:val="0"/>
                                              <w:marRight w:val="0"/>
                                              <w:marTop w:val="0"/>
                                              <w:marBottom w:val="0"/>
                                              <w:divBdr>
                                                <w:top w:val="none" w:sz="0" w:space="0" w:color="auto"/>
                                                <w:left w:val="none" w:sz="0" w:space="0" w:color="auto"/>
                                                <w:bottom w:val="none" w:sz="0" w:space="0" w:color="auto"/>
                                                <w:right w:val="none" w:sz="0" w:space="0" w:color="auto"/>
                                              </w:divBdr>
                                              <w:divsChild>
                                                <w:div w:id="889153980">
                                                  <w:marLeft w:val="0"/>
                                                  <w:marRight w:val="0"/>
                                                  <w:marTop w:val="0"/>
                                                  <w:marBottom w:val="0"/>
                                                  <w:divBdr>
                                                    <w:top w:val="none" w:sz="0" w:space="0" w:color="auto"/>
                                                    <w:left w:val="none" w:sz="0" w:space="0" w:color="auto"/>
                                                    <w:bottom w:val="none" w:sz="0" w:space="0" w:color="auto"/>
                                                    <w:right w:val="none" w:sz="0" w:space="0" w:color="auto"/>
                                                  </w:divBdr>
                                                  <w:divsChild>
                                                    <w:div w:id="1346590450">
                                                      <w:marLeft w:val="0"/>
                                                      <w:marRight w:val="0"/>
                                                      <w:marTop w:val="0"/>
                                                      <w:marBottom w:val="0"/>
                                                      <w:divBdr>
                                                        <w:top w:val="single" w:sz="12" w:space="0" w:color="ABABAB"/>
                                                        <w:left w:val="single" w:sz="6" w:space="0" w:color="ABABAB"/>
                                                        <w:bottom w:val="none" w:sz="0" w:space="0" w:color="auto"/>
                                                        <w:right w:val="single" w:sz="6" w:space="0" w:color="ABABAB"/>
                                                      </w:divBdr>
                                                      <w:divsChild>
                                                        <w:div w:id="2133211616">
                                                          <w:marLeft w:val="0"/>
                                                          <w:marRight w:val="0"/>
                                                          <w:marTop w:val="0"/>
                                                          <w:marBottom w:val="0"/>
                                                          <w:divBdr>
                                                            <w:top w:val="none" w:sz="0" w:space="0" w:color="auto"/>
                                                            <w:left w:val="none" w:sz="0" w:space="0" w:color="auto"/>
                                                            <w:bottom w:val="none" w:sz="0" w:space="0" w:color="auto"/>
                                                            <w:right w:val="none" w:sz="0" w:space="0" w:color="auto"/>
                                                          </w:divBdr>
                                                          <w:divsChild>
                                                            <w:div w:id="1300646083">
                                                              <w:marLeft w:val="0"/>
                                                              <w:marRight w:val="0"/>
                                                              <w:marTop w:val="0"/>
                                                              <w:marBottom w:val="0"/>
                                                              <w:divBdr>
                                                                <w:top w:val="none" w:sz="0" w:space="0" w:color="auto"/>
                                                                <w:left w:val="none" w:sz="0" w:space="0" w:color="auto"/>
                                                                <w:bottom w:val="none" w:sz="0" w:space="0" w:color="auto"/>
                                                                <w:right w:val="none" w:sz="0" w:space="0" w:color="auto"/>
                                                              </w:divBdr>
                                                              <w:divsChild>
                                                                <w:div w:id="797337656">
                                                                  <w:marLeft w:val="0"/>
                                                                  <w:marRight w:val="0"/>
                                                                  <w:marTop w:val="0"/>
                                                                  <w:marBottom w:val="0"/>
                                                                  <w:divBdr>
                                                                    <w:top w:val="none" w:sz="0" w:space="0" w:color="auto"/>
                                                                    <w:left w:val="none" w:sz="0" w:space="0" w:color="auto"/>
                                                                    <w:bottom w:val="none" w:sz="0" w:space="0" w:color="auto"/>
                                                                    <w:right w:val="none" w:sz="0" w:space="0" w:color="auto"/>
                                                                  </w:divBdr>
                                                                  <w:divsChild>
                                                                    <w:div w:id="1807427978">
                                                                      <w:marLeft w:val="0"/>
                                                                      <w:marRight w:val="0"/>
                                                                      <w:marTop w:val="0"/>
                                                                      <w:marBottom w:val="0"/>
                                                                      <w:divBdr>
                                                                        <w:top w:val="none" w:sz="0" w:space="0" w:color="auto"/>
                                                                        <w:left w:val="none" w:sz="0" w:space="0" w:color="auto"/>
                                                                        <w:bottom w:val="none" w:sz="0" w:space="0" w:color="auto"/>
                                                                        <w:right w:val="none" w:sz="0" w:space="0" w:color="auto"/>
                                                                      </w:divBdr>
                                                                      <w:divsChild>
                                                                        <w:div w:id="807476018">
                                                                          <w:marLeft w:val="0"/>
                                                                          <w:marRight w:val="0"/>
                                                                          <w:marTop w:val="0"/>
                                                                          <w:marBottom w:val="0"/>
                                                                          <w:divBdr>
                                                                            <w:top w:val="none" w:sz="0" w:space="0" w:color="auto"/>
                                                                            <w:left w:val="none" w:sz="0" w:space="0" w:color="auto"/>
                                                                            <w:bottom w:val="none" w:sz="0" w:space="0" w:color="auto"/>
                                                                            <w:right w:val="none" w:sz="0" w:space="0" w:color="auto"/>
                                                                          </w:divBdr>
                                                                          <w:divsChild>
                                                                            <w:div w:id="25833183">
                                                                              <w:marLeft w:val="0"/>
                                                                              <w:marRight w:val="0"/>
                                                                              <w:marTop w:val="0"/>
                                                                              <w:marBottom w:val="0"/>
                                                                              <w:divBdr>
                                                                                <w:top w:val="none" w:sz="0" w:space="0" w:color="auto"/>
                                                                                <w:left w:val="none" w:sz="0" w:space="0" w:color="auto"/>
                                                                                <w:bottom w:val="none" w:sz="0" w:space="0" w:color="auto"/>
                                                                                <w:right w:val="none" w:sz="0" w:space="0" w:color="auto"/>
                                                                              </w:divBdr>
                                                                              <w:divsChild>
                                                                                <w:div w:id="1212232293">
                                                                                  <w:marLeft w:val="0"/>
                                                                                  <w:marRight w:val="0"/>
                                                                                  <w:marTop w:val="0"/>
                                                                                  <w:marBottom w:val="0"/>
                                                                                  <w:divBdr>
                                                                                    <w:top w:val="none" w:sz="0" w:space="0" w:color="auto"/>
                                                                                    <w:left w:val="none" w:sz="0" w:space="0" w:color="auto"/>
                                                                                    <w:bottom w:val="none" w:sz="0" w:space="0" w:color="auto"/>
                                                                                    <w:right w:val="none" w:sz="0" w:space="0" w:color="auto"/>
                                                                                  </w:divBdr>
                                                                                </w:div>
                                                                                <w:div w:id="1221743145">
                                                                                  <w:marLeft w:val="0"/>
                                                                                  <w:marRight w:val="0"/>
                                                                                  <w:marTop w:val="0"/>
                                                                                  <w:marBottom w:val="0"/>
                                                                                  <w:divBdr>
                                                                                    <w:top w:val="none" w:sz="0" w:space="0" w:color="auto"/>
                                                                                    <w:left w:val="none" w:sz="0" w:space="0" w:color="auto"/>
                                                                                    <w:bottom w:val="none" w:sz="0" w:space="0" w:color="auto"/>
                                                                                    <w:right w:val="none" w:sz="0" w:space="0" w:color="auto"/>
                                                                                  </w:divBdr>
                                                                                </w:div>
                                                                                <w:div w:id="1228222699">
                                                                                  <w:marLeft w:val="0"/>
                                                                                  <w:marRight w:val="0"/>
                                                                                  <w:marTop w:val="0"/>
                                                                                  <w:marBottom w:val="0"/>
                                                                                  <w:divBdr>
                                                                                    <w:top w:val="none" w:sz="0" w:space="0" w:color="auto"/>
                                                                                    <w:left w:val="none" w:sz="0" w:space="0" w:color="auto"/>
                                                                                    <w:bottom w:val="none" w:sz="0" w:space="0" w:color="auto"/>
                                                                                    <w:right w:val="none" w:sz="0" w:space="0" w:color="auto"/>
                                                                                  </w:divBdr>
                                                                                </w:div>
                                                                                <w:div w:id="16297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2792048">
      <w:bodyDiv w:val="1"/>
      <w:marLeft w:val="0"/>
      <w:marRight w:val="0"/>
      <w:marTop w:val="0"/>
      <w:marBottom w:val="0"/>
      <w:divBdr>
        <w:top w:val="none" w:sz="0" w:space="0" w:color="auto"/>
        <w:left w:val="none" w:sz="0" w:space="0" w:color="auto"/>
        <w:bottom w:val="none" w:sz="0" w:space="0" w:color="auto"/>
        <w:right w:val="none" w:sz="0" w:space="0" w:color="auto"/>
      </w:divBdr>
    </w:div>
    <w:div w:id="1193030393">
      <w:bodyDiv w:val="1"/>
      <w:marLeft w:val="0"/>
      <w:marRight w:val="0"/>
      <w:marTop w:val="0"/>
      <w:marBottom w:val="0"/>
      <w:divBdr>
        <w:top w:val="none" w:sz="0" w:space="0" w:color="auto"/>
        <w:left w:val="none" w:sz="0" w:space="0" w:color="auto"/>
        <w:bottom w:val="none" w:sz="0" w:space="0" w:color="auto"/>
        <w:right w:val="none" w:sz="0" w:space="0" w:color="auto"/>
      </w:divBdr>
    </w:div>
    <w:div w:id="1195773699">
      <w:bodyDiv w:val="1"/>
      <w:marLeft w:val="0"/>
      <w:marRight w:val="0"/>
      <w:marTop w:val="0"/>
      <w:marBottom w:val="0"/>
      <w:divBdr>
        <w:top w:val="none" w:sz="0" w:space="0" w:color="auto"/>
        <w:left w:val="none" w:sz="0" w:space="0" w:color="auto"/>
        <w:bottom w:val="none" w:sz="0" w:space="0" w:color="auto"/>
        <w:right w:val="none" w:sz="0" w:space="0" w:color="auto"/>
      </w:divBdr>
    </w:div>
    <w:div w:id="1211309324">
      <w:bodyDiv w:val="1"/>
      <w:marLeft w:val="0"/>
      <w:marRight w:val="0"/>
      <w:marTop w:val="0"/>
      <w:marBottom w:val="0"/>
      <w:divBdr>
        <w:top w:val="none" w:sz="0" w:space="0" w:color="auto"/>
        <w:left w:val="none" w:sz="0" w:space="0" w:color="auto"/>
        <w:bottom w:val="none" w:sz="0" w:space="0" w:color="auto"/>
        <w:right w:val="none" w:sz="0" w:space="0" w:color="auto"/>
      </w:divBdr>
    </w:div>
    <w:div w:id="1269118810">
      <w:bodyDiv w:val="1"/>
      <w:marLeft w:val="0"/>
      <w:marRight w:val="0"/>
      <w:marTop w:val="0"/>
      <w:marBottom w:val="0"/>
      <w:divBdr>
        <w:top w:val="none" w:sz="0" w:space="0" w:color="auto"/>
        <w:left w:val="none" w:sz="0" w:space="0" w:color="auto"/>
        <w:bottom w:val="none" w:sz="0" w:space="0" w:color="auto"/>
        <w:right w:val="none" w:sz="0" w:space="0" w:color="auto"/>
      </w:divBdr>
      <w:divsChild>
        <w:div w:id="1742602969">
          <w:marLeft w:val="0"/>
          <w:marRight w:val="0"/>
          <w:marTop w:val="0"/>
          <w:marBottom w:val="0"/>
          <w:divBdr>
            <w:top w:val="none" w:sz="0" w:space="0" w:color="auto"/>
            <w:left w:val="none" w:sz="0" w:space="0" w:color="auto"/>
            <w:bottom w:val="none" w:sz="0" w:space="0" w:color="auto"/>
            <w:right w:val="none" w:sz="0" w:space="0" w:color="auto"/>
          </w:divBdr>
          <w:divsChild>
            <w:div w:id="1237012191">
              <w:marLeft w:val="0"/>
              <w:marRight w:val="0"/>
              <w:marTop w:val="0"/>
              <w:marBottom w:val="0"/>
              <w:divBdr>
                <w:top w:val="none" w:sz="0" w:space="0" w:color="auto"/>
                <w:left w:val="none" w:sz="0" w:space="0" w:color="auto"/>
                <w:bottom w:val="none" w:sz="0" w:space="0" w:color="auto"/>
                <w:right w:val="none" w:sz="0" w:space="0" w:color="auto"/>
              </w:divBdr>
              <w:divsChild>
                <w:div w:id="464348839">
                  <w:marLeft w:val="0"/>
                  <w:marRight w:val="0"/>
                  <w:marTop w:val="0"/>
                  <w:marBottom w:val="0"/>
                  <w:divBdr>
                    <w:top w:val="none" w:sz="0" w:space="0" w:color="auto"/>
                    <w:left w:val="none" w:sz="0" w:space="0" w:color="auto"/>
                    <w:bottom w:val="none" w:sz="0" w:space="0" w:color="auto"/>
                    <w:right w:val="none" w:sz="0" w:space="0" w:color="auto"/>
                  </w:divBdr>
                  <w:divsChild>
                    <w:div w:id="8526307">
                      <w:marLeft w:val="0"/>
                      <w:marRight w:val="0"/>
                      <w:marTop w:val="0"/>
                      <w:marBottom w:val="0"/>
                      <w:divBdr>
                        <w:top w:val="none" w:sz="0" w:space="0" w:color="auto"/>
                        <w:left w:val="none" w:sz="0" w:space="0" w:color="auto"/>
                        <w:bottom w:val="none" w:sz="0" w:space="0" w:color="auto"/>
                        <w:right w:val="none" w:sz="0" w:space="0" w:color="auto"/>
                      </w:divBdr>
                      <w:divsChild>
                        <w:div w:id="242839847">
                          <w:marLeft w:val="0"/>
                          <w:marRight w:val="0"/>
                          <w:marTop w:val="0"/>
                          <w:marBottom w:val="0"/>
                          <w:divBdr>
                            <w:top w:val="none" w:sz="0" w:space="0" w:color="auto"/>
                            <w:left w:val="none" w:sz="0" w:space="0" w:color="auto"/>
                            <w:bottom w:val="none" w:sz="0" w:space="0" w:color="auto"/>
                            <w:right w:val="none" w:sz="0" w:space="0" w:color="auto"/>
                          </w:divBdr>
                          <w:divsChild>
                            <w:div w:id="1520662703">
                              <w:marLeft w:val="0"/>
                              <w:marRight w:val="0"/>
                              <w:marTop w:val="0"/>
                              <w:marBottom w:val="0"/>
                              <w:divBdr>
                                <w:top w:val="none" w:sz="0" w:space="0" w:color="auto"/>
                                <w:left w:val="none" w:sz="0" w:space="0" w:color="auto"/>
                                <w:bottom w:val="none" w:sz="0" w:space="0" w:color="auto"/>
                                <w:right w:val="none" w:sz="0" w:space="0" w:color="auto"/>
                              </w:divBdr>
                              <w:divsChild>
                                <w:div w:id="647902621">
                                  <w:marLeft w:val="0"/>
                                  <w:marRight w:val="0"/>
                                  <w:marTop w:val="0"/>
                                  <w:marBottom w:val="0"/>
                                  <w:divBdr>
                                    <w:top w:val="none" w:sz="0" w:space="0" w:color="auto"/>
                                    <w:left w:val="none" w:sz="0" w:space="0" w:color="auto"/>
                                    <w:bottom w:val="none" w:sz="0" w:space="0" w:color="auto"/>
                                    <w:right w:val="none" w:sz="0" w:space="0" w:color="auto"/>
                                  </w:divBdr>
                                  <w:divsChild>
                                    <w:div w:id="1756240061">
                                      <w:marLeft w:val="0"/>
                                      <w:marRight w:val="0"/>
                                      <w:marTop w:val="0"/>
                                      <w:marBottom w:val="0"/>
                                      <w:divBdr>
                                        <w:top w:val="none" w:sz="0" w:space="0" w:color="auto"/>
                                        <w:left w:val="none" w:sz="0" w:space="0" w:color="auto"/>
                                        <w:bottom w:val="none" w:sz="0" w:space="0" w:color="auto"/>
                                        <w:right w:val="none" w:sz="0" w:space="0" w:color="auto"/>
                                      </w:divBdr>
                                      <w:divsChild>
                                        <w:div w:id="1882935541">
                                          <w:marLeft w:val="0"/>
                                          <w:marRight w:val="0"/>
                                          <w:marTop w:val="0"/>
                                          <w:marBottom w:val="0"/>
                                          <w:divBdr>
                                            <w:top w:val="none" w:sz="0" w:space="0" w:color="auto"/>
                                            <w:left w:val="none" w:sz="0" w:space="0" w:color="auto"/>
                                            <w:bottom w:val="none" w:sz="0" w:space="0" w:color="auto"/>
                                            <w:right w:val="none" w:sz="0" w:space="0" w:color="auto"/>
                                          </w:divBdr>
                                          <w:divsChild>
                                            <w:div w:id="926815290">
                                              <w:marLeft w:val="3444"/>
                                              <w:marRight w:val="0"/>
                                              <w:marTop w:val="0"/>
                                              <w:marBottom w:val="0"/>
                                              <w:divBdr>
                                                <w:top w:val="single" w:sz="4" w:space="0" w:color="D2D5D7"/>
                                                <w:left w:val="single" w:sz="4" w:space="0" w:color="D2D5D7"/>
                                                <w:bottom w:val="none" w:sz="0" w:space="0" w:color="auto"/>
                                                <w:right w:val="single" w:sz="4" w:space="0" w:color="D2D5D7"/>
                                              </w:divBdr>
                                              <w:divsChild>
                                                <w:div w:id="1970041645">
                                                  <w:marLeft w:val="0"/>
                                                  <w:marRight w:val="0"/>
                                                  <w:marTop w:val="0"/>
                                                  <w:marBottom w:val="0"/>
                                                  <w:divBdr>
                                                    <w:top w:val="none" w:sz="0" w:space="0" w:color="auto"/>
                                                    <w:left w:val="none" w:sz="0" w:space="0" w:color="auto"/>
                                                    <w:bottom w:val="none" w:sz="0" w:space="0" w:color="auto"/>
                                                    <w:right w:val="none" w:sz="0" w:space="0" w:color="auto"/>
                                                  </w:divBdr>
                                                  <w:divsChild>
                                                    <w:div w:id="1034814757">
                                                      <w:marLeft w:val="0"/>
                                                      <w:marRight w:val="0"/>
                                                      <w:marTop w:val="0"/>
                                                      <w:marBottom w:val="0"/>
                                                      <w:divBdr>
                                                        <w:top w:val="none" w:sz="0" w:space="0" w:color="auto"/>
                                                        <w:left w:val="none" w:sz="0" w:space="0" w:color="auto"/>
                                                        <w:bottom w:val="none" w:sz="0" w:space="0" w:color="auto"/>
                                                        <w:right w:val="none" w:sz="0" w:space="0" w:color="auto"/>
                                                      </w:divBdr>
                                                      <w:divsChild>
                                                        <w:div w:id="555243030">
                                                          <w:marLeft w:val="0"/>
                                                          <w:marRight w:val="0"/>
                                                          <w:marTop w:val="0"/>
                                                          <w:marBottom w:val="0"/>
                                                          <w:divBdr>
                                                            <w:top w:val="none" w:sz="0" w:space="0" w:color="auto"/>
                                                            <w:left w:val="none" w:sz="0" w:space="0" w:color="auto"/>
                                                            <w:bottom w:val="none" w:sz="0" w:space="0" w:color="auto"/>
                                                            <w:right w:val="none" w:sz="0" w:space="0" w:color="auto"/>
                                                          </w:divBdr>
                                                          <w:divsChild>
                                                            <w:div w:id="2017730383">
                                                              <w:marLeft w:val="0"/>
                                                              <w:marRight w:val="0"/>
                                                              <w:marTop w:val="0"/>
                                                              <w:marBottom w:val="0"/>
                                                              <w:divBdr>
                                                                <w:top w:val="none" w:sz="0" w:space="0" w:color="auto"/>
                                                                <w:left w:val="none" w:sz="0" w:space="0" w:color="auto"/>
                                                                <w:bottom w:val="none" w:sz="0" w:space="0" w:color="auto"/>
                                                                <w:right w:val="none" w:sz="0" w:space="0" w:color="auto"/>
                                                              </w:divBdr>
                                                              <w:divsChild>
                                                                <w:div w:id="706443923">
                                                                  <w:marLeft w:val="0"/>
                                                                  <w:marRight w:val="0"/>
                                                                  <w:marTop w:val="0"/>
                                                                  <w:marBottom w:val="0"/>
                                                                  <w:divBdr>
                                                                    <w:top w:val="none" w:sz="0" w:space="0" w:color="auto"/>
                                                                    <w:left w:val="none" w:sz="0" w:space="0" w:color="auto"/>
                                                                    <w:bottom w:val="none" w:sz="0" w:space="0" w:color="auto"/>
                                                                    <w:right w:val="none" w:sz="0" w:space="0" w:color="auto"/>
                                                                  </w:divBdr>
                                                                  <w:divsChild>
                                                                    <w:div w:id="6348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3227026">
      <w:bodyDiv w:val="1"/>
      <w:marLeft w:val="0"/>
      <w:marRight w:val="0"/>
      <w:marTop w:val="0"/>
      <w:marBottom w:val="0"/>
      <w:divBdr>
        <w:top w:val="none" w:sz="0" w:space="0" w:color="auto"/>
        <w:left w:val="none" w:sz="0" w:space="0" w:color="auto"/>
        <w:bottom w:val="none" w:sz="0" w:space="0" w:color="auto"/>
        <w:right w:val="none" w:sz="0" w:space="0" w:color="auto"/>
      </w:divBdr>
    </w:div>
    <w:div w:id="1290551962">
      <w:bodyDiv w:val="1"/>
      <w:marLeft w:val="0"/>
      <w:marRight w:val="0"/>
      <w:marTop w:val="0"/>
      <w:marBottom w:val="0"/>
      <w:divBdr>
        <w:top w:val="none" w:sz="0" w:space="0" w:color="auto"/>
        <w:left w:val="none" w:sz="0" w:space="0" w:color="auto"/>
        <w:bottom w:val="none" w:sz="0" w:space="0" w:color="auto"/>
        <w:right w:val="none" w:sz="0" w:space="0" w:color="auto"/>
      </w:divBdr>
      <w:divsChild>
        <w:div w:id="1474787772">
          <w:marLeft w:val="0"/>
          <w:marRight w:val="0"/>
          <w:marTop w:val="0"/>
          <w:marBottom w:val="0"/>
          <w:divBdr>
            <w:top w:val="none" w:sz="0" w:space="0" w:color="auto"/>
            <w:left w:val="none" w:sz="0" w:space="0" w:color="auto"/>
            <w:bottom w:val="none" w:sz="0" w:space="0" w:color="auto"/>
            <w:right w:val="none" w:sz="0" w:space="0" w:color="auto"/>
          </w:divBdr>
          <w:divsChild>
            <w:div w:id="1762557419">
              <w:marLeft w:val="0"/>
              <w:marRight w:val="0"/>
              <w:marTop w:val="0"/>
              <w:marBottom w:val="0"/>
              <w:divBdr>
                <w:top w:val="none" w:sz="0" w:space="0" w:color="auto"/>
                <w:left w:val="none" w:sz="0" w:space="0" w:color="auto"/>
                <w:bottom w:val="none" w:sz="0" w:space="0" w:color="auto"/>
                <w:right w:val="none" w:sz="0" w:space="0" w:color="auto"/>
              </w:divBdr>
              <w:divsChild>
                <w:div w:id="73091580">
                  <w:marLeft w:val="0"/>
                  <w:marRight w:val="0"/>
                  <w:marTop w:val="0"/>
                  <w:marBottom w:val="0"/>
                  <w:divBdr>
                    <w:top w:val="none" w:sz="0" w:space="0" w:color="auto"/>
                    <w:left w:val="none" w:sz="0" w:space="0" w:color="auto"/>
                    <w:bottom w:val="none" w:sz="0" w:space="0" w:color="auto"/>
                    <w:right w:val="none" w:sz="0" w:space="0" w:color="auto"/>
                  </w:divBdr>
                  <w:divsChild>
                    <w:div w:id="15689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453855">
      <w:bodyDiv w:val="1"/>
      <w:marLeft w:val="0"/>
      <w:marRight w:val="0"/>
      <w:marTop w:val="0"/>
      <w:marBottom w:val="0"/>
      <w:divBdr>
        <w:top w:val="none" w:sz="0" w:space="0" w:color="auto"/>
        <w:left w:val="none" w:sz="0" w:space="0" w:color="auto"/>
        <w:bottom w:val="none" w:sz="0" w:space="0" w:color="auto"/>
        <w:right w:val="none" w:sz="0" w:space="0" w:color="auto"/>
      </w:divBdr>
      <w:divsChild>
        <w:div w:id="486440907">
          <w:marLeft w:val="0"/>
          <w:marRight w:val="0"/>
          <w:marTop w:val="0"/>
          <w:marBottom w:val="0"/>
          <w:divBdr>
            <w:top w:val="none" w:sz="0" w:space="0" w:color="auto"/>
            <w:left w:val="none" w:sz="0" w:space="0" w:color="auto"/>
            <w:bottom w:val="none" w:sz="0" w:space="0" w:color="auto"/>
            <w:right w:val="none" w:sz="0" w:space="0" w:color="auto"/>
          </w:divBdr>
          <w:divsChild>
            <w:div w:id="769473978">
              <w:marLeft w:val="0"/>
              <w:marRight w:val="0"/>
              <w:marTop w:val="0"/>
              <w:marBottom w:val="0"/>
              <w:divBdr>
                <w:top w:val="none" w:sz="0" w:space="0" w:color="auto"/>
                <w:left w:val="none" w:sz="0" w:space="0" w:color="auto"/>
                <w:bottom w:val="none" w:sz="0" w:space="0" w:color="auto"/>
                <w:right w:val="none" w:sz="0" w:space="0" w:color="auto"/>
              </w:divBdr>
              <w:divsChild>
                <w:div w:id="775369656">
                  <w:marLeft w:val="0"/>
                  <w:marRight w:val="0"/>
                  <w:marTop w:val="0"/>
                  <w:marBottom w:val="0"/>
                  <w:divBdr>
                    <w:top w:val="none" w:sz="0" w:space="0" w:color="auto"/>
                    <w:left w:val="none" w:sz="0" w:space="0" w:color="auto"/>
                    <w:bottom w:val="none" w:sz="0" w:space="0" w:color="auto"/>
                    <w:right w:val="none" w:sz="0" w:space="0" w:color="auto"/>
                  </w:divBdr>
                  <w:divsChild>
                    <w:div w:id="12676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94571">
      <w:bodyDiv w:val="1"/>
      <w:marLeft w:val="0"/>
      <w:marRight w:val="0"/>
      <w:marTop w:val="0"/>
      <w:marBottom w:val="0"/>
      <w:divBdr>
        <w:top w:val="none" w:sz="0" w:space="0" w:color="auto"/>
        <w:left w:val="none" w:sz="0" w:space="0" w:color="auto"/>
        <w:bottom w:val="none" w:sz="0" w:space="0" w:color="auto"/>
        <w:right w:val="none" w:sz="0" w:space="0" w:color="auto"/>
      </w:divBdr>
      <w:divsChild>
        <w:div w:id="1778328634">
          <w:marLeft w:val="0"/>
          <w:marRight w:val="0"/>
          <w:marTop w:val="0"/>
          <w:marBottom w:val="0"/>
          <w:divBdr>
            <w:top w:val="none" w:sz="0" w:space="0" w:color="auto"/>
            <w:left w:val="none" w:sz="0" w:space="0" w:color="auto"/>
            <w:bottom w:val="none" w:sz="0" w:space="0" w:color="auto"/>
            <w:right w:val="none" w:sz="0" w:space="0" w:color="auto"/>
          </w:divBdr>
          <w:divsChild>
            <w:div w:id="61487908">
              <w:marLeft w:val="0"/>
              <w:marRight w:val="0"/>
              <w:marTop w:val="0"/>
              <w:marBottom w:val="0"/>
              <w:divBdr>
                <w:top w:val="none" w:sz="0" w:space="0" w:color="auto"/>
                <w:left w:val="none" w:sz="0" w:space="0" w:color="auto"/>
                <w:bottom w:val="none" w:sz="0" w:space="0" w:color="auto"/>
                <w:right w:val="none" w:sz="0" w:space="0" w:color="auto"/>
              </w:divBdr>
              <w:divsChild>
                <w:div w:id="2146385584">
                  <w:marLeft w:val="0"/>
                  <w:marRight w:val="0"/>
                  <w:marTop w:val="0"/>
                  <w:marBottom w:val="0"/>
                  <w:divBdr>
                    <w:top w:val="none" w:sz="0" w:space="0" w:color="auto"/>
                    <w:left w:val="none" w:sz="0" w:space="0" w:color="auto"/>
                    <w:bottom w:val="none" w:sz="0" w:space="0" w:color="auto"/>
                    <w:right w:val="none" w:sz="0" w:space="0" w:color="auto"/>
                  </w:divBdr>
                  <w:divsChild>
                    <w:div w:id="11642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651447">
      <w:bodyDiv w:val="1"/>
      <w:marLeft w:val="0"/>
      <w:marRight w:val="0"/>
      <w:marTop w:val="0"/>
      <w:marBottom w:val="0"/>
      <w:divBdr>
        <w:top w:val="none" w:sz="0" w:space="0" w:color="auto"/>
        <w:left w:val="none" w:sz="0" w:space="0" w:color="auto"/>
        <w:bottom w:val="none" w:sz="0" w:space="0" w:color="auto"/>
        <w:right w:val="none" w:sz="0" w:space="0" w:color="auto"/>
      </w:divBdr>
    </w:div>
    <w:div w:id="1331252759">
      <w:bodyDiv w:val="1"/>
      <w:marLeft w:val="0"/>
      <w:marRight w:val="0"/>
      <w:marTop w:val="0"/>
      <w:marBottom w:val="0"/>
      <w:divBdr>
        <w:top w:val="none" w:sz="0" w:space="0" w:color="auto"/>
        <w:left w:val="none" w:sz="0" w:space="0" w:color="auto"/>
        <w:bottom w:val="none" w:sz="0" w:space="0" w:color="auto"/>
        <w:right w:val="none" w:sz="0" w:space="0" w:color="auto"/>
      </w:divBdr>
    </w:div>
    <w:div w:id="1338849430">
      <w:bodyDiv w:val="1"/>
      <w:marLeft w:val="0"/>
      <w:marRight w:val="0"/>
      <w:marTop w:val="0"/>
      <w:marBottom w:val="0"/>
      <w:divBdr>
        <w:top w:val="none" w:sz="0" w:space="0" w:color="auto"/>
        <w:left w:val="none" w:sz="0" w:space="0" w:color="auto"/>
        <w:bottom w:val="none" w:sz="0" w:space="0" w:color="auto"/>
        <w:right w:val="none" w:sz="0" w:space="0" w:color="auto"/>
      </w:divBdr>
    </w:div>
    <w:div w:id="1345207292">
      <w:bodyDiv w:val="1"/>
      <w:marLeft w:val="0"/>
      <w:marRight w:val="0"/>
      <w:marTop w:val="0"/>
      <w:marBottom w:val="0"/>
      <w:divBdr>
        <w:top w:val="none" w:sz="0" w:space="0" w:color="auto"/>
        <w:left w:val="none" w:sz="0" w:space="0" w:color="auto"/>
        <w:bottom w:val="none" w:sz="0" w:space="0" w:color="auto"/>
        <w:right w:val="none" w:sz="0" w:space="0" w:color="auto"/>
      </w:divBdr>
    </w:div>
    <w:div w:id="1368220651">
      <w:bodyDiv w:val="1"/>
      <w:marLeft w:val="0"/>
      <w:marRight w:val="0"/>
      <w:marTop w:val="0"/>
      <w:marBottom w:val="0"/>
      <w:divBdr>
        <w:top w:val="none" w:sz="0" w:space="0" w:color="auto"/>
        <w:left w:val="none" w:sz="0" w:space="0" w:color="auto"/>
        <w:bottom w:val="none" w:sz="0" w:space="0" w:color="auto"/>
        <w:right w:val="none" w:sz="0" w:space="0" w:color="auto"/>
      </w:divBdr>
    </w:div>
    <w:div w:id="1395665249">
      <w:bodyDiv w:val="1"/>
      <w:marLeft w:val="0"/>
      <w:marRight w:val="0"/>
      <w:marTop w:val="0"/>
      <w:marBottom w:val="0"/>
      <w:divBdr>
        <w:top w:val="none" w:sz="0" w:space="0" w:color="auto"/>
        <w:left w:val="none" w:sz="0" w:space="0" w:color="auto"/>
        <w:bottom w:val="none" w:sz="0" w:space="0" w:color="auto"/>
        <w:right w:val="none" w:sz="0" w:space="0" w:color="auto"/>
      </w:divBdr>
    </w:div>
    <w:div w:id="1412502090">
      <w:bodyDiv w:val="1"/>
      <w:marLeft w:val="0"/>
      <w:marRight w:val="0"/>
      <w:marTop w:val="0"/>
      <w:marBottom w:val="0"/>
      <w:divBdr>
        <w:top w:val="none" w:sz="0" w:space="0" w:color="auto"/>
        <w:left w:val="none" w:sz="0" w:space="0" w:color="auto"/>
        <w:bottom w:val="none" w:sz="0" w:space="0" w:color="auto"/>
        <w:right w:val="none" w:sz="0" w:space="0" w:color="auto"/>
      </w:divBdr>
      <w:divsChild>
        <w:div w:id="1252204205">
          <w:marLeft w:val="0"/>
          <w:marRight w:val="0"/>
          <w:marTop w:val="0"/>
          <w:marBottom w:val="0"/>
          <w:divBdr>
            <w:top w:val="none" w:sz="0" w:space="0" w:color="auto"/>
            <w:left w:val="none" w:sz="0" w:space="0" w:color="auto"/>
            <w:bottom w:val="none" w:sz="0" w:space="0" w:color="auto"/>
            <w:right w:val="none" w:sz="0" w:space="0" w:color="auto"/>
          </w:divBdr>
          <w:divsChild>
            <w:div w:id="1422533069">
              <w:marLeft w:val="0"/>
              <w:marRight w:val="0"/>
              <w:marTop w:val="0"/>
              <w:marBottom w:val="0"/>
              <w:divBdr>
                <w:top w:val="none" w:sz="0" w:space="0" w:color="auto"/>
                <w:left w:val="none" w:sz="0" w:space="0" w:color="auto"/>
                <w:bottom w:val="none" w:sz="0" w:space="0" w:color="auto"/>
                <w:right w:val="none" w:sz="0" w:space="0" w:color="auto"/>
              </w:divBdr>
              <w:divsChild>
                <w:div w:id="9950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713363">
      <w:bodyDiv w:val="1"/>
      <w:marLeft w:val="0"/>
      <w:marRight w:val="0"/>
      <w:marTop w:val="0"/>
      <w:marBottom w:val="0"/>
      <w:divBdr>
        <w:top w:val="none" w:sz="0" w:space="0" w:color="auto"/>
        <w:left w:val="none" w:sz="0" w:space="0" w:color="auto"/>
        <w:bottom w:val="none" w:sz="0" w:space="0" w:color="auto"/>
        <w:right w:val="none" w:sz="0" w:space="0" w:color="auto"/>
      </w:divBdr>
    </w:div>
    <w:div w:id="1471635208">
      <w:bodyDiv w:val="1"/>
      <w:marLeft w:val="0"/>
      <w:marRight w:val="0"/>
      <w:marTop w:val="0"/>
      <w:marBottom w:val="0"/>
      <w:divBdr>
        <w:top w:val="none" w:sz="0" w:space="0" w:color="auto"/>
        <w:left w:val="none" w:sz="0" w:space="0" w:color="auto"/>
        <w:bottom w:val="none" w:sz="0" w:space="0" w:color="auto"/>
        <w:right w:val="none" w:sz="0" w:space="0" w:color="auto"/>
      </w:divBdr>
    </w:div>
    <w:div w:id="1472095676">
      <w:bodyDiv w:val="1"/>
      <w:marLeft w:val="0"/>
      <w:marRight w:val="0"/>
      <w:marTop w:val="0"/>
      <w:marBottom w:val="0"/>
      <w:divBdr>
        <w:top w:val="none" w:sz="0" w:space="0" w:color="auto"/>
        <w:left w:val="none" w:sz="0" w:space="0" w:color="auto"/>
        <w:bottom w:val="none" w:sz="0" w:space="0" w:color="auto"/>
        <w:right w:val="none" w:sz="0" w:space="0" w:color="auto"/>
      </w:divBdr>
    </w:div>
    <w:div w:id="1473864238">
      <w:bodyDiv w:val="1"/>
      <w:marLeft w:val="0"/>
      <w:marRight w:val="0"/>
      <w:marTop w:val="0"/>
      <w:marBottom w:val="0"/>
      <w:divBdr>
        <w:top w:val="none" w:sz="0" w:space="0" w:color="auto"/>
        <w:left w:val="none" w:sz="0" w:space="0" w:color="auto"/>
        <w:bottom w:val="none" w:sz="0" w:space="0" w:color="auto"/>
        <w:right w:val="none" w:sz="0" w:space="0" w:color="auto"/>
      </w:divBdr>
    </w:div>
    <w:div w:id="1474446791">
      <w:bodyDiv w:val="1"/>
      <w:marLeft w:val="0"/>
      <w:marRight w:val="0"/>
      <w:marTop w:val="0"/>
      <w:marBottom w:val="0"/>
      <w:divBdr>
        <w:top w:val="none" w:sz="0" w:space="0" w:color="auto"/>
        <w:left w:val="none" w:sz="0" w:space="0" w:color="auto"/>
        <w:bottom w:val="none" w:sz="0" w:space="0" w:color="auto"/>
        <w:right w:val="none" w:sz="0" w:space="0" w:color="auto"/>
      </w:divBdr>
    </w:div>
    <w:div w:id="1479033083">
      <w:bodyDiv w:val="1"/>
      <w:marLeft w:val="0"/>
      <w:marRight w:val="0"/>
      <w:marTop w:val="0"/>
      <w:marBottom w:val="0"/>
      <w:divBdr>
        <w:top w:val="none" w:sz="0" w:space="0" w:color="auto"/>
        <w:left w:val="none" w:sz="0" w:space="0" w:color="auto"/>
        <w:bottom w:val="none" w:sz="0" w:space="0" w:color="auto"/>
        <w:right w:val="none" w:sz="0" w:space="0" w:color="auto"/>
      </w:divBdr>
    </w:div>
    <w:div w:id="1546142958">
      <w:bodyDiv w:val="1"/>
      <w:marLeft w:val="0"/>
      <w:marRight w:val="0"/>
      <w:marTop w:val="0"/>
      <w:marBottom w:val="0"/>
      <w:divBdr>
        <w:top w:val="none" w:sz="0" w:space="0" w:color="auto"/>
        <w:left w:val="none" w:sz="0" w:space="0" w:color="auto"/>
        <w:bottom w:val="none" w:sz="0" w:space="0" w:color="auto"/>
        <w:right w:val="none" w:sz="0" w:space="0" w:color="auto"/>
      </w:divBdr>
    </w:div>
    <w:div w:id="1546985380">
      <w:bodyDiv w:val="1"/>
      <w:marLeft w:val="0"/>
      <w:marRight w:val="0"/>
      <w:marTop w:val="0"/>
      <w:marBottom w:val="0"/>
      <w:divBdr>
        <w:top w:val="none" w:sz="0" w:space="0" w:color="auto"/>
        <w:left w:val="none" w:sz="0" w:space="0" w:color="auto"/>
        <w:bottom w:val="none" w:sz="0" w:space="0" w:color="auto"/>
        <w:right w:val="none" w:sz="0" w:space="0" w:color="auto"/>
      </w:divBdr>
      <w:divsChild>
        <w:div w:id="1593396645">
          <w:marLeft w:val="0"/>
          <w:marRight w:val="0"/>
          <w:marTop w:val="0"/>
          <w:marBottom w:val="0"/>
          <w:divBdr>
            <w:top w:val="none" w:sz="0" w:space="0" w:color="auto"/>
            <w:left w:val="none" w:sz="0" w:space="0" w:color="auto"/>
            <w:bottom w:val="none" w:sz="0" w:space="0" w:color="auto"/>
            <w:right w:val="none" w:sz="0" w:space="0" w:color="auto"/>
          </w:divBdr>
          <w:divsChild>
            <w:div w:id="379212842">
              <w:marLeft w:val="0"/>
              <w:marRight w:val="0"/>
              <w:marTop w:val="0"/>
              <w:marBottom w:val="0"/>
              <w:divBdr>
                <w:top w:val="none" w:sz="0" w:space="0" w:color="auto"/>
                <w:left w:val="none" w:sz="0" w:space="0" w:color="auto"/>
                <w:bottom w:val="none" w:sz="0" w:space="0" w:color="auto"/>
                <w:right w:val="none" w:sz="0" w:space="0" w:color="auto"/>
              </w:divBdr>
              <w:divsChild>
                <w:div w:id="111175327">
                  <w:marLeft w:val="0"/>
                  <w:marRight w:val="0"/>
                  <w:marTop w:val="0"/>
                  <w:marBottom w:val="0"/>
                  <w:divBdr>
                    <w:top w:val="none" w:sz="0" w:space="0" w:color="auto"/>
                    <w:left w:val="none" w:sz="0" w:space="0" w:color="auto"/>
                    <w:bottom w:val="none" w:sz="0" w:space="0" w:color="auto"/>
                    <w:right w:val="none" w:sz="0" w:space="0" w:color="auto"/>
                  </w:divBdr>
                  <w:divsChild>
                    <w:div w:id="661202883">
                      <w:marLeft w:val="0"/>
                      <w:marRight w:val="0"/>
                      <w:marTop w:val="0"/>
                      <w:marBottom w:val="0"/>
                      <w:divBdr>
                        <w:top w:val="none" w:sz="0" w:space="0" w:color="auto"/>
                        <w:left w:val="none" w:sz="0" w:space="0" w:color="auto"/>
                        <w:bottom w:val="none" w:sz="0" w:space="0" w:color="auto"/>
                        <w:right w:val="none" w:sz="0" w:space="0" w:color="auto"/>
                      </w:divBdr>
                      <w:divsChild>
                        <w:div w:id="455409722">
                          <w:marLeft w:val="0"/>
                          <w:marRight w:val="0"/>
                          <w:marTop w:val="0"/>
                          <w:marBottom w:val="0"/>
                          <w:divBdr>
                            <w:top w:val="none" w:sz="0" w:space="0" w:color="auto"/>
                            <w:left w:val="none" w:sz="0" w:space="0" w:color="auto"/>
                            <w:bottom w:val="none" w:sz="0" w:space="0" w:color="auto"/>
                            <w:right w:val="none" w:sz="0" w:space="0" w:color="auto"/>
                          </w:divBdr>
                          <w:divsChild>
                            <w:div w:id="460466757">
                              <w:marLeft w:val="0"/>
                              <w:marRight w:val="0"/>
                              <w:marTop w:val="0"/>
                              <w:marBottom w:val="0"/>
                              <w:divBdr>
                                <w:top w:val="none" w:sz="0" w:space="0" w:color="auto"/>
                                <w:left w:val="none" w:sz="0" w:space="0" w:color="auto"/>
                                <w:bottom w:val="none" w:sz="0" w:space="0" w:color="auto"/>
                                <w:right w:val="none" w:sz="0" w:space="0" w:color="auto"/>
                              </w:divBdr>
                              <w:divsChild>
                                <w:div w:id="981420555">
                                  <w:marLeft w:val="0"/>
                                  <w:marRight w:val="0"/>
                                  <w:marTop w:val="0"/>
                                  <w:marBottom w:val="0"/>
                                  <w:divBdr>
                                    <w:top w:val="none" w:sz="0" w:space="0" w:color="auto"/>
                                    <w:left w:val="none" w:sz="0" w:space="0" w:color="auto"/>
                                    <w:bottom w:val="none" w:sz="0" w:space="0" w:color="auto"/>
                                    <w:right w:val="none" w:sz="0" w:space="0" w:color="auto"/>
                                  </w:divBdr>
                                  <w:divsChild>
                                    <w:div w:id="988439490">
                                      <w:marLeft w:val="0"/>
                                      <w:marRight w:val="0"/>
                                      <w:marTop w:val="0"/>
                                      <w:marBottom w:val="0"/>
                                      <w:divBdr>
                                        <w:top w:val="none" w:sz="0" w:space="0" w:color="auto"/>
                                        <w:left w:val="none" w:sz="0" w:space="0" w:color="auto"/>
                                        <w:bottom w:val="none" w:sz="0" w:space="0" w:color="auto"/>
                                        <w:right w:val="none" w:sz="0" w:space="0" w:color="auto"/>
                                      </w:divBdr>
                                      <w:divsChild>
                                        <w:div w:id="1639995103">
                                          <w:marLeft w:val="0"/>
                                          <w:marRight w:val="0"/>
                                          <w:marTop w:val="0"/>
                                          <w:marBottom w:val="0"/>
                                          <w:divBdr>
                                            <w:top w:val="none" w:sz="0" w:space="0" w:color="auto"/>
                                            <w:left w:val="none" w:sz="0" w:space="0" w:color="auto"/>
                                            <w:bottom w:val="none" w:sz="0" w:space="0" w:color="auto"/>
                                            <w:right w:val="none" w:sz="0" w:space="0" w:color="auto"/>
                                          </w:divBdr>
                                          <w:divsChild>
                                            <w:div w:id="209196686">
                                              <w:marLeft w:val="3444"/>
                                              <w:marRight w:val="0"/>
                                              <w:marTop w:val="0"/>
                                              <w:marBottom w:val="0"/>
                                              <w:divBdr>
                                                <w:top w:val="single" w:sz="4" w:space="0" w:color="D2D5D7"/>
                                                <w:left w:val="single" w:sz="4" w:space="0" w:color="D2D5D7"/>
                                                <w:bottom w:val="none" w:sz="0" w:space="0" w:color="auto"/>
                                                <w:right w:val="single" w:sz="4" w:space="0" w:color="D2D5D7"/>
                                              </w:divBdr>
                                              <w:divsChild>
                                                <w:div w:id="526454729">
                                                  <w:marLeft w:val="0"/>
                                                  <w:marRight w:val="0"/>
                                                  <w:marTop w:val="0"/>
                                                  <w:marBottom w:val="0"/>
                                                  <w:divBdr>
                                                    <w:top w:val="none" w:sz="0" w:space="0" w:color="auto"/>
                                                    <w:left w:val="none" w:sz="0" w:space="0" w:color="auto"/>
                                                    <w:bottom w:val="none" w:sz="0" w:space="0" w:color="auto"/>
                                                    <w:right w:val="none" w:sz="0" w:space="0" w:color="auto"/>
                                                  </w:divBdr>
                                                  <w:divsChild>
                                                    <w:div w:id="1763598063">
                                                      <w:marLeft w:val="0"/>
                                                      <w:marRight w:val="0"/>
                                                      <w:marTop w:val="0"/>
                                                      <w:marBottom w:val="0"/>
                                                      <w:divBdr>
                                                        <w:top w:val="none" w:sz="0" w:space="0" w:color="auto"/>
                                                        <w:left w:val="none" w:sz="0" w:space="0" w:color="auto"/>
                                                        <w:bottom w:val="none" w:sz="0" w:space="0" w:color="auto"/>
                                                        <w:right w:val="none" w:sz="0" w:space="0" w:color="auto"/>
                                                      </w:divBdr>
                                                      <w:divsChild>
                                                        <w:div w:id="480998861">
                                                          <w:marLeft w:val="0"/>
                                                          <w:marRight w:val="0"/>
                                                          <w:marTop w:val="0"/>
                                                          <w:marBottom w:val="0"/>
                                                          <w:divBdr>
                                                            <w:top w:val="none" w:sz="0" w:space="0" w:color="auto"/>
                                                            <w:left w:val="none" w:sz="0" w:space="0" w:color="auto"/>
                                                            <w:bottom w:val="none" w:sz="0" w:space="0" w:color="auto"/>
                                                            <w:right w:val="none" w:sz="0" w:space="0" w:color="auto"/>
                                                          </w:divBdr>
                                                          <w:divsChild>
                                                            <w:div w:id="670792850">
                                                              <w:marLeft w:val="0"/>
                                                              <w:marRight w:val="0"/>
                                                              <w:marTop w:val="0"/>
                                                              <w:marBottom w:val="0"/>
                                                              <w:divBdr>
                                                                <w:top w:val="none" w:sz="0" w:space="0" w:color="auto"/>
                                                                <w:left w:val="none" w:sz="0" w:space="0" w:color="auto"/>
                                                                <w:bottom w:val="none" w:sz="0" w:space="0" w:color="auto"/>
                                                                <w:right w:val="none" w:sz="0" w:space="0" w:color="auto"/>
                                                              </w:divBdr>
                                                              <w:divsChild>
                                                                <w:div w:id="377050729">
                                                                  <w:marLeft w:val="0"/>
                                                                  <w:marRight w:val="0"/>
                                                                  <w:marTop w:val="0"/>
                                                                  <w:marBottom w:val="0"/>
                                                                  <w:divBdr>
                                                                    <w:top w:val="none" w:sz="0" w:space="0" w:color="auto"/>
                                                                    <w:left w:val="none" w:sz="0" w:space="0" w:color="auto"/>
                                                                    <w:bottom w:val="none" w:sz="0" w:space="0" w:color="auto"/>
                                                                    <w:right w:val="none" w:sz="0" w:space="0" w:color="auto"/>
                                                                  </w:divBdr>
                                                                  <w:divsChild>
                                                                    <w:div w:id="859466680">
                                                                      <w:marLeft w:val="0"/>
                                                                      <w:marRight w:val="0"/>
                                                                      <w:marTop w:val="0"/>
                                                                      <w:marBottom w:val="0"/>
                                                                      <w:divBdr>
                                                                        <w:top w:val="none" w:sz="0" w:space="0" w:color="auto"/>
                                                                        <w:left w:val="none" w:sz="0" w:space="0" w:color="auto"/>
                                                                        <w:bottom w:val="none" w:sz="0" w:space="0" w:color="auto"/>
                                                                        <w:right w:val="none" w:sz="0" w:space="0" w:color="auto"/>
                                                                      </w:divBdr>
                                                                      <w:divsChild>
                                                                        <w:div w:id="377171604">
                                                                          <w:marLeft w:val="0"/>
                                                                          <w:marRight w:val="0"/>
                                                                          <w:marTop w:val="0"/>
                                                                          <w:marBottom w:val="0"/>
                                                                          <w:divBdr>
                                                                            <w:top w:val="none" w:sz="0" w:space="0" w:color="auto"/>
                                                                            <w:left w:val="none" w:sz="0" w:space="0" w:color="auto"/>
                                                                            <w:bottom w:val="none" w:sz="0" w:space="0" w:color="auto"/>
                                                                            <w:right w:val="none" w:sz="0" w:space="0" w:color="auto"/>
                                                                          </w:divBdr>
                                                                        </w:div>
                                                                        <w:div w:id="434906519">
                                                                          <w:marLeft w:val="0"/>
                                                                          <w:marRight w:val="0"/>
                                                                          <w:marTop w:val="0"/>
                                                                          <w:marBottom w:val="0"/>
                                                                          <w:divBdr>
                                                                            <w:top w:val="none" w:sz="0" w:space="0" w:color="auto"/>
                                                                            <w:left w:val="none" w:sz="0" w:space="0" w:color="auto"/>
                                                                            <w:bottom w:val="none" w:sz="0" w:space="0" w:color="auto"/>
                                                                            <w:right w:val="none" w:sz="0" w:space="0" w:color="auto"/>
                                                                          </w:divBdr>
                                                                        </w:div>
                                                                        <w:div w:id="465203978">
                                                                          <w:marLeft w:val="0"/>
                                                                          <w:marRight w:val="0"/>
                                                                          <w:marTop w:val="0"/>
                                                                          <w:marBottom w:val="0"/>
                                                                          <w:divBdr>
                                                                            <w:top w:val="none" w:sz="0" w:space="0" w:color="auto"/>
                                                                            <w:left w:val="none" w:sz="0" w:space="0" w:color="auto"/>
                                                                            <w:bottom w:val="none" w:sz="0" w:space="0" w:color="auto"/>
                                                                            <w:right w:val="none" w:sz="0" w:space="0" w:color="auto"/>
                                                                          </w:divBdr>
                                                                          <w:divsChild>
                                                                            <w:div w:id="124665785">
                                                                              <w:marLeft w:val="0"/>
                                                                              <w:marRight w:val="0"/>
                                                                              <w:marTop w:val="0"/>
                                                                              <w:marBottom w:val="0"/>
                                                                              <w:divBdr>
                                                                                <w:top w:val="none" w:sz="0" w:space="0" w:color="auto"/>
                                                                                <w:left w:val="none" w:sz="0" w:space="0" w:color="auto"/>
                                                                                <w:bottom w:val="none" w:sz="0" w:space="0" w:color="auto"/>
                                                                                <w:right w:val="none" w:sz="0" w:space="0" w:color="auto"/>
                                                                              </w:divBdr>
                                                                            </w:div>
                                                                            <w:div w:id="173539839">
                                                                              <w:marLeft w:val="0"/>
                                                                              <w:marRight w:val="0"/>
                                                                              <w:marTop w:val="0"/>
                                                                              <w:marBottom w:val="0"/>
                                                                              <w:divBdr>
                                                                                <w:top w:val="none" w:sz="0" w:space="0" w:color="auto"/>
                                                                                <w:left w:val="none" w:sz="0" w:space="0" w:color="auto"/>
                                                                                <w:bottom w:val="none" w:sz="0" w:space="0" w:color="auto"/>
                                                                                <w:right w:val="none" w:sz="0" w:space="0" w:color="auto"/>
                                                                              </w:divBdr>
                                                                            </w:div>
                                                                            <w:div w:id="546382327">
                                                                              <w:marLeft w:val="0"/>
                                                                              <w:marRight w:val="0"/>
                                                                              <w:marTop w:val="0"/>
                                                                              <w:marBottom w:val="0"/>
                                                                              <w:divBdr>
                                                                                <w:top w:val="none" w:sz="0" w:space="0" w:color="auto"/>
                                                                                <w:left w:val="none" w:sz="0" w:space="0" w:color="auto"/>
                                                                                <w:bottom w:val="none" w:sz="0" w:space="0" w:color="auto"/>
                                                                                <w:right w:val="none" w:sz="0" w:space="0" w:color="auto"/>
                                                                              </w:divBdr>
                                                                            </w:div>
                                                                            <w:div w:id="608047993">
                                                                              <w:marLeft w:val="0"/>
                                                                              <w:marRight w:val="0"/>
                                                                              <w:marTop w:val="0"/>
                                                                              <w:marBottom w:val="0"/>
                                                                              <w:divBdr>
                                                                                <w:top w:val="none" w:sz="0" w:space="0" w:color="auto"/>
                                                                                <w:left w:val="none" w:sz="0" w:space="0" w:color="auto"/>
                                                                                <w:bottom w:val="none" w:sz="0" w:space="0" w:color="auto"/>
                                                                                <w:right w:val="none" w:sz="0" w:space="0" w:color="auto"/>
                                                                              </w:divBdr>
                                                                            </w:div>
                                                                            <w:div w:id="787092767">
                                                                              <w:marLeft w:val="0"/>
                                                                              <w:marRight w:val="0"/>
                                                                              <w:marTop w:val="0"/>
                                                                              <w:marBottom w:val="0"/>
                                                                              <w:divBdr>
                                                                                <w:top w:val="none" w:sz="0" w:space="0" w:color="auto"/>
                                                                                <w:left w:val="none" w:sz="0" w:space="0" w:color="auto"/>
                                                                                <w:bottom w:val="none" w:sz="0" w:space="0" w:color="auto"/>
                                                                                <w:right w:val="none" w:sz="0" w:space="0" w:color="auto"/>
                                                                              </w:divBdr>
                                                                            </w:div>
                                                                            <w:div w:id="1196692319">
                                                                              <w:marLeft w:val="0"/>
                                                                              <w:marRight w:val="0"/>
                                                                              <w:marTop w:val="0"/>
                                                                              <w:marBottom w:val="0"/>
                                                                              <w:divBdr>
                                                                                <w:top w:val="none" w:sz="0" w:space="0" w:color="auto"/>
                                                                                <w:left w:val="none" w:sz="0" w:space="0" w:color="auto"/>
                                                                                <w:bottom w:val="none" w:sz="0" w:space="0" w:color="auto"/>
                                                                                <w:right w:val="none" w:sz="0" w:space="0" w:color="auto"/>
                                                                              </w:divBdr>
                                                                            </w:div>
                                                                            <w:div w:id="1307203658">
                                                                              <w:marLeft w:val="0"/>
                                                                              <w:marRight w:val="0"/>
                                                                              <w:marTop w:val="0"/>
                                                                              <w:marBottom w:val="0"/>
                                                                              <w:divBdr>
                                                                                <w:top w:val="none" w:sz="0" w:space="0" w:color="auto"/>
                                                                                <w:left w:val="none" w:sz="0" w:space="0" w:color="auto"/>
                                                                                <w:bottom w:val="none" w:sz="0" w:space="0" w:color="auto"/>
                                                                                <w:right w:val="none" w:sz="0" w:space="0" w:color="auto"/>
                                                                              </w:divBdr>
                                                                            </w:div>
                                                                            <w:div w:id="1318726222">
                                                                              <w:marLeft w:val="0"/>
                                                                              <w:marRight w:val="0"/>
                                                                              <w:marTop w:val="0"/>
                                                                              <w:marBottom w:val="0"/>
                                                                              <w:divBdr>
                                                                                <w:top w:val="none" w:sz="0" w:space="0" w:color="auto"/>
                                                                                <w:left w:val="none" w:sz="0" w:space="0" w:color="auto"/>
                                                                                <w:bottom w:val="none" w:sz="0" w:space="0" w:color="auto"/>
                                                                                <w:right w:val="none" w:sz="0" w:space="0" w:color="auto"/>
                                                                              </w:divBdr>
                                                                            </w:div>
                                                                            <w:div w:id="1570967475">
                                                                              <w:marLeft w:val="0"/>
                                                                              <w:marRight w:val="0"/>
                                                                              <w:marTop w:val="0"/>
                                                                              <w:marBottom w:val="0"/>
                                                                              <w:divBdr>
                                                                                <w:top w:val="none" w:sz="0" w:space="0" w:color="auto"/>
                                                                                <w:left w:val="none" w:sz="0" w:space="0" w:color="auto"/>
                                                                                <w:bottom w:val="none" w:sz="0" w:space="0" w:color="auto"/>
                                                                                <w:right w:val="none" w:sz="0" w:space="0" w:color="auto"/>
                                                                              </w:divBdr>
                                                                            </w:div>
                                                                            <w:div w:id="1718779431">
                                                                              <w:marLeft w:val="0"/>
                                                                              <w:marRight w:val="0"/>
                                                                              <w:marTop w:val="0"/>
                                                                              <w:marBottom w:val="0"/>
                                                                              <w:divBdr>
                                                                                <w:top w:val="none" w:sz="0" w:space="0" w:color="auto"/>
                                                                                <w:left w:val="none" w:sz="0" w:space="0" w:color="auto"/>
                                                                                <w:bottom w:val="none" w:sz="0" w:space="0" w:color="auto"/>
                                                                                <w:right w:val="none" w:sz="0" w:space="0" w:color="auto"/>
                                                                              </w:divBdr>
                                                                            </w:div>
                                                                          </w:divsChild>
                                                                        </w:div>
                                                                        <w:div w:id="496843513">
                                                                          <w:marLeft w:val="0"/>
                                                                          <w:marRight w:val="0"/>
                                                                          <w:marTop w:val="0"/>
                                                                          <w:marBottom w:val="0"/>
                                                                          <w:divBdr>
                                                                            <w:top w:val="none" w:sz="0" w:space="0" w:color="auto"/>
                                                                            <w:left w:val="none" w:sz="0" w:space="0" w:color="auto"/>
                                                                            <w:bottom w:val="none" w:sz="0" w:space="0" w:color="auto"/>
                                                                            <w:right w:val="none" w:sz="0" w:space="0" w:color="auto"/>
                                                                          </w:divBdr>
                                                                          <w:divsChild>
                                                                            <w:div w:id="525675040">
                                                                              <w:marLeft w:val="0"/>
                                                                              <w:marRight w:val="0"/>
                                                                              <w:marTop w:val="0"/>
                                                                              <w:marBottom w:val="0"/>
                                                                              <w:divBdr>
                                                                                <w:top w:val="none" w:sz="0" w:space="0" w:color="auto"/>
                                                                                <w:left w:val="none" w:sz="0" w:space="0" w:color="auto"/>
                                                                                <w:bottom w:val="none" w:sz="0" w:space="0" w:color="auto"/>
                                                                                <w:right w:val="none" w:sz="0" w:space="0" w:color="auto"/>
                                                                              </w:divBdr>
                                                                            </w:div>
                                                                            <w:div w:id="615411299">
                                                                              <w:marLeft w:val="0"/>
                                                                              <w:marRight w:val="0"/>
                                                                              <w:marTop w:val="0"/>
                                                                              <w:marBottom w:val="0"/>
                                                                              <w:divBdr>
                                                                                <w:top w:val="none" w:sz="0" w:space="0" w:color="auto"/>
                                                                                <w:left w:val="none" w:sz="0" w:space="0" w:color="auto"/>
                                                                                <w:bottom w:val="none" w:sz="0" w:space="0" w:color="auto"/>
                                                                                <w:right w:val="none" w:sz="0" w:space="0" w:color="auto"/>
                                                                              </w:divBdr>
                                                                            </w:div>
                                                                            <w:div w:id="693462070">
                                                                              <w:marLeft w:val="0"/>
                                                                              <w:marRight w:val="0"/>
                                                                              <w:marTop w:val="0"/>
                                                                              <w:marBottom w:val="0"/>
                                                                              <w:divBdr>
                                                                                <w:top w:val="none" w:sz="0" w:space="0" w:color="auto"/>
                                                                                <w:left w:val="none" w:sz="0" w:space="0" w:color="auto"/>
                                                                                <w:bottom w:val="none" w:sz="0" w:space="0" w:color="auto"/>
                                                                                <w:right w:val="none" w:sz="0" w:space="0" w:color="auto"/>
                                                                              </w:divBdr>
                                                                            </w:div>
                                                                            <w:div w:id="861937180">
                                                                              <w:marLeft w:val="0"/>
                                                                              <w:marRight w:val="0"/>
                                                                              <w:marTop w:val="0"/>
                                                                              <w:marBottom w:val="0"/>
                                                                              <w:divBdr>
                                                                                <w:top w:val="none" w:sz="0" w:space="0" w:color="auto"/>
                                                                                <w:left w:val="none" w:sz="0" w:space="0" w:color="auto"/>
                                                                                <w:bottom w:val="none" w:sz="0" w:space="0" w:color="auto"/>
                                                                                <w:right w:val="none" w:sz="0" w:space="0" w:color="auto"/>
                                                                              </w:divBdr>
                                                                            </w:div>
                                                                            <w:div w:id="1142039399">
                                                                              <w:marLeft w:val="0"/>
                                                                              <w:marRight w:val="0"/>
                                                                              <w:marTop w:val="0"/>
                                                                              <w:marBottom w:val="0"/>
                                                                              <w:divBdr>
                                                                                <w:top w:val="none" w:sz="0" w:space="0" w:color="auto"/>
                                                                                <w:left w:val="none" w:sz="0" w:space="0" w:color="auto"/>
                                                                                <w:bottom w:val="none" w:sz="0" w:space="0" w:color="auto"/>
                                                                                <w:right w:val="none" w:sz="0" w:space="0" w:color="auto"/>
                                                                              </w:divBdr>
                                                                            </w:div>
                                                                            <w:div w:id="1369645363">
                                                                              <w:marLeft w:val="0"/>
                                                                              <w:marRight w:val="0"/>
                                                                              <w:marTop w:val="0"/>
                                                                              <w:marBottom w:val="0"/>
                                                                              <w:divBdr>
                                                                                <w:top w:val="none" w:sz="0" w:space="0" w:color="auto"/>
                                                                                <w:left w:val="none" w:sz="0" w:space="0" w:color="auto"/>
                                                                                <w:bottom w:val="none" w:sz="0" w:space="0" w:color="auto"/>
                                                                                <w:right w:val="none" w:sz="0" w:space="0" w:color="auto"/>
                                                                              </w:divBdr>
                                                                            </w:div>
                                                                            <w:div w:id="1971207419">
                                                                              <w:marLeft w:val="0"/>
                                                                              <w:marRight w:val="0"/>
                                                                              <w:marTop w:val="0"/>
                                                                              <w:marBottom w:val="0"/>
                                                                              <w:divBdr>
                                                                                <w:top w:val="none" w:sz="0" w:space="0" w:color="auto"/>
                                                                                <w:left w:val="none" w:sz="0" w:space="0" w:color="auto"/>
                                                                                <w:bottom w:val="none" w:sz="0" w:space="0" w:color="auto"/>
                                                                                <w:right w:val="none" w:sz="0" w:space="0" w:color="auto"/>
                                                                              </w:divBdr>
                                                                            </w:div>
                                                                            <w:div w:id="2082092849">
                                                                              <w:marLeft w:val="0"/>
                                                                              <w:marRight w:val="0"/>
                                                                              <w:marTop w:val="0"/>
                                                                              <w:marBottom w:val="0"/>
                                                                              <w:divBdr>
                                                                                <w:top w:val="none" w:sz="0" w:space="0" w:color="auto"/>
                                                                                <w:left w:val="none" w:sz="0" w:space="0" w:color="auto"/>
                                                                                <w:bottom w:val="none" w:sz="0" w:space="0" w:color="auto"/>
                                                                                <w:right w:val="none" w:sz="0" w:space="0" w:color="auto"/>
                                                                              </w:divBdr>
                                                                            </w:div>
                                                                          </w:divsChild>
                                                                        </w:div>
                                                                        <w:div w:id="649020978">
                                                                          <w:marLeft w:val="0"/>
                                                                          <w:marRight w:val="0"/>
                                                                          <w:marTop w:val="0"/>
                                                                          <w:marBottom w:val="0"/>
                                                                          <w:divBdr>
                                                                            <w:top w:val="none" w:sz="0" w:space="0" w:color="auto"/>
                                                                            <w:left w:val="none" w:sz="0" w:space="0" w:color="auto"/>
                                                                            <w:bottom w:val="none" w:sz="0" w:space="0" w:color="auto"/>
                                                                            <w:right w:val="none" w:sz="0" w:space="0" w:color="auto"/>
                                                                          </w:divBdr>
                                                                        </w:div>
                                                                        <w:div w:id="1571964000">
                                                                          <w:marLeft w:val="0"/>
                                                                          <w:marRight w:val="0"/>
                                                                          <w:marTop w:val="0"/>
                                                                          <w:marBottom w:val="0"/>
                                                                          <w:divBdr>
                                                                            <w:top w:val="none" w:sz="0" w:space="0" w:color="auto"/>
                                                                            <w:left w:val="none" w:sz="0" w:space="0" w:color="auto"/>
                                                                            <w:bottom w:val="none" w:sz="0" w:space="0" w:color="auto"/>
                                                                            <w:right w:val="none" w:sz="0" w:space="0" w:color="auto"/>
                                                                          </w:divBdr>
                                                                          <w:divsChild>
                                                                            <w:div w:id="128983582">
                                                                              <w:marLeft w:val="0"/>
                                                                              <w:marRight w:val="0"/>
                                                                              <w:marTop w:val="0"/>
                                                                              <w:marBottom w:val="0"/>
                                                                              <w:divBdr>
                                                                                <w:top w:val="none" w:sz="0" w:space="0" w:color="auto"/>
                                                                                <w:left w:val="none" w:sz="0" w:space="0" w:color="auto"/>
                                                                                <w:bottom w:val="none" w:sz="0" w:space="0" w:color="auto"/>
                                                                                <w:right w:val="none" w:sz="0" w:space="0" w:color="auto"/>
                                                                              </w:divBdr>
                                                                            </w:div>
                                                                            <w:div w:id="605890910">
                                                                              <w:marLeft w:val="0"/>
                                                                              <w:marRight w:val="0"/>
                                                                              <w:marTop w:val="0"/>
                                                                              <w:marBottom w:val="0"/>
                                                                              <w:divBdr>
                                                                                <w:top w:val="none" w:sz="0" w:space="0" w:color="auto"/>
                                                                                <w:left w:val="none" w:sz="0" w:space="0" w:color="auto"/>
                                                                                <w:bottom w:val="none" w:sz="0" w:space="0" w:color="auto"/>
                                                                                <w:right w:val="none" w:sz="0" w:space="0" w:color="auto"/>
                                                                              </w:divBdr>
                                                                            </w:div>
                                                                            <w:div w:id="1464076449">
                                                                              <w:marLeft w:val="0"/>
                                                                              <w:marRight w:val="0"/>
                                                                              <w:marTop w:val="0"/>
                                                                              <w:marBottom w:val="0"/>
                                                                              <w:divBdr>
                                                                                <w:top w:val="none" w:sz="0" w:space="0" w:color="auto"/>
                                                                                <w:left w:val="none" w:sz="0" w:space="0" w:color="auto"/>
                                                                                <w:bottom w:val="none" w:sz="0" w:space="0" w:color="auto"/>
                                                                                <w:right w:val="none" w:sz="0" w:space="0" w:color="auto"/>
                                                                              </w:divBdr>
                                                                            </w:div>
                                                                            <w:div w:id="21349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7252371">
      <w:bodyDiv w:val="1"/>
      <w:marLeft w:val="0"/>
      <w:marRight w:val="0"/>
      <w:marTop w:val="0"/>
      <w:marBottom w:val="0"/>
      <w:divBdr>
        <w:top w:val="none" w:sz="0" w:space="0" w:color="auto"/>
        <w:left w:val="none" w:sz="0" w:space="0" w:color="auto"/>
        <w:bottom w:val="none" w:sz="0" w:space="0" w:color="auto"/>
        <w:right w:val="none" w:sz="0" w:space="0" w:color="auto"/>
      </w:divBdr>
    </w:div>
    <w:div w:id="1568177776">
      <w:bodyDiv w:val="1"/>
      <w:marLeft w:val="0"/>
      <w:marRight w:val="0"/>
      <w:marTop w:val="0"/>
      <w:marBottom w:val="0"/>
      <w:divBdr>
        <w:top w:val="none" w:sz="0" w:space="0" w:color="auto"/>
        <w:left w:val="none" w:sz="0" w:space="0" w:color="auto"/>
        <w:bottom w:val="none" w:sz="0" w:space="0" w:color="auto"/>
        <w:right w:val="none" w:sz="0" w:space="0" w:color="auto"/>
      </w:divBdr>
    </w:div>
    <w:div w:id="1576814896">
      <w:bodyDiv w:val="1"/>
      <w:marLeft w:val="0"/>
      <w:marRight w:val="0"/>
      <w:marTop w:val="0"/>
      <w:marBottom w:val="0"/>
      <w:divBdr>
        <w:top w:val="none" w:sz="0" w:space="0" w:color="auto"/>
        <w:left w:val="none" w:sz="0" w:space="0" w:color="auto"/>
        <w:bottom w:val="none" w:sz="0" w:space="0" w:color="auto"/>
        <w:right w:val="none" w:sz="0" w:space="0" w:color="auto"/>
      </w:divBdr>
    </w:div>
    <w:div w:id="1577595697">
      <w:bodyDiv w:val="1"/>
      <w:marLeft w:val="0"/>
      <w:marRight w:val="0"/>
      <w:marTop w:val="0"/>
      <w:marBottom w:val="0"/>
      <w:divBdr>
        <w:top w:val="none" w:sz="0" w:space="0" w:color="auto"/>
        <w:left w:val="none" w:sz="0" w:space="0" w:color="auto"/>
        <w:bottom w:val="none" w:sz="0" w:space="0" w:color="auto"/>
        <w:right w:val="none" w:sz="0" w:space="0" w:color="auto"/>
      </w:divBdr>
    </w:div>
    <w:div w:id="1622568909">
      <w:bodyDiv w:val="1"/>
      <w:marLeft w:val="0"/>
      <w:marRight w:val="0"/>
      <w:marTop w:val="0"/>
      <w:marBottom w:val="0"/>
      <w:divBdr>
        <w:top w:val="none" w:sz="0" w:space="0" w:color="auto"/>
        <w:left w:val="none" w:sz="0" w:space="0" w:color="auto"/>
        <w:bottom w:val="none" w:sz="0" w:space="0" w:color="auto"/>
        <w:right w:val="none" w:sz="0" w:space="0" w:color="auto"/>
      </w:divBdr>
    </w:div>
    <w:div w:id="1662928586">
      <w:bodyDiv w:val="1"/>
      <w:marLeft w:val="0"/>
      <w:marRight w:val="0"/>
      <w:marTop w:val="0"/>
      <w:marBottom w:val="0"/>
      <w:divBdr>
        <w:top w:val="none" w:sz="0" w:space="0" w:color="auto"/>
        <w:left w:val="none" w:sz="0" w:space="0" w:color="auto"/>
        <w:bottom w:val="none" w:sz="0" w:space="0" w:color="auto"/>
        <w:right w:val="none" w:sz="0" w:space="0" w:color="auto"/>
      </w:divBdr>
    </w:div>
    <w:div w:id="1687438568">
      <w:bodyDiv w:val="1"/>
      <w:marLeft w:val="0"/>
      <w:marRight w:val="0"/>
      <w:marTop w:val="0"/>
      <w:marBottom w:val="0"/>
      <w:divBdr>
        <w:top w:val="none" w:sz="0" w:space="0" w:color="auto"/>
        <w:left w:val="none" w:sz="0" w:space="0" w:color="auto"/>
        <w:bottom w:val="none" w:sz="0" w:space="0" w:color="auto"/>
        <w:right w:val="none" w:sz="0" w:space="0" w:color="auto"/>
      </w:divBdr>
    </w:div>
    <w:div w:id="1695305078">
      <w:bodyDiv w:val="1"/>
      <w:marLeft w:val="0"/>
      <w:marRight w:val="0"/>
      <w:marTop w:val="0"/>
      <w:marBottom w:val="0"/>
      <w:divBdr>
        <w:top w:val="none" w:sz="0" w:space="0" w:color="auto"/>
        <w:left w:val="none" w:sz="0" w:space="0" w:color="auto"/>
        <w:bottom w:val="none" w:sz="0" w:space="0" w:color="auto"/>
        <w:right w:val="none" w:sz="0" w:space="0" w:color="auto"/>
      </w:divBdr>
    </w:div>
    <w:div w:id="1702053215">
      <w:bodyDiv w:val="1"/>
      <w:marLeft w:val="0"/>
      <w:marRight w:val="0"/>
      <w:marTop w:val="0"/>
      <w:marBottom w:val="0"/>
      <w:divBdr>
        <w:top w:val="none" w:sz="0" w:space="0" w:color="auto"/>
        <w:left w:val="none" w:sz="0" w:space="0" w:color="auto"/>
        <w:bottom w:val="none" w:sz="0" w:space="0" w:color="auto"/>
        <w:right w:val="none" w:sz="0" w:space="0" w:color="auto"/>
      </w:divBdr>
    </w:div>
    <w:div w:id="1705213348">
      <w:bodyDiv w:val="1"/>
      <w:marLeft w:val="0"/>
      <w:marRight w:val="0"/>
      <w:marTop w:val="0"/>
      <w:marBottom w:val="0"/>
      <w:divBdr>
        <w:top w:val="none" w:sz="0" w:space="0" w:color="auto"/>
        <w:left w:val="none" w:sz="0" w:space="0" w:color="auto"/>
        <w:bottom w:val="none" w:sz="0" w:space="0" w:color="auto"/>
        <w:right w:val="none" w:sz="0" w:space="0" w:color="auto"/>
      </w:divBdr>
    </w:div>
    <w:div w:id="1784691003">
      <w:bodyDiv w:val="1"/>
      <w:marLeft w:val="0"/>
      <w:marRight w:val="0"/>
      <w:marTop w:val="0"/>
      <w:marBottom w:val="0"/>
      <w:divBdr>
        <w:top w:val="none" w:sz="0" w:space="0" w:color="auto"/>
        <w:left w:val="none" w:sz="0" w:space="0" w:color="auto"/>
        <w:bottom w:val="none" w:sz="0" w:space="0" w:color="auto"/>
        <w:right w:val="none" w:sz="0" w:space="0" w:color="auto"/>
      </w:divBdr>
    </w:div>
    <w:div w:id="1786532623">
      <w:bodyDiv w:val="1"/>
      <w:marLeft w:val="0"/>
      <w:marRight w:val="0"/>
      <w:marTop w:val="0"/>
      <w:marBottom w:val="0"/>
      <w:divBdr>
        <w:top w:val="none" w:sz="0" w:space="0" w:color="auto"/>
        <w:left w:val="none" w:sz="0" w:space="0" w:color="auto"/>
        <w:bottom w:val="none" w:sz="0" w:space="0" w:color="auto"/>
        <w:right w:val="none" w:sz="0" w:space="0" w:color="auto"/>
      </w:divBdr>
    </w:div>
    <w:div w:id="1810902423">
      <w:bodyDiv w:val="1"/>
      <w:marLeft w:val="0"/>
      <w:marRight w:val="0"/>
      <w:marTop w:val="0"/>
      <w:marBottom w:val="0"/>
      <w:divBdr>
        <w:top w:val="none" w:sz="0" w:space="0" w:color="auto"/>
        <w:left w:val="none" w:sz="0" w:space="0" w:color="auto"/>
        <w:bottom w:val="none" w:sz="0" w:space="0" w:color="auto"/>
        <w:right w:val="none" w:sz="0" w:space="0" w:color="auto"/>
      </w:divBdr>
    </w:div>
    <w:div w:id="1812674503">
      <w:bodyDiv w:val="1"/>
      <w:marLeft w:val="0"/>
      <w:marRight w:val="0"/>
      <w:marTop w:val="0"/>
      <w:marBottom w:val="0"/>
      <w:divBdr>
        <w:top w:val="none" w:sz="0" w:space="0" w:color="auto"/>
        <w:left w:val="none" w:sz="0" w:space="0" w:color="auto"/>
        <w:bottom w:val="none" w:sz="0" w:space="0" w:color="auto"/>
        <w:right w:val="none" w:sz="0" w:space="0" w:color="auto"/>
      </w:divBdr>
    </w:div>
    <w:div w:id="1819111075">
      <w:bodyDiv w:val="1"/>
      <w:marLeft w:val="0"/>
      <w:marRight w:val="0"/>
      <w:marTop w:val="0"/>
      <w:marBottom w:val="0"/>
      <w:divBdr>
        <w:top w:val="none" w:sz="0" w:space="0" w:color="auto"/>
        <w:left w:val="none" w:sz="0" w:space="0" w:color="auto"/>
        <w:bottom w:val="none" w:sz="0" w:space="0" w:color="auto"/>
        <w:right w:val="none" w:sz="0" w:space="0" w:color="auto"/>
      </w:divBdr>
    </w:div>
    <w:div w:id="1856923257">
      <w:bodyDiv w:val="1"/>
      <w:marLeft w:val="0"/>
      <w:marRight w:val="0"/>
      <w:marTop w:val="0"/>
      <w:marBottom w:val="0"/>
      <w:divBdr>
        <w:top w:val="none" w:sz="0" w:space="0" w:color="auto"/>
        <w:left w:val="none" w:sz="0" w:space="0" w:color="auto"/>
        <w:bottom w:val="none" w:sz="0" w:space="0" w:color="auto"/>
        <w:right w:val="none" w:sz="0" w:space="0" w:color="auto"/>
      </w:divBdr>
    </w:div>
    <w:div w:id="1864515005">
      <w:bodyDiv w:val="1"/>
      <w:marLeft w:val="0"/>
      <w:marRight w:val="0"/>
      <w:marTop w:val="0"/>
      <w:marBottom w:val="0"/>
      <w:divBdr>
        <w:top w:val="none" w:sz="0" w:space="0" w:color="auto"/>
        <w:left w:val="none" w:sz="0" w:space="0" w:color="auto"/>
        <w:bottom w:val="none" w:sz="0" w:space="0" w:color="auto"/>
        <w:right w:val="none" w:sz="0" w:space="0" w:color="auto"/>
      </w:divBdr>
    </w:div>
    <w:div w:id="1877082414">
      <w:bodyDiv w:val="1"/>
      <w:marLeft w:val="0"/>
      <w:marRight w:val="0"/>
      <w:marTop w:val="0"/>
      <w:marBottom w:val="0"/>
      <w:divBdr>
        <w:top w:val="none" w:sz="0" w:space="0" w:color="auto"/>
        <w:left w:val="none" w:sz="0" w:space="0" w:color="auto"/>
        <w:bottom w:val="none" w:sz="0" w:space="0" w:color="auto"/>
        <w:right w:val="none" w:sz="0" w:space="0" w:color="auto"/>
      </w:divBdr>
    </w:div>
    <w:div w:id="1916085533">
      <w:bodyDiv w:val="1"/>
      <w:marLeft w:val="0"/>
      <w:marRight w:val="0"/>
      <w:marTop w:val="0"/>
      <w:marBottom w:val="0"/>
      <w:divBdr>
        <w:top w:val="none" w:sz="0" w:space="0" w:color="auto"/>
        <w:left w:val="none" w:sz="0" w:space="0" w:color="auto"/>
        <w:bottom w:val="none" w:sz="0" w:space="0" w:color="auto"/>
        <w:right w:val="none" w:sz="0" w:space="0" w:color="auto"/>
      </w:divBdr>
    </w:div>
    <w:div w:id="1921256742">
      <w:bodyDiv w:val="1"/>
      <w:marLeft w:val="0"/>
      <w:marRight w:val="0"/>
      <w:marTop w:val="0"/>
      <w:marBottom w:val="0"/>
      <w:divBdr>
        <w:top w:val="none" w:sz="0" w:space="0" w:color="auto"/>
        <w:left w:val="none" w:sz="0" w:space="0" w:color="auto"/>
        <w:bottom w:val="none" w:sz="0" w:space="0" w:color="auto"/>
        <w:right w:val="none" w:sz="0" w:space="0" w:color="auto"/>
      </w:divBdr>
    </w:div>
    <w:div w:id="1946376000">
      <w:bodyDiv w:val="1"/>
      <w:marLeft w:val="0"/>
      <w:marRight w:val="0"/>
      <w:marTop w:val="0"/>
      <w:marBottom w:val="0"/>
      <w:divBdr>
        <w:top w:val="none" w:sz="0" w:space="0" w:color="auto"/>
        <w:left w:val="none" w:sz="0" w:space="0" w:color="auto"/>
        <w:bottom w:val="none" w:sz="0" w:space="0" w:color="auto"/>
        <w:right w:val="none" w:sz="0" w:space="0" w:color="auto"/>
      </w:divBdr>
    </w:div>
    <w:div w:id="1974283759">
      <w:bodyDiv w:val="1"/>
      <w:marLeft w:val="0"/>
      <w:marRight w:val="0"/>
      <w:marTop w:val="0"/>
      <w:marBottom w:val="0"/>
      <w:divBdr>
        <w:top w:val="none" w:sz="0" w:space="0" w:color="auto"/>
        <w:left w:val="none" w:sz="0" w:space="0" w:color="auto"/>
        <w:bottom w:val="none" w:sz="0" w:space="0" w:color="auto"/>
        <w:right w:val="none" w:sz="0" w:space="0" w:color="auto"/>
      </w:divBdr>
    </w:div>
    <w:div w:id="1976832882">
      <w:bodyDiv w:val="1"/>
      <w:marLeft w:val="0"/>
      <w:marRight w:val="0"/>
      <w:marTop w:val="0"/>
      <w:marBottom w:val="0"/>
      <w:divBdr>
        <w:top w:val="none" w:sz="0" w:space="0" w:color="auto"/>
        <w:left w:val="none" w:sz="0" w:space="0" w:color="auto"/>
        <w:bottom w:val="none" w:sz="0" w:space="0" w:color="auto"/>
        <w:right w:val="none" w:sz="0" w:space="0" w:color="auto"/>
      </w:divBdr>
    </w:div>
    <w:div w:id="1977448881">
      <w:bodyDiv w:val="1"/>
      <w:marLeft w:val="0"/>
      <w:marRight w:val="0"/>
      <w:marTop w:val="0"/>
      <w:marBottom w:val="0"/>
      <w:divBdr>
        <w:top w:val="none" w:sz="0" w:space="0" w:color="auto"/>
        <w:left w:val="none" w:sz="0" w:space="0" w:color="auto"/>
        <w:bottom w:val="none" w:sz="0" w:space="0" w:color="auto"/>
        <w:right w:val="none" w:sz="0" w:space="0" w:color="auto"/>
      </w:divBdr>
    </w:div>
    <w:div w:id="1979794675">
      <w:bodyDiv w:val="1"/>
      <w:marLeft w:val="0"/>
      <w:marRight w:val="0"/>
      <w:marTop w:val="0"/>
      <w:marBottom w:val="0"/>
      <w:divBdr>
        <w:top w:val="none" w:sz="0" w:space="0" w:color="auto"/>
        <w:left w:val="none" w:sz="0" w:space="0" w:color="auto"/>
        <w:bottom w:val="none" w:sz="0" w:space="0" w:color="auto"/>
        <w:right w:val="none" w:sz="0" w:space="0" w:color="auto"/>
      </w:divBdr>
      <w:divsChild>
        <w:div w:id="506602685">
          <w:marLeft w:val="0"/>
          <w:marRight w:val="0"/>
          <w:marTop w:val="0"/>
          <w:marBottom w:val="0"/>
          <w:divBdr>
            <w:top w:val="none" w:sz="0" w:space="0" w:color="auto"/>
            <w:left w:val="none" w:sz="0" w:space="0" w:color="auto"/>
            <w:bottom w:val="none" w:sz="0" w:space="0" w:color="auto"/>
            <w:right w:val="none" w:sz="0" w:space="0" w:color="auto"/>
          </w:divBdr>
          <w:divsChild>
            <w:div w:id="191918465">
              <w:marLeft w:val="0"/>
              <w:marRight w:val="0"/>
              <w:marTop w:val="0"/>
              <w:marBottom w:val="0"/>
              <w:divBdr>
                <w:top w:val="none" w:sz="0" w:space="0" w:color="auto"/>
                <w:left w:val="none" w:sz="0" w:space="0" w:color="auto"/>
                <w:bottom w:val="none" w:sz="0" w:space="0" w:color="auto"/>
                <w:right w:val="none" w:sz="0" w:space="0" w:color="auto"/>
              </w:divBdr>
              <w:divsChild>
                <w:div w:id="1436748758">
                  <w:marLeft w:val="0"/>
                  <w:marRight w:val="0"/>
                  <w:marTop w:val="0"/>
                  <w:marBottom w:val="0"/>
                  <w:divBdr>
                    <w:top w:val="none" w:sz="0" w:space="0" w:color="auto"/>
                    <w:left w:val="none" w:sz="0" w:space="0" w:color="auto"/>
                    <w:bottom w:val="none" w:sz="0" w:space="0" w:color="auto"/>
                    <w:right w:val="none" w:sz="0" w:space="0" w:color="auto"/>
                  </w:divBdr>
                  <w:divsChild>
                    <w:div w:id="20692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8972">
      <w:bodyDiv w:val="1"/>
      <w:marLeft w:val="0"/>
      <w:marRight w:val="0"/>
      <w:marTop w:val="0"/>
      <w:marBottom w:val="0"/>
      <w:divBdr>
        <w:top w:val="none" w:sz="0" w:space="0" w:color="auto"/>
        <w:left w:val="none" w:sz="0" w:space="0" w:color="auto"/>
        <w:bottom w:val="none" w:sz="0" w:space="0" w:color="auto"/>
        <w:right w:val="none" w:sz="0" w:space="0" w:color="auto"/>
      </w:divBdr>
    </w:div>
    <w:div w:id="1988627881">
      <w:bodyDiv w:val="1"/>
      <w:marLeft w:val="0"/>
      <w:marRight w:val="0"/>
      <w:marTop w:val="0"/>
      <w:marBottom w:val="0"/>
      <w:divBdr>
        <w:top w:val="none" w:sz="0" w:space="0" w:color="auto"/>
        <w:left w:val="none" w:sz="0" w:space="0" w:color="auto"/>
        <w:bottom w:val="none" w:sz="0" w:space="0" w:color="auto"/>
        <w:right w:val="none" w:sz="0" w:space="0" w:color="auto"/>
      </w:divBdr>
      <w:divsChild>
        <w:div w:id="599945150">
          <w:marLeft w:val="0"/>
          <w:marRight w:val="0"/>
          <w:marTop w:val="0"/>
          <w:marBottom w:val="0"/>
          <w:divBdr>
            <w:top w:val="none" w:sz="0" w:space="0" w:color="auto"/>
            <w:left w:val="none" w:sz="0" w:space="0" w:color="auto"/>
            <w:bottom w:val="none" w:sz="0" w:space="0" w:color="auto"/>
            <w:right w:val="none" w:sz="0" w:space="0" w:color="auto"/>
          </w:divBdr>
          <w:divsChild>
            <w:div w:id="384959496">
              <w:marLeft w:val="0"/>
              <w:marRight w:val="0"/>
              <w:marTop w:val="0"/>
              <w:marBottom w:val="0"/>
              <w:divBdr>
                <w:top w:val="none" w:sz="0" w:space="0" w:color="auto"/>
                <w:left w:val="none" w:sz="0" w:space="0" w:color="auto"/>
                <w:bottom w:val="none" w:sz="0" w:space="0" w:color="auto"/>
                <w:right w:val="none" w:sz="0" w:space="0" w:color="auto"/>
              </w:divBdr>
              <w:divsChild>
                <w:div w:id="1378358791">
                  <w:marLeft w:val="0"/>
                  <w:marRight w:val="0"/>
                  <w:marTop w:val="0"/>
                  <w:marBottom w:val="0"/>
                  <w:divBdr>
                    <w:top w:val="none" w:sz="0" w:space="0" w:color="auto"/>
                    <w:left w:val="none" w:sz="0" w:space="0" w:color="auto"/>
                    <w:bottom w:val="none" w:sz="0" w:space="0" w:color="auto"/>
                    <w:right w:val="none" w:sz="0" w:space="0" w:color="auto"/>
                  </w:divBdr>
                  <w:divsChild>
                    <w:div w:id="473987526">
                      <w:marLeft w:val="2325"/>
                      <w:marRight w:val="0"/>
                      <w:marTop w:val="0"/>
                      <w:marBottom w:val="0"/>
                      <w:divBdr>
                        <w:top w:val="none" w:sz="0" w:space="0" w:color="auto"/>
                        <w:left w:val="none" w:sz="0" w:space="0" w:color="auto"/>
                        <w:bottom w:val="none" w:sz="0" w:space="0" w:color="auto"/>
                        <w:right w:val="none" w:sz="0" w:space="0" w:color="auto"/>
                      </w:divBdr>
                      <w:divsChild>
                        <w:div w:id="867060058">
                          <w:marLeft w:val="0"/>
                          <w:marRight w:val="0"/>
                          <w:marTop w:val="0"/>
                          <w:marBottom w:val="0"/>
                          <w:divBdr>
                            <w:top w:val="none" w:sz="0" w:space="0" w:color="auto"/>
                            <w:left w:val="none" w:sz="0" w:space="0" w:color="auto"/>
                            <w:bottom w:val="none" w:sz="0" w:space="0" w:color="auto"/>
                            <w:right w:val="none" w:sz="0" w:space="0" w:color="auto"/>
                          </w:divBdr>
                          <w:divsChild>
                            <w:div w:id="1460605514">
                              <w:marLeft w:val="0"/>
                              <w:marRight w:val="0"/>
                              <w:marTop w:val="0"/>
                              <w:marBottom w:val="0"/>
                              <w:divBdr>
                                <w:top w:val="none" w:sz="0" w:space="0" w:color="auto"/>
                                <w:left w:val="none" w:sz="0" w:space="0" w:color="auto"/>
                                <w:bottom w:val="none" w:sz="0" w:space="0" w:color="auto"/>
                                <w:right w:val="none" w:sz="0" w:space="0" w:color="auto"/>
                              </w:divBdr>
                              <w:divsChild>
                                <w:div w:id="1554122841">
                                  <w:marLeft w:val="0"/>
                                  <w:marRight w:val="0"/>
                                  <w:marTop w:val="0"/>
                                  <w:marBottom w:val="0"/>
                                  <w:divBdr>
                                    <w:top w:val="none" w:sz="0" w:space="0" w:color="auto"/>
                                    <w:left w:val="none" w:sz="0" w:space="0" w:color="auto"/>
                                    <w:bottom w:val="none" w:sz="0" w:space="0" w:color="auto"/>
                                    <w:right w:val="none" w:sz="0" w:space="0" w:color="auto"/>
                                  </w:divBdr>
                                  <w:divsChild>
                                    <w:div w:id="1797017494">
                                      <w:marLeft w:val="0"/>
                                      <w:marRight w:val="0"/>
                                      <w:marTop w:val="0"/>
                                      <w:marBottom w:val="0"/>
                                      <w:divBdr>
                                        <w:top w:val="none" w:sz="0" w:space="0" w:color="auto"/>
                                        <w:left w:val="none" w:sz="0" w:space="0" w:color="auto"/>
                                        <w:bottom w:val="none" w:sz="0" w:space="0" w:color="auto"/>
                                        <w:right w:val="none" w:sz="0" w:space="0" w:color="auto"/>
                                      </w:divBdr>
                                      <w:divsChild>
                                        <w:div w:id="1963611782">
                                          <w:marLeft w:val="0"/>
                                          <w:marRight w:val="0"/>
                                          <w:marTop w:val="0"/>
                                          <w:marBottom w:val="0"/>
                                          <w:divBdr>
                                            <w:top w:val="none" w:sz="0" w:space="0" w:color="auto"/>
                                            <w:left w:val="none" w:sz="0" w:space="0" w:color="auto"/>
                                            <w:bottom w:val="none" w:sz="0" w:space="0" w:color="auto"/>
                                            <w:right w:val="none" w:sz="0" w:space="0" w:color="auto"/>
                                          </w:divBdr>
                                          <w:divsChild>
                                            <w:div w:id="1892569953">
                                              <w:marLeft w:val="0"/>
                                              <w:marRight w:val="0"/>
                                              <w:marTop w:val="0"/>
                                              <w:marBottom w:val="0"/>
                                              <w:divBdr>
                                                <w:top w:val="none" w:sz="0" w:space="0" w:color="auto"/>
                                                <w:left w:val="none" w:sz="0" w:space="0" w:color="auto"/>
                                                <w:bottom w:val="none" w:sz="0" w:space="0" w:color="auto"/>
                                                <w:right w:val="none" w:sz="0" w:space="0" w:color="auto"/>
                                              </w:divBdr>
                                              <w:divsChild>
                                                <w:div w:id="374621735">
                                                  <w:marLeft w:val="0"/>
                                                  <w:marRight w:val="0"/>
                                                  <w:marTop w:val="0"/>
                                                  <w:marBottom w:val="0"/>
                                                  <w:divBdr>
                                                    <w:top w:val="none" w:sz="0" w:space="0" w:color="auto"/>
                                                    <w:left w:val="none" w:sz="0" w:space="0" w:color="auto"/>
                                                    <w:bottom w:val="none" w:sz="0" w:space="0" w:color="auto"/>
                                                    <w:right w:val="none" w:sz="0" w:space="0" w:color="auto"/>
                                                  </w:divBdr>
                                                  <w:divsChild>
                                                    <w:div w:id="110321658">
                                                      <w:marLeft w:val="0"/>
                                                      <w:marRight w:val="0"/>
                                                      <w:marTop w:val="0"/>
                                                      <w:marBottom w:val="0"/>
                                                      <w:divBdr>
                                                        <w:top w:val="none" w:sz="0" w:space="0" w:color="auto"/>
                                                        <w:left w:val="none" w:sz="0" w:space="0" w:color="auto"/>
                                                        <w:bottom w:val="none" w:sz="0" w:space="0" w:color="auto"/>
                                                        <w:right w:val="none" w:sz="0" w:space="0" w:color="auto"/>
                                                      </w:divBdr>
                                                    </w:div>
                                                    <w:div w:id="3421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835023">
      <w:bodyDiv w:val="1"/>
      <w:marLeft w:val="0"/>
      <w:marRight w:val="0"/>
      <w:marTop w:val="0"/>
      <w:marBottom w:val="0"/>
      <w:divBdr>
        <w:top w:val="none" w:sz="0" w:space="0" w:color="auto"/>
        <w:left w:val="none" w:sz="0" w:space="0" w:color="auto"/>
        <w:bottom w:val="none" w:sz="0" w:space="0" w:color="auto"/>
        <w:right w:val="none" w:sz="0" w:space="0" w:color="auto"/>
      </w:divBdr>
    </w:div>
    <w:div w:id="2057311510">
      <w:bodyDiv w:val="1"/>
      <w:marLeft w:val="0"/>
      <w:marRight w:val="0"/>
      <w:marTop w:val="0"/>
      <w:marBottom w:val="0"/>
      <w:divBdr>
        <w:top w:val="none" w:sz="0" w:space="0" w:color="auto"/>
        <w:left w:val="none" w:sz="0" w:space="0" w:color="auto"/>
        <w:bottom w:val="none" w:sz="0" w:space="0" w:color="auto"/>
        <w:right w:val="none" w:sz="0" w:space="0" w:color="auto"/>
      </w:divBdr>
    </w:div>
    <w:div w:id="2073116353">
      <w:bodyDiv w:val="1"/>
      <w:marLeft w:val="0"/>
      <w:marRight w:val="0"/>
      <w:marTop w:val="0"/>
      <w:marBottom w:val="0"/>
      <w:divBdr>
        <w:top w:val="none" w:sz="0" w:space="0" w:color="auto"/>
        <w:left w:val="none" w:sz="0" w:space="0" w:color="auto"/>
        <w:bottom w:val="none" w:sz="0" w:space="0" w:color="auto"/>
        <w:right w:val="none" w:sz="0" w:space="0" w:color="auto"/>
      </w:divBdr>
      <w:divsChild>
        <w:div w:id="1752196106">
          <w:marLeft w:val="0"/>
          <w:marRight w:val="0"/>
          <w:marTop w:val="0"/>
          <w:marBottom w:val="0"/>
          <w:divBdr>
            <w:top w:val="none" w:sz="0" w:space="0" w:color="auto"/>
            <w:left w:val="none" w:sz="0" w:space="0" w:color="auto"/>
            <w:bottom w:val="none" w:sz="0" w:space="0" w:color="auto"/>
            <w:right w:val="none" w:sz="0" w:space="0" w:color="auto"/>
          </w:divBdr>
          <w:divsChild>
            <w:div w:id="587228063">
              <w:marLeft w:val="0"/>
              <w:marRight w:val="0"/>
              <w:marTop w:val="0"/>
              <w:marBottom w:val="0"/>
              <w:divBdr>
                <w:top w:val="none" w:sz="0" w:space="0" w:color="auto"/>
                <w:left w:val="none" w:sz="0" w:space="0" w:color="auto"/>
                <w:bottom w:val="none" w:sz="0" w:space="0" w:color="auto"/>
                <w:right w:val="none" w:sz="0" w:space="0" w:color="auto"/>
              </w:divBdr>
              <w:divsChild>
                <w:div w:id="1150054125">
                  <w:marLeft w:val="0"/>
                  <w:marRight w:val="0"/>
                  <w:marTop w:val="0"/>
                  <w:marBottom w:val="0"/>
                  <w:divBdr>
                    <w:top w:val="none" w:sz="0" w:space="0" w:color="auto"/>
                    <w:left w:val="none" w:sz="0" w:space="0" w:color="auto"/>
                    <w:bottom w:val="none" w:sz="0" w:space="0" w:color="auto"/>
                    <w:right w:val="none" w:sz="0" w:space="0" w:color="auto"/>
                  </w:divBdr>
                  <w:divsChild>
                    <w:div w:id="19813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260149">
      <w:bodyDiv w:val="1"/>
      <w:marLeft w:val="0"/>
      <w:marRight w:val="0"/>
      <w:marTop w:val="0"/>
      <w:marBottom w:val="0"/>
      <w:divBdr>
        <w:top w:val="none" w:sz="0" w:space="0" w:color="auto"/>
        <w:left w:val="none" w:sz="0" w:space="0" w:color="auto"/>
        <w:bottom w:val="none" w:sz="0" w:space="0" w:color="auto"/>
        <w:right w:val="none" w:sz="0" w:space="0" w:color="auto"/>
      </w:divBdr>
    </w:div>
    <w:div w:id="2087652788">
      <w:bodyDiv w:val="1"/>
      <w:marLeft w:val="0"/>
      <w:marRight w:val="0"/>
      <w:marTop w:val="0"/>
      <w:marBottom w:val="0"/>
      <w:divBdr>
        <w:top w:val="none" w:sz="0" w:space="0" w:color="auto"/>
        <w:left w:val="none" w:sz="0" w:space="0" w:color="auto"/>
        <w:bottom w:val="none" w:sz="0" w:space="0" w:color="auto"/>
        <w:right w:val="none" w:sz="0" w:space="0" w:color="auto"/>
      </w:divBdr>
    </w:div>
    <w:div w:id="2094357373">
      <w:bodyDiv w:val="1"/>
      <w:marLeft w:val="0"/>
      <w:marRight w:val="0"/>
      <w:marTop w:val="0"/>
      <w:marBottom w:val="0"/>
      <w:divBdr>
        <w:top w:val="none" w:sz="0" w:space="0" w:color="auto"/>
        <w:left w:val="none" w:sz="0" w:space="0" w:color="auto"/>
        <w:bottom w:val="none" w:sz="0" w:space="0" w:color="auto"/>
        <w:right w:val="none" w:sz="0" w:space="0" w:color="auto"/>
      </w:divBdr>
    </w:div>
    <w:div w:id="2095007865">
      <w:bodyDiv w:val="1"/>
      <w:marLeft w:val="0"/>
      <w:marRight w:val="0"/>
      <w:marTop w:val="0"/>
      <w:marBottom w:val="0"/>
      <w:divBdr>
        <w:top w:val="none" w:sz="0" w:space="0" w:color="auto"/>
        <w:left w:val="none" w:sz="0" w:space="0" w:color="auto"/>
        <w:bottom w:val="none" w:sz="0" w:space="0" w:color="auto"/>
        <w:right w:val="none" w:sz="0" w:space="0" w:color="auto"/>
      </w:divBdr>
    </w:div>
    <w:div w:id="2107075370">
      <w:bodyDiv w:val="1"/>
      <w:marLeft w:val="0"/>
      <w:marRight w:val="0"/>
      <w:marTop w:val="0"/>
      <w:marBottom w:val="0"/>
      <w:divBdr>
        <w:top w:val="none" w:sz="0" w:space="0" w:color="auto"/>
        <w:left w:val="none" w:sz="0" w:space="0" w:color="auto"/>
        <w:bottom w:val="none" w:sz="0" w:space="0" w:color="auto"/>
        <w:right w:val="none" w:sz="0" w:space="0" w:color="auto"/>
      </w:divBdr>
    </w:div>
    <w:div w:id="2110660990">
      <w:bodyDiv w:val="1"/>
      <w:marLeft w:val="0"/>
      <w:marRight w:val="0"/>
      <w:marTop w:val="0"/>
      <w:marBottom w:val="0"/>
      <w:divBdr>
        <w:top w:val="none" w:sz="0" w:space="0" w:color="auto"/>
        <w:left w:val="none" w:sz="0" w:space="0" w:color="auto"/>
        <w:bottom w:val="none" w:sz="0" w:space="0" w:color="auto"/>
        <w:right w:val="none" w:sz="0" w:space="0" w:color="auto"/>
      </w:divBdr>
    </w:div>
    <w:div w:id="2115442491">
      <w:bodyDiv w:val="1"/>
      <w:marLeft w:val="0"/>
      <w:marRight w:val="0"/>
      <w:marTop w:val="0"/>
      <w:marBottom w:val="0"/>
      <w:divBdr>
        <w:top w:val="none" w:sz="0" w:space="0" w:color="auto"/>
        <w:left w:val="none" w:sz="0" w:space="0" w:color="auto"/>
        <w:bottom w:val="none" w:sz="0" w:space="0" w:color="auto"/>
        <w:right w:val="none" w:sz="0" w:space="0" w:color="auto"/>
      </w:divBdr>
    </w:div>
    <w:div w:id="2118019280">
      <w:bodyDiv w:val="1"/>
      <w:marLeft w:val="0"/>
      <w:marRight w:val="0"/>
      <w:marTop w:val="0"/>
      <w:marBottom w:val="0"/>
      <w:divBdr>
        <w:top w:val="none" w:sz="0" w:space="0" w:color="auto"/>
        <w:left w:val="none" w:sz="0" w:space="0" w:color="auto"/>
        <w:bottom w:val="none" w:sz="0" w:space="0" w:color="auto"/>
        <w:right w:val="none" w:sz="0" w:space="0" w:color="auto"/>
      </w:divBdr>
    </w:div>
    <w:div w:id="2118090268">
      <w:bodyDiv w:val="1"/>
      <w:marLeft w:val="0"/>
      <w:marRight w:val="0"/>
      <w:marTop w:val="0"/>
      <w:marBottom w:val="0"/>
      <w:divBdr>
        <w:top w:val="none" w:sz="0" w:space="0" w:color="auto"/>
        <w:left w:val="none" w:sz="0" w:space="0" w:color="auto"/>
        <w:bottom w:val="none" w:sz="0" w:space="0" w:color="auto"/>
        <w:right w:val="none" w:sz="0" w:space="0" w:color="auto"/>
      </w:divBdr>
    </w:div>
    <w:div w:id="214292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yperlink" Target="https://ehandboken.ous-hf.no/document/131441"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https://github.com/ocbe-uio/impress" TargetMode="Externa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C6CA11A80C4341A90477544E90E571" ma:contentTypeVersion="48" ma:contentTypeDescription="Create a new document." ma:contentTypeScope="" ma:versionID="6098c12b342591e105272892339433f4">
  <xsd:schema xmlns:xsd="http://www.w3.org/2001/XMLSchema" xmlns:xs="http://www.w3.org/2001/XMLSchema" xmlns:p="http://schemas.microsoft.com/office/2006/metadata/properties" xmlns:ns2="1e6ce477-9493-4a39-9848-d11bef8e2276" xmlns:ns3="3abbdf7d-cbcb-48dc-a0a0-2070dc3ca52f" targetNamespace="http://schemas.microsoft.com/office/2006/metadata/properties" ma:root="true" ma:fieldsID="3fafbcbe6454a0834dfae7db4fe83449" ns2:_="" ns3:_="">
    <xsd:import namespace="1e6ce477-9493-4a39-9848-d11bef8e2276"/>
    <xsd:import namespace="3abbdf7d-cbcb-48dc-a0a0-2070dc3ca52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2:SharedWithUsers" minOccurs="0"/>
                <xsd:element ref="ns2:SharedWithDetails" minOccurs="0"/>
                <xsd:element ref="ns3:MediaServiceOCR"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6ce477-9493-4a39-9848-d11bef8e2276"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be0793bb-0728-4a2d-8136-ce73b07e7b1b}" ma:internalName="TaxCatchAll" ma:showField="CatchAllData" ma:web="1e6ce477-9493-4a39-9848-d11bef8e227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abbdf7d-cbcb-48dc-a0a0-2070dc3ca52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95db1aa9-94f2-4e66-8194-7ffc0092fd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_dlc_DocId xmlns="1e6ce477-9493-4a39-9848-d11bef8e2276">TRNSCLRT-1567474269-12079</_dlc_DocId>
    <_dlc_DocIdUrl xmlns="1e6ce477-9493-4a39-9848-d11bef8e2276">
      <Url>https://transceleratebiopharma.sharepoint.com/harmonization/_layouts/15/DocIdRedir.aspx?ID=TRNSCLRT-1567474269-12079</Url>
      <Description>TRNSCLRT-1567474269-12079</Description>
    </_dlc_DocIdUrl>
    <lcf76f155ced4ddcb4097134ff3c332f xmlns="3abbdf7d-cbcb-48dc-a0a0-2070dc3ca52f">
      <Terms xmlns="http://schemas.microsoft.com/office/infopath/2007/PartnerControls"/>
    </lcf76f155ced4ddcb4097134ff3c332f>
    <TaxCatchAll xmlns="1e6ce477-9493-4a39-9848-d11bef8e2276" xsi:nil="true"/>
    <SharedWithUsers xmlns="1e6ce477-9493-4a39-9848-d11bef8e2276">
      <UserInfo>
        <DisplayName/>
        <AccountId xsi:nil="true"/>
        <AccountType/>
      </UserInfo>
    </SharedWithUsers>
    <MediaLengthInSeconds xmlns="3abbdf7d-cbcb-48dc-a0a0-2070dc3ca52f"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90E7F8-6675-47C0-A095-1E99393AB1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6ce477-9493-4a39-9848-d11bef8e2276"/>
    <ds:schemaRef ds:uri="3abbdf7d-cbcb-48dc-a0a0-2070dc3ca5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39B9D8-06CD-4198-BB06-1064497083AD}">
  <ds:schemaRefs>
    <ds:schemaRef ds:uri="http://schemas.openxmlformats.org/officeDocument/2006/bibliography"/>
  </ds:schemaRefs>
</ds:datastoreItem>
</file>

<file path=customXml/itemProps3.xml><?xml version="1.0" encoding="utf-8"?>
<ds:datastoreItem xmlns:ds="http://schemas.openxmlformats.org/officeDocument/2006/customXml" ds:itemID="{7F7F9755-F00C-4826-8D09-E9F26747F414}">
  <ds:schemaRefs>
    <ds:schemaRef ds:uri="http://schemas.microsoft.com/sharepoint/events"/>
  </ds:schemaRefs>
</ds:datastoreItem>
</file>

<file path=customXml/itemProps4.xml><?xml version="1.0" encoding="utf-8"?>
<ds:datastoreItem xmlns:ds="http://schemas.openxmlformats.org/officeDocument/2006/customXml" ds:itemID="{8DE3E4F5-6501-4EF7-A17A-A6CB5D6ECB6A}">
  <ds:schemaRefs>
    <ds:schemaRef ds:uri="http://schemas.microsoft.com/office/2006/metadata/properties"/>
    <ds:schemaRef ds:uri="http://schemas.microsoft.com/office/infopath/2007/PartnerControls"/>
    <ds:schemaRef ds:uri="1e6ce477-9493-4a39-9848-d11bef8e2276"/>
    <ds:schemaRef ds:uri="3abbdf7d-cbcb-48dc-a0a0-2070dc3ca52f"/>
  </ds:schemaRefs>
</ds:datastoreItem>
</file>

<file path=customXml/itemProps5.xml><?xml version="1.0" encoding="utf-8"?>
<ds:datastoreItem xmlns:ds="http://schemas.openxmlformats.org/officeDocument/2006/customXml" ds:itemID="{6A874A0E-2CA4-4698-8FA9-17FD95E2295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1068</TotalTime>
  <Pages>33</Pages>
  <Words>9360</Words>
  <Characters>53355</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Inge Christoffer Olsen</cp:lastModifiedBy>
  <cp:revision>90</cp:revision>
  <dcterms:created xsi:type="dcterms:W3CDTF">2021-05-07T23:04:00Z</dcterms:created>
  <dcterms:modified xsi:type="dcterms:W3CDTF">2026-01-23T13:43:00Z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Type">
    <vt:lpwstr>SAP</vt:lpwstr>
  </property>
  <property fmtid="{D5CDD505-2E9C-101B-9397-08002B2CF9AE}" pid="3" name="Template Version">
    <vt:lpwstr>V005</vt:lpwstr>
  </property>
  <property fmtid="{D5CDD505-2E9C-101B-9397-08002B2CF9AE}" pid="4" name="ContentTypeId">
    <vt:lpwstr>0x01010063C6CA11A80C4341A90477544E90E571</vt:lpwstr>
  </property>
  <property fmtid="{D5CDD505-2E9C-101B-9397-08002B2CF9AE}" pid="5" name="_dlc_DocIdItemGuid">
    <vt:lpwstr>6ad5823a-dba7-4e5a-add1-c9206a66f682</vt:lpwstr>
  </property>
  <property fmtid="{D5CDD505-2E9C-101B-9397-08002B2CF9AE}" pid="6" name="MediaServiceImageTags">
    <vt:lpwstr/>
  </property>
  <property fmtid="{D5CDD505-2E9C-101B-9397-08002B2CF9AE}" pid="7" name="Auto open Manage Objectives and Endpoints wizard">
    <vt:bool>true</vt:bool>
  </property>
  <property fmtid="{D5CDD505-2E9C-101B-9397-08002B2CF9AE}" pid="8" name="Order">
    <vt:r8>1128600</vt:r8>
  </property>
  <property fmtid="{D5CDD505-2E9C-101B-9397-08002B2CF9AE}" pid="9" name="xd_Signature">
    <vt:bool>false</vt:bool>
  </property>
  <property fmtid="{D5CDD505-2E9C-101B-9397-08002B2CF9AE}" pid="10" name="xd_ProgID">
    <vt:lpwstr/>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