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ImPRESS Statistical Analysis Report</w:t>
      </w:r>
    </w:p>
    <w:p>
      <w:pPr>
        <w:pStyle w:val="Subtitle"/>
      </w:pPr>
      <w:r>
        <w:t xml:space="preserve">Baseline Review for the Newly Diagnosed Glioblastoma Cohort</w:t>
      </w:r>
    </w:p>
    <w:p>
      <w:pPr>
        <w:pStyle w:val="Author"/>
      </w:pPr>
      <w:r>
        <w:t xml:space="preserve">ImPRESS Statistical Team</w:t>
      </w:r>
    </w:p>
    <w:p>
      <w:pPr>
        <w:pStyle w:val="Date"/>
      </w:pPr>
      <w:r>
        <w:t xml:space="preserve">29 October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The ImPRESS study is a prospective investigation of losartan as an adjunctive therapy for patients with glioblastoma. According to Protocol Version 7.0 (17-Dec-2024), the trial collects comprehensive demographic, clinical, imaging, and quality-of-life information prior to treatment initiation. The statistical objectives for the interim analyses focus on characterising baseline status, neurological function, and tumour burden before randomisation to evaluate comparability across planned treatment arms.</w:t>
      </w:r>
    </w:p>
    <w:p>
      <w:pPr>
        <w:pStyle w:val="BodyText"/>
      </w:pPr>
      <w:r>
        <w:t xml:space="preserve">This report summarises the currently available baseline data with emphasis on clinical status, imaging assessments, and prior treatments that may influence subsequent outcomes. The material is intended to provide early insight into data quality and cohort composition ahead of formal efficacy or safety analyses.</w:t>
      </w:r>
    </w:p>
    <w:bookmarkEnd w:id="20"/>
    <w:bookmarkStart w:id="21" w:name="randomisation-status"/>
    <w:p>
      <w:pPr>
        <w:pStyle w:val="Heading1"/>
      </w:pPr>
      <w:r>
        <w:t xml:space="preserve">Randomisation Status</w:t>
      </w:r>
    </w:p>
    <w:p>
      <w:pPr>
        <w:pStyle w:val="FirstParagraph"/>
      </w:pPr>
      <w:r>
        <w:t xml:space="preserve">The present dataset is built on</w:t>
      </w:r>
      <w:r>
        <w:t xml:space="preserve"> </w:t>
      </w:r>
      <w:r>
        <w:rPr>
          <w:i/>
          <w:iCs/>
        </w:rPr>
        <w:t xml:space="preserve">sham randomisation</w:t>
      </w:r>
      <w:r>
        <w:t xml:space="preserve"> </w:t>
      </w:r>
      <w:r>
        <w:t xml:space="preserve">generated from the most recent export (see</w:t>
      </w:r>
      <w:r>
        <w:t xml:space="preserve"> </w:t>
      </w:r>
      <w:r>
        <w:rPr>
          <w:rStyle w:val="VerbatimChar"/>
        </w:rPr>
        <w:t xml:space="preserve">_targets.R</w:t>
      </w:r>
      <w:r>
        <w:t xml:space="preserve"> </w:t>
      </w:r>
      <w:r>
        <w:t xml:space="preserve">workflow). No true treatment assignments have been unlocked. All findings in this document should therefore be interpreted as preliminary and descriptive only. Final efficacy comparisons will not be conducted until the database is locked and genuine randomisation codes are released.</w:t>
      </w:r>
    </w:p>
    <w:bookmarkEnd w:id="21"/>
    <w:bookmarkStart w:id="22" w:name="cohort-scope"/>
    <w:p>
      <w:pPr>
        <w:pStyle w:val="Heading1"/>
      </w:pPr>
      <w:r>
        <w:t xml:space="preserve">Cohort Scope</w:t>
      </w:r>
    </w:p>
    <w:p>
      <w:pPr>
        <w:pStyle w:val="FirstParagraph"/>
      </w:pPr>
      <w:r>
        <w:t xml:space="preserve">The results herein are restricted to participants enrolled in the</w:t>
      </w:r>
      <w:r>
        <w:t xml:space="preserve"> </w:t>
      </w:r>
      <w:r>
        <w:rPr>
          <w:b/>
          <w:bCs/>
        </w:rPr>
        <w:t xml:space="preserve">newly diagnosed glioblastoma (AN) cohort</w:t>
      </w:r>
      <w:r>
        <w:t xml:space="preserve">. Subjects with recurrent disease are excluded from all summaries, figures, and tables in this draft. A combined-cohort analysis will be delivered once recruitment and cleaning are complete for both strata.</w:t>
      </w:r>
    </w:p>
    <w:p>
      <w:pPr>
        <w:pStyle w:val="BodyText"/>
      </w:pPr>
      <w:r>
        <w:t xml:space="preserve">Future revisions of this report will:</w:t>
      </w:r>
    </w:p>
    <w:p>
      <w:pPr>
        <w:pStyle w:val="Compact"/>
        <w:numPr>
          <w:ilvl w:val="0"/>
          <w:numId w:val="1001"/>
        </w:numPr>
      </w:pPr>
      <w:r>
        <w:t xml:space="preserve">incorporate the validated randomisation list once database lock is confirmed,</w:t>
      </w:r>
    </w:p>
    <w:p>
      <w:pPr>
        <w:pStyle w:val="Compact"/>
        <w:numPr>
          <w:ilvl w:val="0"/>
          <w:numId w:val="1001"/>
        </w:numPr>
      </w:pPr>
      <w:r>
        <w:t xml:space="preserve">integrate data from the recurrent glioblastoma cohort,</w:t>
      </w:r>
    </w:p>
    <w:p>
      <w:pPr>
        <w:pStyle w:val="Compact"/>
        <w:numPr>
          <w:ilvl w:val="0"/>
          <w:numId w:val="1001"/>
        </w:numPr>
      </w:pPr>
      <w:r>
        <w:t xml:space="preserve">extend the analyses to longitudinal efficacy and safety endpoints.</w:t>
      </w:r>
    </w:p>
    <w:bookmarkEnd w:id="22"/>
    <w:bookmarkStart w:id="23" w:name="baseline-characteristics"/>
    <w:p>
      <w:pPr>
        <w:pStyle w:val="Heading1"/>
      </w:pPr>
      <w:r>
        <w:t xml:space="preserve">Baseline Characteristics</w:t>
      </w:r>
    </w:p>
    <w:p>
      <w:pPr>
        <w:pStyle w:val="FirstParagraph"/>
      </w:pPr>
      <w:r>
        <w:t xml:space="preserve">This section summarises baseline characteristics for the newly diagnosed glioblastoma cohort using the</w:t>
      </w:r>
      <w:r>
        <w:t xml:space="preserve"> </w:t>
      </w:r>
      <w:r>
        <w:rPr>
          <w:rStyle w:val="VerbatimChar"/>
        </w:rPr>
        <w:t xml:space="preserve">adbl</w:t>
      </w:r>
      <w:r>
        <w:t xml:space="preserve"> </w:t>
      </w:r>
      <w:r>
        <w:t xml:space="preserve">ADaM dataset.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cantSplit/>
          <w:trHeight w:val="311" w:hRule="auto"/>
          <w:tblHeader/>
        </w:trPr>
        header  1
        <w:tc>
          <w:tcPr>
            <w:gridSpan w:val="2"/>
            <w:tcBorders>
              <w:bottom w:val="single" w:sz="4" w:space="0" w:color="666666"/>
              <w:top w:val="none" w:sz="0" w:space="0" w:color="666666"/>
              <w:left w:val="none" w:sz="0" w:space="0" w:color="666666"/>
              <w:right w:val="none" w:sz="0"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64"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Demographics and Baseline characteristics</w:t>
            </w:r>
          </w:p>
        </w:tc>
      </w:tr>
      <w:tr>
        <w:trPr>
          <w:cantSplit/>
          <w:trHeight w:val="275" w:hRule="auto"/>
          <w:tblHeader/>
        </w:trPr>
        header  2
        <w:tc>
          <w:tcPr>
            <w:tcBorders>
              <w:bottom w:val="single" w:sz="4" w:space="0" w:color="666666"/>
              <w:top w:val="single" w:sz="4" w:space="0" w:color="666666"/>
              <w:left w:val="single" w:sz="4" w:space="0" w:color="666666"/>
              <w:right w:val="single" w:sz="4"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64"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t>
            </w:r>
          </w:p>
        </w:tc>
        <w:tc>
          <w:tcPr>
            <w:tcBorders>
              <w:bottom w:val="single" w:sz="4" w:space="0" w:color="666666"/>
              <w:top w:val="single" w:sz="4" w:space="0" w:color="666666"/>
              <w:left w:val="single" w:sz="4" w:space="0" w:color="666666"/>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all obs</w:t>
            </w:r>
          </w:p>
        </w:tc>
      </w:tr>
      <w:tr>
        <w:trPr>
          <w:cantSplit/>
          <w:trHeight w:val="393" w:hRule="auto"/>
        </w:trPr>
        body  1
        <w:tc>
          <w:tcPr>
            <w:tcBorders>
              <w:bottom w:val="none" w:sz="0" w:space="0" w:color="000000"/>
              <w:top w:val="single" w:sz="4" w:space="0" w:color="666666"/>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Age (years)</w:t>
            </w:r>
          </w:p>
        </w:tc>
        <w:tc>
          <w:tcPr>
            <w:tcBorders>
              <w:bottom w:val="none" w:sz="0" w:space="0" w:color="000000"/>
              <w:top w:val="single" w:sz="4" w:space="0" w:color="666666"/>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52.6 (10.2)</w:t>
            </w:r>
          </w:p>
        </w:tc>
      </w:tr>
      <w:tr>
        <w:trPr>
          <w:cantSplit/>
          <w:trHeight w:val="276" w:hRule="auto"/>
        </w:trPr>
        body  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55.0</w:t>
            </w:r>
          </w:p>
        </w:tc>
      </w:tr>
      <w:tr>
        <w:trPr>
          <w:cantSplit/>
          <w:trHeight w:val="276" w:hRule="auto"/>
        </w:trPr>
        body  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26.0 - 69.0</w:t>
            </w:r>
          </w:p>
        </w:tc>
      </w:tr>
      <w:tr>
        <w:trPr>
          <w:cantSplit/>
          <w:trHeight w:val="357" w:hRule="auto"/>
        </w:trPr>
        body  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Female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 (53.7%)</w:t>
            </w:r>
          </w:p>
        </w:tc>
      </w:tr>
      <w:tr>
        <w:trPr>
          <w:cantSplit/>
          <w:trHeight w:val="313" w:hRule="auto"/>
        </w:trPr>
        body  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Male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 (46.3%)</w:t>
            </w:r>
          </w:p>
        </w:tc>
      </w:tr>
      <w:tr>
        <w:trPr>
          <w:cantSplit/>
          <w:trHeight w:val="357" w:hRule="auto"/>
        </w:trPr>
        body 10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Cohort</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11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12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Newly diagnosed glioblastoma</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3" w:hRule="auto"/>
        </w:trPr>
        body 13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Country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14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15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NOR</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3" w:hRule="auto"/>
        </w:trPr>
        body 16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Childbearing potential?</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 17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r>
      <w:tr>
        <w:trPr>
          <w:cantSplit/>
          <w:trHeight w:val="313" w:hRule="auto"/>
        </w:trPr>
        body 18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 (44.8%)</w:t>
            </w:r>
          </w:p>
        </w:tc>
      </w:tr>
      <w:tr>
        <w:trPr>
          <w:cantSplit/>
          <w:trHeight w:val="313" w:hRule="auto"/>
        </w:trPr>
        body 19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 (55.2%)</w:t>
            </w:r>
          </w:p>
        </w:tc>
      </w:tr>
      <w:tr>
        <w:trPr>
          <w:cantSplit/>
          <w:trHeight w:val="391" w:hRule="auto"/>
        </w:trPr>
        body 20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Diagnosis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21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22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Newly diagnosed glioblastoma</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3" w:hRule="auto"/>
        </w:trPr>
        body 23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Time from surgery to randomisation (days)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24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25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 (7.3)</w:t>
            </w:r>
          </w:p>
        </w:tc>
      </w:tr>
      <w:tr>
        <w:trPr>
          <w:cantSplit/>
          <w:trHeight w:val="276" w:hRule="auto"/>
        </w:trPr>
        body 26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r>
      <w:tr>
        <w:trPr>
          <w:cantSplit/>
          <w:trHeight w:val="276" w:hRule="auto"/>
        </w:trPr>
        body 27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13.0 - 48.0</w:t>
            </w:r>
          </w:p>
        </w:tc>
      </w:tr>
      <w:tr>
        <w:trPr>
          <w:cantSplit/>
          <w:trHeight w:val="357" w:hRule="auto"/>
        </w:trPr>
        body 28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IDH1/2 mutation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29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30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47 (87%)</w:t>
            </w:r>
          </w:p>
        </w:tc>
      </w:tr>
      <w:tr>
        <w:trPr>
          <w:cantSplit/>
          <w:trHeight w:val="313" w:hRule="auto"/>
        </w:trPr>
        body 31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 (13%)</w:t>
            </w:r>
          </w:p>
        </w:tc>
      </w:tr>
      <w:tr>
        <w:trPr>
          <w:cantSplit/>
          <w:trHeight w:val="357" w:hRule="auto"/>
        </w:trPr>
        body 32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MGMT status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33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34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 (55.6%)</w:t>
            </w:r>
          </w:p>
        </w:tc>
      </w:tr>
      <w:tr>
        <w:trPr>
          <w:cantSplit/>
          <w:trHeight w:val="313" w:hRule="auto"/>
        </w:trPr>
        body 35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 (44.4%)</w:t>
            </w:r>
          </w:p>
        </w:tc>
      </w:tr>
      <w:tr>
        <w:trPr>
          <w:cantSplit/>
          <w:trHeight w:val="391" w:hRule="auto"/>
        </w:trPr>
        body 36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Pregnancy test result</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 37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r>
      <w:tr>
        <w:trPr>
          <w:cantSplit/>
          <w:trHeight w:val="313" w:hRule="auto"/>
        </w:trPr>
        body 38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 (100%)</w:t>
            </w:r>
          </w:p>
        </w:tc>
      </w:tr>
      <w:tr>
        <w:trPr>
          <w:cantSplit/>
          <w:trHeight w:val="357" w:hRule="auto"/>
        </w:trPr>
        body 39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ECOG Score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40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41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ECOG Score0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40 (74.1%)</w:t>
            </w:r>
          </w:p>
        </w:tc>
      </w:tr>
      <w:tr>
        <w:trPr>
          <w:cantSplit/>
          <w:trHeight w:val="313" w:hRule="auto"/>
        </w:trPr>
        body 42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ECOG Score1</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 (24.1%)</w:t>
            </w:r>
          </w:p>
        </w:tc>
      </w:tr>
      <w:tr>
        <w:trPr>
          <w:cantSplit/>
          <w:trHeight w:val="313" w:hRule="auto"/>
        </w:trPr>
        body 43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ECOG Score2</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 (1.9%)</w:t>
            </w:r>
          </w:p>
        </w:tc>
      </w:tr>
      <w:tr>
        <w:trPr>
          <w:cantSplit/>
          <w:trHeight w:val="393" w:hRule="auto"/>
        </w:trPr>
        body 44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ECOG Score (numeric)</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45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46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 (0.5)</w:t>
            </w:r>
          </w:p>
        </w:tc>
      </w:tr>
      <w:tr>
        <w:trPr>
          <w:cantSplit/>
          <w:trHeight w:val="276" w:hRule="auto"/>
        </w:trPr>
        body 47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w:t>
            </w:r>
          </w:p>
        </w:tc>
      </w:tr>
      <w:tr>
        <w:trPr>
          <w:cantSplit/>
          <w:trHeight w:val="276" w:hRule="auto"/>
        </w:trPr>
        body 48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0.0 - 2.0</w:t>
            </w:r>
          </w:p>
        </w:tc>
      </w:tr>
      <w:tr>
        <w:trPr>
          <w:cantSplit/>
          <w:trHeight w:val="393" w:hRule="auto"/>
        </w:trPr>
        body 49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Karnofsky Performance Scale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50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51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KPS 100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 (63%)</w:t>
            </w:r>
          </w:p>
        </w:tc>
      </w:tr>
      <w:tr>
        <w:trPr>
          <w:cantSplit/>
          <w:trHeight w:val="313" w:hRule="auto"/>
        </w:trPr>
        body 52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KPS 60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 (1.9%)</w:t>
            </w:r>
          </w:p>
        </w:tc>
      </w:tr>
      <w:tr>
        <w:trPr>
          <w:cantSplit/>
          <w:trHeight w:val="313" w:hRule="auto"/>
        </w:trPr>
        body 53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KPS 80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 (7.4%)</w:t>
            </w:r>
          </w:p>
        </w:tc>
      </w:tr>
      <w:tr>
        <w:trPr>
          <w:cantSplit/>
          <w:trHeight w:val="313" w:hRule="auto"/>
        </w:trPr>
        body 54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KPS 90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 (27.8%)</w:t>
            </w:r>
          </w:p>
        </w:tc>
      </w:tr>
      <w:tr>
        <w:trPr>
          <w:cantSplit/>
          <w:trHeight w:val="393" w:hRule="auto"/>
        </w:trPr>
        body 55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Karnofsky Performance Scale (numeric)</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56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57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95.0 (8.0)</w:t>
            </w:r>
          </w:p>
        </w:tc>
      </w:tr>
      <w:tr>
        <w:trPr>
          <w:cantSplit/>
          <w:trHeight w:val="276" w:hRule="auto"/>
        </w:trPr>
        body 58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100.0</w:t>
            </w:r>
          </w:p>
        </w:tc>
      </w:tr>
      <w:tr>
        <w:trPr>
          <w:cantSplit/>
          <w:trHeight w:val="276" w:hRule="auto"/>
        </w:trPr>
        body 59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60.0 - 100.0</w:t>
            </w:r>
          </w:p>
        </w:tc>
      </w:tr>
      <w:tr>
        <w:trPr>
          <w:cantSplit/>
          <w:trHeight w:val="357" w:hRule="auto"/>
        </w:trPr>
        body 60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 NANO score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61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62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(1.3)</w:t>
            </w:r>
          </w:p>
        </w:tc>
      </w:tr>
      <w:tr>
        <w:trPr>
          <w:cantSplit/>
          <w:trHeight w:val="276" w:hRule="auto"/>
        </w:trPr>
        body 63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w:t>
            </w:r>
          </w:p>
        </w:tc>
      </w:tr>
      <w:tr>
        <w:trPr>
          <w:cantSplit/>
          <w:trHeight w:val="276" w:hRule="auto"/>
        </w:trPr>
        body 64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0.0 - 4.0</w:t>
            </w:r>
          </w:p>
        </w:tc>
      </w:tr>
      <w:tr>
        <w:trPr>
          <w:cantSplit/>
          <w:trHeight w:val="368" w:hRule="auto"/>
        </w:trPr>
        body 65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EORTC QLQ-C30 score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 66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r>
      <w:tr>
        <w:trPr>
          <w:cantSplit/>
          <w:trHeight w:val="313" w:hRule="auto"/>
        </w:trPr>
        body 67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56.3 (8.6)</w:t>
            </w:r>
          </w:p>
        </w:tc>
      </w:tr>
      <w:tr>
        <w:trPr>
          <w:cantSplit/>
          <w:trHeight w:val="276" w:hRule="auto"/>
        </w:trPr>
        body 68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54.0</w:t>
            </w:r>
          </w:p>
        </w:tc>
      </w:tr>
      <w:tr>
        <w:trPr>
          <w:cantSplit/>
          <w:trHeight w:val="276" w:hRule="auto"/>
        </w:trPr>
        body 69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41.0 - 77.0</w:t>
            </w:r>
          </w:p>
        </w:tc>
      </w:tr>
      <w:tr>
        <w:trPr>
          <w:cantSplit/>
          <w:trHeight w:val="368" w:hRule="auto"/>
        </w:trPr>
        body 70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EORTC QLQ-BN20 score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 71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r>
      <w:tr>
        <w:trPr>
          <w:cantSplit/>
          <w:trHeight w:val="313" w:hRule="auto"/>
        </w:trPr>
        body 72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30.8 (6.6)</w:t>
            </w:r>
          </w:p>
        </w:tc>
      </w:tr>
      <w:tr>
        <w:trPr>
          <w:cantSplit/>
          <w:trHeight w:val="276" w:hRule="auto"/>
        </w:trPr>
        body 73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30.0</w:t>
            </w:r>
          </w:p>
        </w:tc>
      </w:tr>
      <w:tr>
        <w:trPr>
          <w:cantSplit/>
          <w:trHeight w:val="276" w:hRule="auto"/>
        </w:trPr>
        body 74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20.0 - 49.0</w:t>
            </w:r>
          </w:p>
        </w:tc>
      </w:tr>
      <w:tr>
        <w:trPr>
          <w:cantSplit/>
          <w:trHeight w:val="393" w:hRule="auto"/>
        </w:trPr>
        body 75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Systolic blood pressure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76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77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130.0 (15.4)</w:t>
            </w:r>
          </w:p>
        </w:tc>
      </w:tr>
      <w:tr>
        <w:trPr>
          <w:cantSplit/>
          <w:trHeight w:val="276" w:hRule="auto"/>
        </w:trPr>
        body 78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128.5</w:t>
            </w:r>
          </w:p>
        </w:tc>
      </w:tr>
      <w:tr>
        <w:trPr>
          <w:cantSplit/>
          <w:trHeight w:val="276" w:hRule="auto"/>
        </w:trPr>
        body 79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106.0 - 180.0</w:t>
            </w:r>
          </w:p>
        </w:tc>
      </w:tr>
      <w:tr>
        <w:trPr>
          <w:cantSplit/>
          <w:trHeight w:val="388" w:hRule="auto"/>
        </w:trPr>
        body 80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Diastolic blood pressure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81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82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81.9 (7.1)</w:t>
            </w:r>
          </w:p>
        </w:tc>
      </w:tr>
      <w:tr>
        <w:trPr>
          <w:cantSplit/>
          <w:trHeight w:val="276" w:hRule="auto"/>
        </w:trPr>
        body 83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82.0</w:t>
            </w:r>
          </w:p>
        </w:tc>
      </w:tr>
      <w:tr>
        <w:trPr>
          <w:cantSplit/>
          <w:trHeight w:val="276" w:hRule="auto"/>
        </w:trPr>
        body 84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67.0 - 97.0</w:t>
            </w:r>
          </w:p>
        </w:tc>
      </w:tr>
      <w:tr>
        <w:trPr>
          <w:cantSplit/>
          <w:trHeight w:val="355" w:hRule="auto"/>
        </w:trPr>
        body 85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Pulse Rate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86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87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80.7 (15.7)</w:t>
            </w:r>
          </w:p>
        </w:tc>
      </w:tr>
      <w:tr>
        <w:trPr>
          <w:cantSplit/>
          <w:trHeight w:val="276" w:hRule="auto"/>
        </w:trPr>
        body 88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78.0</w:t>
            </w:r>
          </w:p>
        </w:tc>
      </w:tr>
      <w:tr>
        <w:trPr>
          <w:cantSplit/>
          <w:trHeight w:val="276" w:hRule="auto"/>
        </w:trPr>
        body 89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54.0 - 114.0</w:t>
            </w:r>
          </w:p>
        </w:tc>
      </w:tr>
      <w:tr>
        <w:trPr>
          <w:cantSplit/>
          <w:trHeight w:val="393" w:hRule="auto"/>
        </w:trPr>
        body 90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Weight (kg)</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91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92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78.8 (13.2)</w:t>
            </w:r>
          </w:p>
        </w:tc>
      </w:tr>
      <w:tr>
        <w:trPr>
          <w:cantSplit/>
          <w:trHeight w:val="276" w:hRule="auto"/>
        </w:trPr>
        body 93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78.3</w:t>
            </w:r>
          </w:p>
        </w:tc>
      </w:tr>
      <w:tr>
        <w:trPr>
          <w:cantSplit/>
          <w:trHeight w:val="276" w:hRule="auto"/>
        </w:trPr>
        body 94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48.2 - 116.0</w:t>
            </w:r>
          </w:p>
        </w:tc>
      </w:tr>
      <w:tr>
        <w:trPr>
          <w:cantSplit/>
          <w:trHeight w:val="353" w:hRule="auto"/>
        </w:trPr>
        body 95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BMI</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 96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r>
      <w:tr>
        <w:trPr>
          <w:cantSplit/>
          <w:trHeight w:val="313" w:hRule="auto"/>
        </w:trPr>
        body 97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 (4.2)</w:t>
            </w:r>
          </w:p>
        </w:tc>
      </w:tr>
      <w:tr>
        <w:trPr>
          <w:cantSplit/>
          <w:trHeight w:val="276" w:hRule="auto"/>
        </w:trPr>
        body 98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23.9</w:t>
            </w:r>
          </w:p>
        </w:tc>
      </w:tr>
      <w:tr>
        <w:trPr>
          <w:cantSplit/>
          <w:trHeight w:val="276" w:hRule="auto"/>
        </w:trPr>
        body 99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18.6 - 39.9</w:t>
            </w:r>
          </w:p>
        </w:tc>
      </w:tr>
      <w:tr>
        <w:trPr>
          <w:cantSplit/>
          <w:trHeight w:val="393" w:hRule="auto"/>
        </w:trPr>
        body100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Height (cm)</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body101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r>
      <w:tr>
        <w:trPr>
          <w:cantSplit/>
          <w:trHeight w:val="313" w:hRule="auto"/>
        </w:trPr>
        body102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176.5 (8.8)</w:t>
            </w:r>
          </w:p>
        </w:tc>
      </w:tr>
      <w:tr>
        <w:trPr>
          <w:cantSplit/>
          <w:trHeight w:val="276" w:hRule="auto"/>
        </w:trPr>
        body103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175.0</w:t>
            </w:r>
          </w:p>
        </w:tc>
      </w:tr>
      <w:tr>
        <w:trPr>
          <w:cantSplit/>
          <w:trHeight w:val="276" w:hRule="auto"/>
        </w:trPr>
        body104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158.0 - 194.0</w:t>
            </w:r>
          </w:p>
        </w:tc>
      </w:tr>
      <w:tr>
        <w:trPr>
          <w:cantSplit/>
          <w:trHeight w:val="391" w:hRule="auto"/>
        </w:trPr>
        body105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Has the patient received chemotherapy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body106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body107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1" w:hRule="auto"/>
        </w:trPr>
        body108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Has the patient received immunotherapy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body109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body110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2" w:hRule="auto"/>
        </w:trPr>
        body111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Has the patient received radiation therapy to the brain?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body112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body113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3" w:hRule="auto"/>
        </w:trPr>
        body114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CNS surgery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body115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body116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 (5.6%)</w:t>
            </w:r>
          </w:p>
        </w:tc>
      </w:tr>
      <w:tr>
        <w:trPr>
          <w:cantSplit/>
          <w:trHeight w:val="313" w:hRule="auto"/>
        </w:trPr>
        body117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 (94.4%)</w:t>
            </w:r>
          </w:p>
        </w:tc>
      </w:tr>
      <w:tr>
        <w:trPr>
          <w:cantSplit/>
          <w:trHeight w:val="357" w:hRule="auto"/>
        </w:trPr>
        body118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Steroids at time of MRI</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body119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body120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 (77.8%)</w:t>
            </w:r>
          </w:p>
        </w:tc>
      </w:tr>
      <w:tr>
        <w:trPr>
          <w:cantSplit/>
          <w:trHeight w:val="313" w:hRule="auto"/>
        </w:trPr>
        body121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 (22.2%)</w:t>
            </w:r>
          </w:p>
        </w:tc>
      </w:tr>
      <w:tr>
        <w:trPr>
          <w:cantSplit/>
          <w:trHeight w:val="393" w:hRule="auto"/>
        </w:trPr>
        body122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cerebral blood flow (PTA-ROI)</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body123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body124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 (0.4)</w:t>
            </w:r>
          </w:p>
        </w:tc>
      </w:tr>
      <w:tr>
        <w:trPr>
          <w:cantSplit/>
          <w:trHeight w:val="275" w:hRule="auto"/>
        </w:trPr>
        body125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r>
      <w:tr>
        <w:trPr>
          <w:cantSplit/>
          <w:trHeight w:val="276" w:hRule="auto"/>
        </w:trPr>
        body126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0.7 - 2.4</w:t>
            </w:r>
          </w:p>
        </w:tc>
      </w:tr>
      <w:tr>
        <w:trPr>
          <w:cantSplit/>
          <w:trHeight w:val="393" w:hRule="auto"/>
        </w:trPr>
        body127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cerebral blood flow (ROI2)</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body128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47</w:t>
            </w:r>
          </w:p>
        </w:tc>
      </w:tr>
      <w:tr>
        <w:trPr>
          <w:cantSplit/>
          <w:trHeight w:val="313" w:hRule="auto"/>
        </w:trPr>
        body129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 (0.5)</w:t>
            </w:r>
          </w:p>
        </w:tc>
      </w:tr>
      <w:tr>
        <w:trPr>
          <w:cantSplit/>
          <w:trHeight w:val="276" w:hRule="auto"/>
        </w:trPr>
        body130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cantSplit/>
          <w:trHeight w:val="276" w:hRule="auto"/>
        </w:trPr>
        body131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0.2 - 2.2</w:t>
            </w:r>
          </w:p>
        </w:tc>
      </w:tr>
      <w:tr>
        <w:trPr>
          <w:cantSplit/>
          <w:trHeight w:val="393" w:hRule="auto"/>
        </w:trPr>
        body132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solid stress (PTA-ROI)</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body133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body134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 (0.1)</w:t>
            </w:r>
          </w:p>
        </w:tc>
      </w:tr>
      <w:tr>
        <w:trPr>
          <w:cantSplit/>
          <w:trHeight w:val="276" w:hRule="auto"/>
        </w:trPr>
        body135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w:t>
            </w:r>
          </w:p>
        </w:tc>
      </w:tr>
      <w:tr>
        <w:trPr>
          <w:cantSplit/>
          <w:trHeight w:val="276" w:hRule="auto"/>
        </w:trPr>
        body136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0.5 - 1.1</w:t>
            </w:r>
          </w:p>
        </w:tc>
      </w:tr>
      <w:tr>
        <w:trPr>
          <w:cantSplit/>
          <w:trHeight w:val="393" w:hRule="auto"/>
        </w:trPr>
        body137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solid stress (ROI2)</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body138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r>
      <w:tr>
        <w:trPr>
          <w:cantSplit/>
          <w:trHeight w:val="313" w:hRule="auto"/>
        </w:trPr>
        body139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 (0.2)</w:t>
            </w:r>
          </w:p>
        </w:tc>
      </w:tr>
      <w:tr>
        <w:trPr>
          <w:cantSplit/>
          <w:trHeight w:val="276" w:hRule="auto"/>
        </w:trPr>
        body140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r>
      <w:tr>
        <w:trPr>
          <w:cantSplit/>
          <w:trHeight w:val="276" w:hRule="auto"/>
        </w:trPr>
        body141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0.5 - 1.4</w:t>
            </w:r>
          </w:p>
        </w:tc>
      </w:tr>
      <w:tr>
        <w:trPr>
          <w:cantSplit/>
          <w:trHeight w:val="391" w:hRule="auto"/>
        </w:trPr>
        body142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apparent diffusion coefficient</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body143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w:t>
            </w:r>
          </w:p>
        </w:tc>
      </w:tr>
      <w:tr>
        <w:trPr>
          <w:cantSplit/>
          <w:trHeight w:val="313" w:hRule="auto"/>
        </w:trPr>
        body144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 (0.2)</w:t>
            </w:r>
          </w:p>
        </w:tc>
      </w:tr>
      <w:tr>
        <w:trPr>
          <w:cantSplit/>
          <w:trHeight w:val="275" w:hRule="auto"/>
        </w:trPr>
        body145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r>
      <w:tr>
        <w:trPr>
          <w:cantSplit/>
          <w:trHeight w:val="276" w:hRule="auto"/>
        </w:trPr>
        body146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1.0 - 2.0</w:t>
            </w:r>
          </w:p>
        </w:tc>
      </w:tr>
      <w:tr>
        <w:trPr>
          <w:cantSplit/>
          <w:trHeight w:val="393" w:hRule="auto"/>
        </w:trPr>
        body147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fractional anisotropy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body148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w:t>
            </w:r>
          </w:p>
        </w:tc>
      </w:tr>
      <w:tr>
        <w:trPr>
          <w:cantSplit/>
          <w:trHeight w:val="313" w:hRule="auto"/>
        </w:trPr>
        body149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(0.1)</w:t>
            </w:r>
          </w:p>
        </w:tc>
      </w:tr>
      <w:tr>
        <w:trPr>
          <w:cantSplit/>
          <w:trHeight w:val="276" w:hRule="auto"/>
        </w:trPr>
        body150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r>
      <w:tr>
        <w:trPr>
          <w:cantSplit/>
          <w:trHeight w:val="276" w:hRule="auto"/>
        </w:trPr>
        body151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0.3 - 1.0</w:t>
            </w:r>
          </w:p>
        </w:tc>
      </w:tr>
      <w:tr>
        <w:trPr>
          <w:cantSplit/>
          <w:trHeight w:val="391" w:hRule="auto"/>
        </w:trPr>
        body152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restricted spectrum imaging</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body153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r>
      <w:tr>
        <w:trPr>
          <w:cantSplit/>
          <w:trHeight w:val="313" w:hRule="auto"/>
        </w:trPr>
        body154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(0.2)</w:t>
            </w:r>
          </w:p>
        </w:tc>
      </w:tr>
      <w:tr>
        <w:trPr>
          <w:cantSplit/>
          <w:trHeight w:val="276" w:hRule="auto"/>
        </w:trPr>
        body155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r>
      <w:tr>
        <w:trPr>
          <w:cantSplit/>
          <w:trHeight w:val="276" w:hRule="auto"/>
        </w:trPr>
        body156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0.2 - 1.1</w:t>
            </w:r>
          </w:p>
        </w:tc>
      </w:tr>
      <w:tr>
        <w:trPr>
          <w:cantSplit/>
          <w:trHeight w:val="393" w:hRule="auto"/>
        </w:trPr>
        body157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DSC K2 leakage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body158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body159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 (1.6)</w:t>
            </w:r>
          </w:p>
        </w:tc>
      </w:tr>
      <w:tr>
        <w:trPr>
          <w:cantSplit/>
          <w:trHeight w:val="276" w:hRule="auto"/>
        </w:trPr>
        body160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r>
      <w:tr>
        <w:trPr>
          <w:cantSplit/>
          <w:trHeight w:val="276" w:hRule="auto"/>
        </w:trPr>
        body161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-3.9 - 4.5</w:t>
            </w:r>
          </w:p>
        </w:tc>
      </w:tr>
      <w:tr>
        <w:trPr>
          <w:cantSplit/>
          <w:trHeight w:val="355" w:hRule="auto"/>
        </w:trPr>
        body162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cerebral blood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body163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body164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 (0.5)</w:t>
            </w:r>
          </w:p>
        </w:tc>
      </w:tr>
      <w:tr>
        <w:trPr>
          <w:cantSplit/>
          <w:trHeight w:val="275" w:hRule="auto"/>
        </w:trPr>
        body165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r>
      <w:tr>
        <w:trPr>
          <w:cantSplit/>
          <w:trHeight w:val="276" w:hRule="auto"/>
        </w:trPr>
        body166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1.0 - 2.8</w:t>
            </w:r>
          </w:p>
        </w:tc>
      </w:tr>
      <w:tr>
        <w:trPr>
          <w:cantSplit/>
          <w:trHeight w:val="355" w:hRule="auto"/>
        </w:trPr>
        body167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transit time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body168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body169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 (0.3)</w:t>
            </w:r>
          </w:p>
        </w:tc>
      </w:tr>
      <w:tr>
        <w:trPr>
          <w:cantSplit/>
          <w:trHeight w:val="275" w:hRule="auto"/>
        </w:trPr>
        body170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r>
      <w:tr>
        <w:trPr>
          <w:cantSplit/>
          <w:trHeight w:val="276" w:hRule="auto"/>
        </w:trPr>
        body171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0.9 - 2.3</w:t>
            </w:r>
          </w:p>
        </w:tc>
      </w:tr>
      <w:tr>
        <w:trPr>
          <w:cantSplit/>
          <w:trHeight w:val="393" w:hRule="auto"/>
        </w:trPr>
        body172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 volume of contrast agent enhancing lesion on T1-weighted MRI in cm3</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body173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body174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 (6.5)</w:t>
            </w:r>
          </w:p>
        </w:tc>
      </w:tr>
      <w:tr>
        <w:trPr>
          <w:cantSplit/>
          <w:trHeight w:val="276" w:hRule="auto"/>
        </w:trPr>
        body175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cantSplit/>
          <w:trHeight w:val="276" w:hRule="auto"/>
        </w:trPr>
        body176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0.0 - 26.3</w:t>
            </w:r>
          </w:p>
        </w:tc>
      </w:tr>
      <w:tr>
        <w:trPr>
          <w:cantSplit/>
          <w:trHeight w:val="393" w:hRule="auto"/>
        </w:trPr>
        body177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 volume of pathologic signal on T2/FLAIR-weighted MRI in cm3</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body178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body179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 (14.3)</w:t>
            </w:r>
          </w:p>
        </w:tc>
      </w:tr>
      <w:tr>
        <w:trPr>
          <w:cantSplit/>
          <w:trHeight w:val="276" w:hRule="auto"/>
        </w:trPr>
        body180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w:t>
            </w:r>
          </w:p>
        </w:tc>
      </w:tr>
      <w:tr>
        <w:trPr>
          <w:cantSplit/>
          <w:trHeight w:val="276" w:hRule="auto"/>
        </w:trPr>
        body181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0.1 - 57.4</w:t>
            </w:r>
          </w:p>
        </w:tc>
      </w:tr>
      <w:tr>
        <w:trPr>
          <w:cantSplit/>
          <w:trHeight w:val="391" w:hRule="auto"/>
        </w:trPr>
        body182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tissue elasticity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body183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body184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 (0.1)</w:t>
            </w:r>
          </w:p>
        </w:tc>
      </w:tr>
      <w:tr>
        <w:trPr>
          <w:cantSplit/>
          <w:trHeight w:val="276" w:hRule="auto"/>
        </w:trPr>
        body185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w:t>
            </w:r>
          </w:p>
        </w:tc>
      </w:tr>
      <w:tr>
        <w:trPr>
          <w:cantSplit/>
          <w:trHeight w:val="276" w:hRule="auto"/>
        </w:trPr>
        body186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0.5 - 1.2</w:t>
            </w:r>
          </w:p>
        </w:tc>
      </w:tr>
      <w:tr>
        <w:trPr>
          <w:cantSplit/>
          <w:trHeight w:val="391" w:hRule="auto"/>
        </w:trPr>
        body187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tissue relative viscosity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body188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body189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 (0.2)</w:t>
            </w:r>
          </w:p>
        </w:tc>
      </w:tr>
      <w:tr>
        <w:trPr>
          <w:cantSplit/>
          <w:trHeight w:val="276" w:hRule="auto"/>
        </w:trPr>
        body190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r>
      <w:tr>
        <w:trPr>
          <w:cantSplit/>
          <w:trHeight w:val="276" w:hRule="auto"/>
        </w:trPr>
        body191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0.0 - 1.1</w:t>
            </w:r>
          </w:p>
        </w:tc>
      </w:tr>
      <w:tr>
        <w:trPr>
          <w:cantSplit/>
          <w:trHeight w:val="357" w:hRule="auto"/>
        </w:trPr>
        body192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tissue stiffness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body193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body194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 (0.1)</w:t>
            </w:r>
          </w:p>
        </w:tc>
      </w:tr>
      <w:tr>
        <w:trPr>
          <w:cantSplit/>
          <w:trHeight w:val="276" w:hRule="auto"/>
        </w:trPr>
        body195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w:t>
            </w:r>
          </w:p>
        </w:tc>
      </w:tr>
      <w:tr>
        <w:trPr>
          <w:cantSplit/>
          <w:trHeight w:val="276" w:hRule="auto"/>
        </w:trPr>
        body196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0.5 - 1.1</w:t>
            </w:r>
          </w:p>
        </w:tc>
      </w:tr>
      <w:tr>
        <w:trPr>
          <w:cantSplit/>
          <w:trHeight w:val="391" w:hRule="auto"/>
        </w:trPr>
        body197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tissue viscosity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body198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body199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 (0.2)</w:t>
            </w:r>
          </w:p>
        </w:tc>
      </w:tr>
      <w:tr>
        <w:trPr>
          <w:cantSplit/>
          <w:trHeight w:val="276" w:hRule="auto"/>
        </w:trPr>
        body200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w:t>
            </w:r>
          </w:p>
        </w:tc>
      </w:tr>
      <w:tr>
        <w:trPr>
          <w:cantSplit/>
          <w:trHeight w:val="276" w:hRule="auto"/>
        </w:trPr>
        body201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-0.0 - 1.1</w:t>
            </w:r>
          </w:p>
        </w:tc>
      </w:tr>
      <w:tr>
        <w:trPr>
          <w:cantSplit/>
          <w:trHeight w:val="357" w:hRule="auto"/>
        </w:trPr>
        body202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DSC extravasation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body203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body204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 (0.8)</w:t>
            </w:r>
          </w:p>
        </w:tc>
      </w:tr>
      <w:tr>
        <w:trPr>
          <w:cantSplit/>
          <w:trHeight w:val="276" w:hRule="auto"/>
        </w:trPr>
        body205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cantSplit/>
          <w:trHeight w:val="276" w:hRule="auto"/>
        </w:trPr>
        body206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0.7 - 5.1</w:t>
            </w:r>
          </w:p>
        </w:tc>
      </w:tr>
      <w:tr>
        <w:trPr>
          <w:cantSplit/>
          <w:trHeight w:val="355" w:hRule="auto"/>
        </w:trPr>
        body207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direction value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body208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body209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 (1.4)</w:t>
            </w:r>
          </w:p>
        </w:tc>
      </w:tr>
      <w:tr>
        <w:trPr>
          <w:cantSplit/>
          <w:trHeight w:val="276" w:hRule="auto"/>
        </w:trPr>
        body210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r>
      <w:tr>
        <w:trPr>
          <w:cantSplit/>
          <w:trHeight w:val="276" w:hRule="auto"/>
        </w:trPr>
        body211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-2.7 - 5.4</w:t>
            </w:r>
          </w:p>
        </w:tc>
      </w:tr>
      <w:tr>
        <w:trPr>
          <w:cantSplit/>
          <w:trHeight w:val="355" w:hRule="auto"/>
        </w:trPr>
        body212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vessel caliber</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body213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body214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(0.3)</w:t>
            </w:r>
          </w:p>
        </w:tc>
      </w:tr>
      <w:tr>
        <w:trPr>
          <w:cantSplit/>
          <w:trHeight w:val="276" w:hRule="auto"/>
        </w:trPr>
        body215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cantSplit/>
          <w:trHeight w:val="276" w:hRule="auto"/>
        </w:trPr>
        body216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0.5 - 1.9</w:t>
            </w:r>
          </w:p>
        </w:tc>
      </w:tr>
      <w:tr>
        <w:trPr>
          <w:cantSplit/>
          <w:trHeight w:val="355" w:hRule="auto"/>
        </w:trPr>
        body217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vessel size index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body218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body219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 (0.6)</w:t>
            </w:r>
          </w:p>
        </w:tc>
      </w:tr>
      <w:tr>
        <w:trPr>
          <w:cantSplit/>
          <w:trHeight w:val="275" w:hRule="auto"/>
        </w:trPr>
        body220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cantSplit/>
          <w:trHeight w:val="276" w:hRule="auto"/>
        </w:trPr>
        body221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0.6 - 2.6</w:t>
            </w:r>
          </w:p>
        </w:tc>
      </w:tr>
      <w:tr>
        <w:trPr>
          <w:cantSplit/>
          <w:trHeight w:val="355" w:hRule="auto"/>
        </w:trPr>
        body222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vortex area</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body223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body224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(0.1)</w:t>
            </w:r>
          </w:p>
        </w:tc>
      </w:tr>
      <w:tr>
        <w:trPr>
          <w:cantSplit/>
          <w:trHeight w:val="276" w:hRule="auto"/>
        </w:trPr>
        body225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cantSplit/>
          <w:trHeight w:val="276" w:hRule="auto"/>
        </w:trPr>
        body226
        <w:tc>
          <w:tcPr>
            <w:tcBorders>
              <w:bottom w:val="single" w:sz="4" w:space="0" w:color="666666"/>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single" w:sz="4" w:space="0" w:color="666666"/>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0.8 - 1.1</w:t>
            </w:r>
          </w:p>
        </w:tc>
      </w:tr>
    </w:tbl>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 Statistical Analysis Report</dc:title>
  <dc:creator>ImPRESS Statistical Team</dc:creator>
  <cp:keywords/>
  <dcterms:created xsi:type="dcterms:W3CDTF">2025-10-29T15:44:44Z</dcterms:created>
  <dcterms:modified xsi:type="dcterms:W3CDTF">2025-10-29T15:44:44Z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October 2025</vt:lpwstr>
  </property>
  <property fmtid="{D5CDD505-2E9C-101B-9397-08002B2CF9AE}" pid="3" name="output">
    <vt:lpwstr/>
  </property>
  <property fmtid="{D5CDD505-2E9C-101B-9397-08002B2CF9AE}" pid="4" name="subtitle">
    <vt:lpwstr>Baseline Review for the Newly Diagnosed Glioblastoma Cohort</vt:lpwstr>
  </property>
</Properties>
</file>