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NOR-SOLIDARITY</w:t>
      </w:r>
      <w:r>
        <w:t xml:space="preserve"> </w:t>
      </w:r>
      <w:r>
        <w:t xml:space="preserve">DMC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Inge</w:t>
      </w:r>
      <w:r>
        <w:t xml:space="preserve"> </w:t>
      </w:r>
      <w:r>
        <w:t xml:space="preserve">Christoffer</w:t>
      </w:r>
      <w:r>
        <w:t xml:space="preserve"> </w:t>
      </w:r>
      <w:r>
        <w:t xml:space="preserve">Olsen,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report for the first Data Monitoring Committee meeting in the NOR-SOLIDARITY trial. The data are based on an export from the Viedoc electronic data capture system time stamped 28 April 2020 13:49 UTC. There were 185 included patients.</w:t>
      </w:r>
    </w:p>
    <w:bookmarkEnd w:id="20"/>
    <w:bookmarkStart w:id="27" w:name="inclusion-status"/>
    <w:p>
      <w:pPr>
        <w:pStyle w:val="Heading1"/>
      </w:pPr>
      <w:r>
        <w:t xml:space="preserve">Inclusion status</w:t>
      </w:r>
    </w:p>
    <w:bookmarkStart w:id="22" w:name="inclusion-rate"/>
    <w:p>
      <w:pPr>
        <w:pStyle w:val="Heading2"/>
      </w:pPr>
      <w:r>
        <w:t xml:space="preserve">Inclusion rate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icostatistics/github/ocbe/nor-solidarity/results/dmc/2020-10-16_Nor-Solidarity_DMC_Report_files/figure-docx/inclusion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inclusion-by-hospital"/>
    <w:p>
      <w:pPr>
        <w:pStyle w:val="Heading2"/>
      </w:pPr>
      <w:r>
        <w:t xml:space="preserve">Inclusion by hospital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icostatistics/github/ocbe/nor-solidarity/results/dmc/2020-10-16_Nor-Solidarity_DMC_Report_files/figure-docx/by-si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by-treatment"/>
    <w:p>
      <w:pPr>
        <w:pStyle w:val="Heading2"/>
      </w:pPr>
      <w:r>
        <w:t xml:space="preserve">By treatment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icostatistics/github/ocbe/nor-solidarity/results/dmc/2020-10-16_Nor-Solidarity_DMC_Report_files/figure-docx/by-treat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6"/>
    <w:bookmarkEnd w:id="27"/>
    <w:bookmarkStart w:id="28" w:name="demographics"/>
    <w:p>
      <w:pPr>
        <w:pStyle w:val="Heading1"/>
      </w:pPr>
      <w:r>
        <w:t xml:space="preserve">Demographics</w:t>
      </w:r>
    </w:p>
    <w:p>
      <w:pPr>
        <w:pStyle w:val="TableCaption"/>
      </w:pPr>
      <w:r>
        <w:t xml:space="preserve">Demographics</w:t>
      </w:r>
    </w:p>
    <w:tbl>
      <w:tblPr>
        <w:tblStyle w:val="Table"/>
        <w:tblW w:type="pct" w:w="0.0"/>
        <w:tblLook w:firstRow="1" w:lastRow="0" w:firstColumn="0" w:lastColumn="0" w:noHBand="0" w:noVBand="0"/>
        <w:tblCaption w:val="Demographic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59.3 (16.1)</w:t>
            </w:r>
          </w:p>
        </w:tc>
        <w:tc>
          <w:p>
            <w:pPr>
              <w:pStyle w:val="Compact"/>
              <w:jc w:val="left"/>
            </w:pPr>
            <w:r>
              <w:t xml:space="preserve">60.3 (13.8)</w:t>
            </w:r>
          </w:p>
        </w:tc>
        <w:tc>
          <w:p>
            <w:pPr>
              <w:pStyle w:val="Compact"/>
              <w:jc w:val="left"/>
            </w:pPr>
            <w:r>
              <w:t xml:space="preserve">60 (16.4)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28 (31.8%)</w:t>
            </w:r>
          </w:p>
        </w:tc>
        <w:tc>
          <w:p>
            <w:pPr>
              <w:pStyle w:val="Compact"/>
              <w:jc w:val="left"/>
            </w:pPr>
            <w:r>
              <w:t xml:space="preserve">21 (38.9%)</w:t>
            </w:r>
          </w:p>
        </w:tc>
        <w:tc>
          <w:p>
            <w:pPr>
              <w:pStyle w:val="Compact"/>
              <w:jc w:val="left"/>
            </w:pPr>
            <w:r>
              <w:t xml:space="preserve">13 (30.2%)</w:t>
            </w:r>
          </w:p>
        </w:tc>
      </w:tr>
    </w:tbl>
    <w:bookmarkEnd w:id="28"/>
    <w:bookmarkStart w:id="29" w:name="exposure"/>
    <w:p>
      <w:pPr>
        <w:pStyle w:val="Heading1"/>
      </w:pPr>
      <w:r>
        <w:t xml:space="preserve">Exposure</w:t>
      </w:r>
    </w:p>
    <w:p>
      <w:pPr>
        <w:pStyle w:val="TableCaption"/>
      </w:pPr>
      <w:r>
        <w:t xml:space="preserve">Exposure to study treatment</w:t>
      </w:r>
    </w:p>
    <w:tbl>
      <w:tblPr>
        <w:tblStyle w:val="Table"/>
        <w:tblW w:type="pct" w:w="0.0"/>
        <w:tblLook w:firstRow="1" w:lastRow="0" w:firstColumn="0" w:lastColumn="0" w:noHBand="0" w:noVBand="0"/>
        <w:tblCaption w:val="Exposure to study treatmen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dose, median (IQR), mg</w:t>
            </w:r>
          </w:p>
        </w:tc>
        <w:tc>
          <w:p>
            <w:pPr>
              <w:pStyle w:val="Compact"/>
              <w:jc w:val="left"/>
            </w:pPr>
            <w:r>
              <w:t xml:space="preserve">5200 (3600 - 8400)</w:t>
            </w:r>
          </w:p>
        </w:tc>
        <w:tc>
          <w:p>
            <w:pPr>
              <w:pStyle w:val="Compact"/>
              <w:jc w:val="left"/>
            </w:pPr>
            <w:r>
              <w:t xml:space="preserve">700 (500 - 1100)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Days with treatment, median (IQR)</w:t>
            </w:r>
          </w:p>
        </w:tc>
        <w:tc>
          <w:p>
            <w:pPr>
              <w:pStyle w:val="Compact"/>
              <w:jc w:val="left"/>
            </w:pPr>
            <w:r>
              <w:t xml:space="preserve">6 (4 - 10)</w:t>
            </w:r>
          </w:p>
        </w:tc>
        <w:tc>
          <w:p>
            <w:pPr>
              <w:pStyle w:val="Compact"/>
              <w:jc w:val="left"/>
            </w:pPr>
            <w:r>
              <w:t xml:space="preserve">6 (4 - 10)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Patients with any treatment discrepencies, n (%)</w:t>
            </w:r>
          </w:p>
        </w:tc>
        <w:tc>
          <w:p>
            <w:pPr>
              <w:pStyle w:val="Compact"/>
              <w:jc w:val="left"/>
            </w:pPr>
            <w:r>
              <w:t xml:space="preserve">23 (42.6%)</w:t>
            </w:r>
          </w:p>
        </w:tc>
        <w:tc>
          <w:p>
            <w:pPr>
              <w:pStyle w:val="Compact"/>
              <w:jc w:val="left"/>
            </w:pPr>
            <w:r>
              <w:t xml:space="preserve">11 (25.6%)</w:t>
            </w:r>
          </w:p>
        </w:tc>
      </w:tr>
    </w:tbl>
    <w:bookmarkEnd w:id="29"/>
    <w:bookmarkStart w:id="34" w:name="adverse-events"/>
    <w:p>
      <w:pPr>
        <w:pStyle w:val="Heading1"/>
      </w:pPr>
      <w:r>
        <w:t xml:space="preserve">Adverse Events</w:t>
      </w:r>
    </w:p>
    <w:bookmarkStart w:id="30" w:name="ae-summary"/>
    <w:p>
      <w:pPr>
        <w:pStyle w:val="Heading2"/>
      </w:pPr>
      <w:r>
        <w:t xml:space="preserve">AE Summary</w:t>
      </w:r>
    </w:p>
    <w:p>
      <w:pPr>
        <w:pStyle w:val="TableCaption"/>
      </w:pPr>
      <w:r>
        <w:t xml:space="preserve">Summary of Adverse Events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mmary of Adverse Eve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AEs</w:t>
            </w:r>
          </w:p>
        </w:tc>
        <w:tc>
          <w:p>
            <w:pPr>
              <w:pStyle w:val="Compact"/>
              <w:jc w:val="left"/>
            </w:pPr>
            <w:r>
              <w:t xml:space="preserve">[31] 20 (22.7%)</w:t>
            </w:r>
          </w:p>
        </w:tc>
        <w:tc>
          <w:p>
            <w:pPr>
              <w:pStyle w:val="Compact"/>
              <w:jc w:val="left"/>
            </w:pPr>
            <w:r>
              <w:t xml:space="preserve">[34] 20 (37%)</w:t>
            </w:r>
          </w:p>
        </w:tc>
        <w:tc>
          <w:p>
            <w:pPr>
              <w:pStyle w:val="Compact"/>
              <w:jc w:val="left"/>
            </w:pPr>
            <w:r>
              <w:t xml:space="preserve">[26] 16 (37.2%)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any AEs?</w:t>
            </w:r>
          </w:p>
        </w:tc>
        <w:tc>
          <w:p>
            <w:pPr>
              <w:pStyle w:val="Compact"/>
              <w:jc w:val="left"/>
            </w:pPr>
            <w:r>
              <w:t xml:space="preserve">20 (22.7%)</w:t>
            </w:r>
          </w:p>
        </w:tc>
        <w:tc>
          <w:p>
            <w:pPr>
              <w:pStyle w:val="Compact"/>
              <w:jc w:val="left"/>
            </w:pPr>
            <w:r>
              <w:t xml:space="preserve">20 (37%)</w:t>
            </w:r>
          </w:p>
        </w:tc>
        <w:tc>
          <w:p>
            <w:pPr>
              <w:pStyle w:val="Compact"/>
              <w:jc w:val="left"/>
            </w:pPr>
            <w:r>
              <w:t xml:space="preserve">16 (37.2%)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one AE</w:t>
            </w:r>
          </w:p>
        </w:tc>
        <w:tc>
          <w:p>
            <w:pPr>
              <w:pStyle w:val="Compact"/>
              <w:jc w:val="left"/>
            </w:pPr>
            <w:r>
              <w:t xml:space="preserve">13 (14.8%)</w:t>
            </w:r>
          </w:p>
        </w:tc>
        <w:tc>
          <w:p>
            <w:pPr>
              <w:pStyle w:val="Compact"/>
              <w:jc w:val="left"/>
            </w:pPr>
            <w:r>
              <w:t xml:space="preserve">14 (25.9%)</w:t>
            </w:r>
          </w:p>
        </w:tc>
        <w:tc>
          <w:p>
            <w:pPr>
              <w:pStyle w:val="Compact"/>
              <w:jc w:val="left"/>
            </w:pPr>
            <w:r>
              <w:t xml:space="preserve">11 (25.6%)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two AE</w:t>
            </w:r>
          </w:p>
        </w:tc>
        <w:tc>
          <w:p>
            <w:pPr>
              <w:pStyle w:val="Compact"/>
              <w:jc w:val="left"/>
            </w:pPr>
            <w:r>
              <w:t xml:space="preserve">3 (3.4%)</w:t>
            </w:r>
          </w:p>
        </w:tc>
        <w:tc>
          <w:p>
            <w:pPr>
              <w:pStyle w:val="Compact"/>
              <w:jc w:val="left"/>
            </w:pPr>
            <w:r>
              <w:t xml:space="preserve">2 (3.7%)</w:t>
            </w:r>
          </w:p>
        </w:tc>
        <w:tc>
          <w:p>
            <w:pPr>
              <w:pStyle w:val="Compact"/>
              <w:jc w:val="left"/>
            </w:pPr>
            <w:r>
              <w:t xml:space="preserve">1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three or more AEs</w:t>
            </w:r>
          </w:p>
        </w:tc>
        <w:tc>
          <w:p>
            <w:pPr>
              <w:pStyle w:val="Compact"/>
              <w:jc w:val="left"/>
            </w:pPr>
            <w:r>
              <w:t xml:space="preserve">4 (4.5%)</w:t>
            </w:r>
          </w:p>
        </w:tc>
        <w:tc>
          <w:p>
            <w:pPr>
              <w:pStyle w:val="Compact"/>
              <w:jc w:val="left"/>
            </w:pPr>
            <w:r>
              <w:t xml:space="preserve">4 (7.4%)</w:t>
            </w:r>
          </w:p>
        </w:tc>
        <w:tc>
          <w:p>
            <w:pPr>
              <w:pStyle w:val="Compact"/>
              <w:jc w:val="left"/>
            </w:pPr>
            <w:r>
              <w:t xml:space="preserve">4 (9.3%)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SAEs</w:t>
            </w:r>
          </w:p>
        </w:tc>
        <w:tc>
          <w:p>
            <w:pPr>
              <w:pStyle w:val="Compact"/>
              <w:jc w:val="left"/>
            </w:pPr>
            <w:r>
              <w:t xml:space="preserve">[18] 11 (12.5%)</w:t>
            </w:r>
          </w:p>
        </w:tc>
        <w:tc>
          <w:p>
            <w:pPr>
              <w:pStyle w:val="Compact"/>
              <w:jc w:val="left"/>
            </w:pPr>
            <w:r>
              <w:t xml:space="preserve">[13] 8 (14.8%)</w:t>
            </w:r>
          </w:p>
        </w:tc>
        <w:tc>
          <w:p>
            <w:pPr>
              <w:pStyle w:val="Compact"/>
              <w:jc w:val="left"/>
            </w:pPr>
            <w:r>
              <w:t xml:space="preserve">[12] 10 (23.3%)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any SAEs?</w:t>
            </w:r>
          </w:p>
        </w:tc>
        <w:tc>
          <w:p>
            <w:pPr>
              <w:pStyle w:val="Compact"/>
              <w:jc w:val="left"/>
            </w:pPr>
            <w:r>
              <w:t xml:space="preserve">11 (12.5%)</w:t>
            </w:r>
          </w:p>
        </w:tc>
        <w:tc>
          <w:p>
            <w:pPr>
              <w:pStyle w:val="Compact"/>
              <w:jc w:val="left"/>
            </w:pPr>
            <w:r>
              <w:t xml:space="preserve">8 (14.8%)</w:t>
            </w:r>
          </w:p>
        </w:tc>
        <w:tc>
          <w:p>
            <w:pPr>
              <w:pStyle w:val="Compact"/>
              <w:jc w:val="left"/>
            </w:pPr>
            <w:r>
              <w:t xml:space="preserve">10 (23.3%)</w:t>
            </w:r>
          </w:p>
        </w:tc>
      </w:tr>
    </w:tbl>
    <w:p>
      <w:pPr>
        <w:pStyle w:val="BodyText"/>
      </w:pPr>
      <w:r>
        <w:t xml:space="preserve">The numbers are [Number of events] Number of patients (percentage of patients), or Number of patients (percentage of patients)</w:t>
      </w:r>
    </w:p>
    <w:bookmarkEnd w:id="30"/>
    <w:bookmarkStart w:id="31" w:name="by-system-organ-class-and-preferred-term"/>
    <w:p>
      <w:pPr>
        <w:pStyle w:val="Heading2"/>
      </w:pPr>
      <w:r>
        <w:t xml:space="preserve">By System Organ Class and Preferred Term</w:t>
      </w:r>
    </w:p>
    <w:p>
      <w:pPr>
        <w:pStyle w:val="TableCaption"/>
      </w:pPr>
      <w:r>
        <w:t xml:space="preserve">Adverse Events by System Organ Class and Preferred term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Adverse Events by System Organ Class and Preferred term"/>
      </w:tblPr>
      <w:tblGrid>
        <w:gridCol w:w="3345"/>
        <w:gridCol w:w="1918"/>
        <w:gridCol w:w="639"/>
        <w:gridCol w:w="836"/>
        <w:gridCol w:w="1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Organ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Preferred 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Blood and lymphatic system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Leukopenia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Thrombocytopenia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Cardiac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[3] 2 (4.7%)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Arrhythmia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[2]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Ventricular tachycardia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Gastrointestinal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>
            <w:pPr>
              <w:pStyle w:val="Compact"/>
              <w:jc w:val="left"/>
            </w:pPr>
            <w:r>
              <w:t xml:space="preserve">[4] 4 (7.4%)</w:t>
            </w:r>
          </w:p>
        </w:tc>
        <w:tc>
          <w:p>
            <w:pPr>
              <w:pStyle w:val="Compact"/>
              <w:jc w:val="left"/>
            </w:pPr>
            <w:r>
              <w:t xml:space="preserve">[4] 3 (7%)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Abdominal pain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 haemorrhagic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Gastrooesophageal reflux disease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Intestinal pseudo-obstruction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Nausea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(4.7%)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Pancreatic failure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Vomiting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disorders and administration site conditions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[3] 3 (3.4%)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(4.7%)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Chest pain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General physical health deterioration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Medical device site reaction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Pyrexia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Infections and infestations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[3] 3 (3.4%)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Pneumonia bacterial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Investigations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[5] 3 (3.4%)</w:t>
            </w:r>
          </w:p>
        </w:tc>
        <w:tc>
          <w:p>
            <w:pPr>
              <w:pStyle w:val="Compact"/>
              <w:jc w:val="left"/>
            </w:pPr>
            <w:r>
              <w:t xml:space="preserve">[10] 6 (11.1%)</w:t>
            </w:r>
          </w:p>
        </w:tc>
        <w:tc>
          <w:p>
            <w:pPr>
              <w:pStyle w:val="Compact"/>
              <w:jc w:val="left"/>
            </w:pPr>
            <w:r>
              <w:t xml:space="preserve">[4] 4 (9.3%)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Alanine aminotransferase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[2] 1 (1.1%)</w:t>
            </w:r>
          </w:p>
        </w:tc>
        <w:tc>
          <w:p>
            <w:pPr>
              <w:pStyle w:val="Compact"/>
              <w:jc w:val="left"/>
            </w:pPr>
            <w:r>
              <w:t xml:space="preserve">[2] 2 (3.7%)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Amylase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Aspartate aminotransferase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[3] 3 (5.6%)</w:t>
            </w:r>
          </w:p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Blood creatine phosphokinase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Electrocardiogram QT prolonged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(3.7%)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Fibrin D dimer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Gamma-glutamyltransferase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Hepatic enzyme increased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(4.7%)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Myocardial necrosis marker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Neutrophil count decreased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Metabolism and nutrition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Hypercalcaemia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Musculoskeletal and connective tissue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[4] 2 (3.7%)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Arthralgia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Arthritis reactive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Joint swelling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Tendonitis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Neoplasms benign, malignant and unspecified (incl cysts and polyps)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Neoplasm malignant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Nervous system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[2] 2 (4.7%)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Headache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Loss of consciousness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Syncope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Renal and urinary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Renal failure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Respiratory, thoracic and mediastinal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[8] 6 (6.8%)</w:t>
            </w:r>
          </w:p>
        </w:tc>
        <w:tc>
          <w:p>
            <w:pPr>
              <w:pStyle w:val="Compact"/>
              <w:jc w:val="left"/>
            </w:pPr>
            <w:r>
              <w:t xml:space="preserve">[9] 7 (13%)</w:t>
            </w:r>
          </w:p>
        </w:tc>
        <w:tc>
          <w:p>
            <w:pPr>
              <w:pStyle w:val="Compact"/>
              <w:jc w:val="left"/>
            </w:pPr>
            <w:r>
              <w:t xml:space="preserve">[7] 5 (11.6%)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Bronchopleural fistula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Chronic obstructive pulmonary disease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[2]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Cough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Dyspnoea</w:t>
            </w:r>
          </w:p>
        </w:tc>
        <w:tc>
          <w:p>
            <w:pPr>
              <w:pStyle w:val="Compact"/>
              <w:jc w:val="left"/>
            </w:pPr>
            <w:r>
              <w:t xml:space="preserve">[3]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Pulmonary embolism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distress</w:t>
            </w:r>
          </w:p>
        </w:tc>
        <w:tc>
          <w:p>
            <w:pPr>
              <w:pStyle w:val="Compact"/>
              <w:jc w:val="left"/>
            </w:pPr>
            <w:r>
              <w:t xml:space="preserve">[3] 3 (3.4%)</w:t>
            </w:r>
          </w:p>
        </w:tc>
        <w:tc>
          <w:p>
            <w:pPr>
              <w:pStyle w:val="Compact"/>
              <w:jc w:val="left"/>
            </w:pPr>
            <w:r>
              <w:t xml:space="preserve">[4] 3 (5.6%)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failure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[4] 4 (7.4%)</w:t>
            </w:r>
          </w:p>
        </w:tc>
        <w:tc>
          <w:p>
            <w:pPr>
              <w:pStyle w:val="Compact"/>
              <w:jc w:val="left"/>
            </w:pPr>
            <w:r>
              <w:t xml:space="preserve">[3] 2 (4.7%)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Skin and subcutaneous tissue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Alopecia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Vascular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Hypotension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Thrombophlebitis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Thrombosis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</w:tbl>
    <w:bookmarkEnd w:id="31"/>
    <w:bookmarkStart w:id="32" w:name="serious-adverse-events"/>
    <w:p>
      <w:pPr>
        <w:pStyle w:val="Heading2"/>
      </w:pPr>
      <w:r>
        <w:t xml:space="preserve">Serious Adverse Events</w:t>
      </w:r>
    </w:p>
    <w:p>
      <w:pPr>
        <w:pStyle w:val="TableCaption"/>
      </w:pPr>
      <w:r>
        <w:t xml:space="preserve">Serious Adverse Events by System Organ Class and Preferred term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Serious Adverse Events by System Organ Class and Preferred term"/>
      </w:tblPr>
      <w:tblGrid>
        <w:gridCol w:w="3345"/>
        <w:gridCol w:w="1918"/>
        <w:gridCol w:w="639"/>
        <w:gridCol w:w="836"/>
        <w:gridCol w:w="1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Organ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Preferred 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Gastrointestinal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Abdominal pain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 haemorrhagic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disorders and administration site conditions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Chest pain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General physical health deterioration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Pyrexia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Infections and infestations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Pneumonia bacterial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Investigations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[2] 2 (3.7%)</w:t>
            </w:r>
          </w:p>
        </w:tc>
        <w:tc>
          <w:p>
            <w:pPr>
              <w:pStyle w:val="Compact"/>
              <w:jc w:val="left"/>
            </w:pPr>
            <w:r>
              <w:t xml:space="preserve">[2] 2 (4.7%)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Alanine aminotransferase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Aspartate aminotransferase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Blood creatine phosphokinase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Hepatic enzyme increased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(4.7%)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Neoplasms benign, malignant and unspecified (incl cysts and polyps)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Neoplasm malignant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Nervous system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Loss of consciousness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Renal and urinary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Renal failure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Respiratory, thoracic and mediastinal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[7] 5 (5.7%)</w:t>
            </w:r>
          </w:p>
        </w:tc>
        <w:tc>
          <w:p>
            <w:pPr>
              <w:pStyle w:val="Compact"/>
              <w:jc w:val="left"/>
            </w:pPr>
            <w:r>
              <w:t xml:space="preserve">[9] 7 (13%)</w:t>
            </w:r>
          </w:p>
        </w:tc>
        <w:tc>
          <w:p>
            <w:pPr>
              <w:pStyle w:val="Compact"/>
              <w:jc w:val="left"/>
            </w:pPr>
            <w:r>
              <w:t xml:space="preserve">[7] 5 (11.6%)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Bronchopleural fistula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Chronic obstructive pulmonary disease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[2]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Dyspnoea</w:t>
            </w:r>
          </w:p>
        </w:tc>
        <w:tc>
          <w:p>
            <w:pPr>
              <w:pStyle w:val="Compact"/>
              <w:jc w:val="left"/>
            </w:pPr>
            <w:r>
              <w:t xml:space="preserve">[3]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Pulmonary embolism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distress</w:t>
            </w:r>
          </w:p>
        </w:tc>
        <w:tc>
          <w:p>
            <w:pPr>
              <w:pStyle w:val="Compact"/>
              <w:jc w:val="left"/>
            </w:pPr>
            <w:r>
              <w:t xml:space="preserve">[3] 3 (3.4%)</w:t>
            </w:r>
          </w:p>
        </w:tc>
        <w:tc>
          <w:p>
            <w:pPr>
              <w:pStyle w:val="Compact"/>
              <w:jc w:val="left"/>
            </w:pPr>
            <w:r>
              <w:t xml:space="preserve">[4] 3 (5.6%)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failure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[4] 4 (7.4%)</w:t>
            </w:r>
          </w:p>
        </w:tc>
        <w:tc>
          <w:p>
            <w:pPr>
              <w:pStyle w:val="Compact"/>
              <w:jc w:val="left"/>
            </w:pPr>
            <w:r>
              <w:t xml:space="preserve">[3] 2 (4.7%)</w:t>
            </w:r>
          </w:p>
        </w:tc>
      </w:tr>
    </w:tbl>
    <w:bookmarkEnd w:id="32"/>
    <w:bookmarkStart w:id="33" w:name="Xfa05552548931d6a871505c8d2314bc661ad4f9"/>
    <w:p>
      <w:pPr>
        <w:pStyle w:val="Heading2"/>
      </w:pPr>
      <w:r>
        <w:t xml:space="preserve">Suspected Unexpected Serious Adverse Reaction</w:t>
      </w:r>
    </w:p>
    <w:p>
      <w:pPr>
        <w:pStyle w:val="TableCaption"/>
      </w:pPr>
      <w:r>
        <w:t xml:space="preserve">Suspected Unexpected Serious Adverse Reaction by System Organ Class and Preferred term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spected Unexpected Serious Adverse Reaction by System Organ Class and Preferred ter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Organ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Preferred 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Gastrointestinal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 haemorrhagic</w:t>
            </w:r>
          </w:p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</w:tbl>
    <w:bookmarkEnd w:id="33"/>
    <w:bookmarkEnd w:id="34"/>
    <w:bookmarkStart w:id="35" w:name="X9be4a9703f50a08a153af9f35d7096a24fe7574"/>
    <w:p>
      <w:pPr>
        <w:pStyle w:val="Heading1"/>
      </w:pPr>
      <w:r>
        <w:t xml:space="preserve">Mortality and other outcomes by admission state</w:t>
      </w:r>
    </w:p>
    <w:p>
      <w:pPr>
        <w:pStyle w:val="TableCaption"/>
      </w:pPr>
      <w:r>
        <w:t xml:space="preserve">Outcome</w:t>
      </w:r>
    </w:p>
    <w:tbl>
      <w:tblPr>
        <w:tblStyle w:val="Table"/>
        <w:tblW w:type="pct" w:w="0.0"/>
        <w:tblLook w:firstRow="1" w:lastRow="0" w:firstColumn="0" w:lastColumn="0" w:noHBand="0" w:noVBand="0"/>
        <w:tblCaption w:val="Outcom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Alive and discharged</w:t>
            </w:r>
          </w:p>
        </w:tc>
        <w:tc>
          <w:p>
            <w:pPr>
              <w:pStyle w:val="Compact"/>
              <w:jc w:val="left"/>
            </w:pPr>
            <w:r>
              <w:t xml:space="preserve">151 (86.3%)</w:t>
            </w:r>
          </w:p>
        </w:tc>
        <w:tc>
          <w:p>
            <w:pPr>
              <w:pStyle w:val="Compact"/>
              <w:jc w:val="left"/>
            </w:pPr>
            <w:r>
              <w:t xml:space="preserve">9 (90%)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Withdrawn</w:t>
            </w:r>
          </w:p>
        </w:tc>
        <w:tc>
          <w:p>
            <w:pPr>
              <w:pStyle w:val="Compact"/>
              <w:jc w:val="left"/>
            </w:pPr>
            <w:r>
              <w:t xml:space="preserve">6 (3.4%)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  <w:tc>
          <w:p>
            <w:pPr>
              <w:pStyle w:val="Compact"/>
              <w:jc w:val="left"/>
            </w:pPr>
            <w:r>
              <w:t xml:space="preserve">6 (3.4%)</w:t>
            </w:r>
          </w:p>
        </w:tc>
        <w:tc>
          <w:p>
            <w:pPr>
              <w:pStyle w:val="Compact"/>
              <w:jc w:val="left"/>
            </w:pPr>
            <w:r>
              <w:t xml:space="preserve">1 (10%)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Dead</w:t>
            </w:r>
          </w:p>
        </w:tc>
        <w:tc>
          <w:p>
            <w:pPr>
              <w:pStyle w:val="Compact"/>
              <w:jc w:val="left"/>
            </w:pPr>
            <w:r>
              <w:t xml:space="preserve">12 (6.9%)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NOR-SOLIDARITY DMC report</dc:title>
  <dc:creator>Inge Christoffer Olsen, PhD</dc:creator>
  <cp:keywords/>
  <dcterms:created xsi:type="dcterms:W3CDTF">2020-10-28T16:25:17Z</dcterms:created>
  <dcterms:modified xsi:type="dcterms:W3CDTF">2020-10-28T16:25:17Z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October, 2020</vt:lpwstr>
  </property>
  <property fmtid="{D5CDD505-2E9C-101B-9397-08002B2CF9AE}" pid="3" name="output">
    <vt:lpwstr>word_document</vt:lpwstr>
  </property>
</Properties>
</file>