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NOR-SOLIDARITY</w:t>
      </w:r>
      <w:r>
        <w:t xml:space="preserve"> </w:t>
      </w:r>
      <w:r>
        <w:t xml:space="preserve">DMC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Inge</w:t>
      </w:r>
      <w:r>
        <w:t xml:space="preserve"> </w:t>
      </w:r>
      <w:r>
        <w:t xml:space="preserve">Christoffer</w:t>
      </w:r>
      <w:r>
        <w:t xml:space="preserve"> </w:t>
      </w:r>
      <w:r>
        <w:t xml:space="preserve">Olsen,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report for the first Data Monitoring Committee meeting in the NOR-SOLIDARITY trial. The data are based on an export from the Viedoc electronic data capture system time stamped 28 April 2020 13:49 UTC. There were 185 included patients.</w:t>
      </w:r>
    </w:p>
    <w:bookmarkEnd w:id="20"/>
    <w:bookmarkStart w:id="27" w:name="inclusion-status"/>
    <w:p>
      <w:pPr>
        <w:pStyle w:val="Heading1"/>
      </w:pPr>
      <w:r>
        <w:t xml:space="preserve">Inclusion status</w:t>
      </w:r>
    </w:p>
    <w:bookmarkStart w:id="22" w:name="inclusion-rate"/>
    <w:p>
      <w:pPr>
        <w:pStyle w:val="Heading2"/>
      </w:pPr>
      <w:r>
        <w:t xml:space="preserve">Inclusion rate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ico/github/ocbe-uio/nor-solidarity/results/dmc/2020-10-17%20Nor-Solidarity%20DMC%20report_files/figure-docx/inclusion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inclusion-by-hospital"/>
    <w:p>
      <w:pPr>
        <w:pStyle w:val="Heading2"/>
      </w:pPr>
      <w:r>
        <w:t xml:space="preserve">Inclusion by hospital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ico/github/ocbe-uio/nor-solidarity/results/dmc/2020-10-17%20Nor-Solidarity%20DMC%20report_files/figure-docx/by-si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by-treatment"/>
    <w:p>
      <w:pPr>
        <w:pStyle w:val="Heading2"/>
      </w:pPr>
      <w:r>
        <w:t xml:space="preserve">By treatment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ico/github/ocbe-uio/nor-solidarity/results/dmc/2020-10-17%20Nor-Solidarity%20DMC%20report_files/figure-docx/by-treat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6"/>
    <w:bookmarkEnd w:id="27"/>
    <w:bookmarkStart w:id="28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t xml:space="preserve">Demographics</w:t>
      </w:r>
    </w:p>
    <w:p>
      <w:pPr>
        <w:pStyle w:val="BodyText"/>
      </w:pPr>
      <w:r>
        <w:t xml:space="preserve">Parameter</w:t>
      </w:r>
    </w:p>
    <w:p>
      <w:pPr>
        <w:pStyle w:val="BodyText"/>
      </w:pPr>
      <w:r>
        <w:t xml:space="preserve">SOC (N=88)</w:t>
      </w:r>
    </w:p>
    <w:p>
      <w:pPr>
        <w:pStyle w:val="BodyText"/>
      </w:pPr>
      <w:r>
        <w:t xml:space="preserve">SOC + HCQ (N=54)</w:t>
      </w:r>
    </w:p>
    <w:p>
      <w:pPr>
        <w:pStyle w:val="BodyText"/>
      </w:pPr>
      <w:r>
        <w:t xml:space="preserve">SOC + Remdesivir (N=43)</w:t>
      </w:r>
    </w:p>
    <w:p>
      <w:pPr>
        <w:pStyle w:val="BodyText"/>
      </w:pPr>
      <w:r>
        <w:t xml:space="preserve">Age (years)</w:t>
      </w:r>
    </w:p>
    <w:p>
      <w:pPr>
        <w:pStyle w:val="BodyText"/>
      </w:pPr>
      <w:r>
        <w:t xml:space="preserve">59.3 (16.1)</w:t>
      </w:r>
    </w:p>
    <w:p>
      <w:pPr>
        <w:pStyle w:val="BodyText"/>
      </w:pPr>
      <w:r>
        <w:t xml:space="preserve">60.3 (13.8)</w:t>
      </w:r>
    </w:p>
    <w:p>
      <w:pPr>
        <w:pStyle w:val="BodyText"/>
      </w:pPr>
      <w:r>
        <w:t xml:space="preserve">60 (16.4)</w:t>
      </w:r>
    </w:p>
    <w:p>
      <w:pPr>
        <w:pStyle w:val="BodyText"/>
      </w:pPr>
      <w:r>
        <w:t xml:space="preserve">Female, n (%)</w:t>
      </w:r>
    </w:p>
    <w:p>
      <w:pPr>
        <w:pStyle w:val="BodyText"/>
      </w:pPr>
      <w:r>
        <w:t xml:space="preserve">28 (31.8%)</w:t>
      </w:r>
    </w:p>
    <w:p>
      <w:pPr>
        <w:pStyle w:val="BodyText"/>
      </w:pPr>
      <w:r>
        <w:t xml:space="preserve">21 (38.9%)</w:t>
      </w:r>
    </w:p>
    <w:p>
      <w:pPr>
        <w:pStyle w:val="BodyText"/>
      </w:pPr>
      <w:r>
        <w:t xml:space="preserve">13 (30.2%)</w:t>
      </w:r>
    </w:p>
    <w:bookmarkEnd w:id="28"/>
    <w:bookmarkStart w:id="29" w:name="exposure"/>
    <w:p>
      <w:pPr>
        <w:pStyle w:val="Heading1"/>
      </w:pPr>
      <w:r>
        <w:t xml:space="preserve">Exposure</w:t>
      </w:r>
    </w:p>
    <w:p>
      <w:pPr>
        <w:pStyle w:val="FirstParagraph"/>
      </w:pPr>
      <w:r>
        <w:t xml:space="preserve">Exposure to study treatment</w:t>
      </w:r>
    </w:p>
    <w:p>
      <w:pPr>
        <w:pStyle w:val="BodyText"/>
      </w:pPr>
      <w:r>
        <w:t xml:space="preserve">Parameter</w:t>
      </w:r>
    </w:p>
    <w:p>
      <w:pPr>
        <w:pStyle w:val="BodyText"/>
      </w:pPr>
      <w:r>
        <w:t xml:space="preserve">Hydroxychloroquine + SOC</w:t>
      </w:r>
    </w:p>
    <w:p>
      <w:pPr>
        <w:pStyle w:val="BodyText"/>
      </w:pPr>
      <w:r>
        <w:t xml:space="preserve">Remdesivir + SOC</w:t>
      </w:r>
    </w:p>
    <w:p>
      <w:pPr>
        <w:pStyle w:val="BodyText"/>
      </w:pPr>
      <w:r>
        <w:t xml:space="preserve">Total dose, median (IQR), mg</w:t>
      </w:r>
    </w:p>
    <w:p>
      <w:pPr>
        <w:pStyle w:val="BodyText"/>
      </w:pPr>
      <w:r>
        <w:t xml:space="preserve">5200 (3600 - 8400)</w:t>
      </w:r>
    </w:p>
    <w:p>
      <w:pPr>
        <w:pStyle w:val="BodyText"/>
      </w:pPr>
      <w:r>
        <w:t xml:space="preserve">700 (500 - 1100)</w:t>
      </w:r>
    </w:p>
    <w:p>
      <w:pPr>
        <w:pStyle w:val="BodyText"/>
      </w:pPr>
      <w:r>
        <w:t xml:space="preserve">Days with treatment, median (IQR)</w:t>
      </w:r>
    </w:p>
    <w:p>
      <w:pPr>
        <w:pStyle w:val="BodyText"/>
      </w:pPr>
      <w:r>
        <w:t xml:space="preserve">6 (4 - 10)</w:t>
      </w:r>
    </w:p>
    <w:p>
      <w:pPr>
        <w:pStyle w:val="BodyText"/>
      </w:pPr>
      <w:r>
        <w:t xml:space="preserve">6 (4 - 10)</w:t>
      </w:r>
    </w:p>
    <w:p>
      <w:pPr>
        <w:pStyle w:val="BodyText"/>
      </w:pPr>
      <w:r>
        <w:t xml:space="preserve">Patients with any treatment discrepencies, n (%)</w:t>
      </w:r>
    </w:p>
    <w:p>
      <w:pPr>
        <w:pStyle w:val="BodyText"/>
      </w:pPr>
      <w:r>
        <w:t xml:space="preserve">23 (42.6%)</w:t>
      </w:r>
    </w:p>
    <w:p>
      <w:pPr>
        <w:pStyle w:val="BodyText"/>
      </w:pPr>
      <w:r>
        <w:t xml:space="preserve">11 (25.6%)</w:t>
      </w:r>
    </w:p>
    <w:bookmarkEnd w:id="29"/>
    <w:bookmarkStart w:id="34" w:name="adverse-events"/>
    <w:p>
      <w:pPr>
        <w:pStyle w:val="Heading1"/>
      </w:pPr>
      <w:r>
        <w:t xml:space="preserve">Adverse Events</w:t>
      </w:r>
    </w:p>
    <w:bookmarkStart w:id="30" w:name="ae-summary"/>
    <w:p>
      <w:pPr>
        <w:pStyle w:val="Heading2"/>
      </w:pPr>
      <w:r>
        <w:t xml:space="preserve">AE Summary</w:t>
      </w:r>
    </w:p>
    <w:p>
      <w:pPr>
        <w:pStyle w:val="FirstParagraph"/>
      </w:pPr>
      <w:r>
        <w:t xml:space="preserve">Summary of Adverse Events</w:t>
      </w:r>
    </w:p>
    <w:p>
      <w:pPr>
        <w:pStyle w:val="BodyText"/>
      </w:pPr>
      <w:r>
        <w:t xml:space="preserve">Parameter</w:t>
      </w:r>
    </w:p>
    <w:p>
      <w:pPr>
        <w:pStyle w:val="BodyText"/>
      </w:pPr>
      <w:r>
        <w:t xml:space="preserve">SOC (N=88)</w:t>
      </w:r>
    </w:p>
    <w:p>
      <w:pPr>
        <w:pStyle w:val="BodyText"/>
      </w:pPr>
      <w:r>
        <w:t xml:space="preserve">SOC + HCQ (N=54)</w:t>
      </w:r>
    </w:p>
    <w:p>
      <w:pPr>
        <w:pStyle w:val="BodyText"/>
      </w:pPr>
      <w:r>
        <w:t xml:space="preserve">SOC + Remdesivir (N=43)</w:t>
      </w:r>
    </w:p>
    <w:p>
      <w:pPr>
        <w:pStyle w:val="BodyText"/>
      </w:pPr>
      <w:r>
        <w:t xml:space="preserve">Number of AEs</w:t>
      </w:r>
    </w:p>
    <w:p>
      <w:pPr>
        <w:pStyle w:val="BodyText"/>
      </w:pPr>
      <w:r>
        <w:t xml:space="preserve">[31] 20 (22.7%)</w:t>
      </w:r>
    </w:p>
    <w:p>
      <w:pPr>
        <w:pStyle w:val="BodyText"/>
      </w:pPr>
      <w:r>
        <w:t xml:space="preserve">[34] 20 (37%)</w:t>
      </w:r>
    </w:p>
    <w:p>
      <w:pPr>
        <w:pStyle w:val="BodyText"/>
      </w:pPr>
      <w:r>
        <w:t xml:space="preserve">[26] 16 (37.2%)</w:t>
      </w:r>
    </w:p>
    <w:p>
      <w:pPr>
        <w:pStyle w:val="BodyText"/>
      </w:pPr>
      <w:r>
        <w:t xml:space="preserve">Number of patients with any AEs?</w:t>
      </w:r>
    </w:p>
    <w:p>
      <w:pPr>
        <w:pStyle w:val="BodyText"/>
      </w:pPr>
      <w:r>
        <w:t xml:space="preserve">20 (22.7%)</w:t>
      </w:r>
    </w:p>
    <w:p>
      <w:pPr>
        <w:pStyle w:val="BodyText"/>
      </w:pPr>
      <w:r>
        <w:t xml:space="preserve">20 (37%)</w:t>
      </w:r>
    </w:p>
    <w:p>
      <w:pPr>
        <w:pStyle w:val="BodyText"/>
      </w:pPr>
      <w:r>
        <w:t xml:space="preserve">16 (37.2%)</w:t>
      </w:r>
    </w:p>
    <w:p>
      <w:pPr>
        <w:pStyle w:val="BodyText"/>
      </w:pPr>
      <w:r>
        <w:t xml:space="preserve">Number of patients with one AE</w:t>
      </w:r>
    </w:p>
    <w:p>
      <w:pPr>
        <w:pStyle w:val="BodyText"/>
      </w:pPr>
      <w:r>
        <w:t xml:space="preserve">13 (14.8%)</w:t>
      </w:r>
    </w:p>
    <w:p>
      <w:pPr>
        <w:pStyle w:val="BodyText"/>
      </w:pPr>
      <w:r>
        <w:t xml:space="preserve">14 (25.9%)</w:t>
      </w:r>
    </w:p>
    <w:p>
      <w:pPr>
        <w:pStyle w:val="BodyText"/>
      </w:pPr>
      <w:r>
        <w:t xml:space="preserve">11 (25.6%)</w:t>
      </w:r>
    </w:p>
    <w:p>
      <w:pPr>
        <w:pStyle w:val="BodyText"/>
      </w:pPr>
      <w:r>
        <w:t xml:space="preserve">Number of patients with two AE</w:t>
      </w:r>
    </w:p>
    <w:p>
      <w:pPr>
        <w:pStyle w:val="BodyText"/>
      </w:pPr>
      <w:r>
        <w:t xml:space="preserve">3 (3.4%)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1 (2.3%)</w:t>
      </w:r>
    </w:p>
    <w:p>
      <w:pPr>
        <w:pStyle w:val="BodyText"/>
      </w:pPr>
      <w:r>
        <w:t xml:space="preserve">Number of patients with three or more AEs</w:t>
      </w:r>
    </w:p>
    <w:p>
      <w:pPr>
        <w:pStyle w:val="BodyText"/>
      </w:pPr>
      <w:r>
        <w:t xml:space="preserve">4 (4.5%)</w:t>
      </w:r>
    </w:p>
    <w:p>
      <w:pPr>
        <w:pStyle w:val="BodyText"/>
      </w:pPr>
      <w:r>
        <w:t xml:space="preserve">4 (7.4%)</w:t>
      </w:r>
    </w:p>
    <w:p>
      <w:pPr>
        <w:pStyle w:val="BodyText"/>
      </w:pPr>
      <w:r>
        <w:t xml:space="preserve">4 (9.3%)</w:t>
      </w:r>
    </w:p>
    <w:p>
      <w:pPr>
        <w:pStyle w:val="BodyText"/>
      </w:pPr>
      <w:r>
        <w:t xml:space="preserve">Number of SAEs</w:t>
      </w:r>
    </w:p>
    <w:p>
      <w:pPr>
        <w:pStyle w:val="BodyText"/>
      </w:pPr>
      <w:r>
        <w:t xml:space="preserve">[18] 11 (12.5%)</w:t>
      </w:r>
    </w:p>
    <w:p>
      <w:pPr>
        <w:pStyle w:val="BodyText"/>
      </w:pPr>
      <w:r>
        <w:t xml:space="preserve">[13] 8 (14.8%)</w:t>
      </w:r>
    </w:p>
    <w:p>
      <w:pPr>
        <w:pStyle w:val="BodyText"/>
      </w:pPr>
      <w:r>
        <w:t xml:space="preserve">[12] 10 (23.3%)</w:t>
      </w:r>
    </w:p>
    <w:p>
      <w:pPr>
        <w:pStyle w:val="BodyText"/>
      </w:pPr>
      <w:r>
        <w:t xml:space="preserve">Number of patients with any SAEs?</w:t>
      </w:r>
    </w:p>
    <w:p>
      <w:pPr>
        <w:pStyle w:val="BodyText"/>
      </w:pPr>
      <w:r>
        <w:t xml:space="preserve">11 (12.5%)</w:t>
      </w:r>
    </w:p>
    <w:p>
      <w:pPr>
        <w:pStyle w:val="BodyText"/>
      </w:pPr>
      <w:r>
        <w:t xml:space="preserve">8 (14.8%)</w:t>
      </w:r>
    </w:p>
    <w:p>
      <w:pPr>
        <w:pStyle w:val="BodyText"/>
      </w:pPr>
      <w:r>
        <w:t xml:space="preserve">10 (23.3%)</w:t>
      </w:r>
    </w:p>
    <w:p>
      <w:pPr>
        <w:pStyle w:val="BodyText"/>
      </w:pPr>
      <w:r>
        <w:t xml:space="preserve">The numbers are [Number of events] Number of patients (percentage of patients), or Number of patients (percentage of patients)</w:t>
      </w:r>
    </w:p>
    <w:bookmarkEnd w:id="30"/>
    <w:bookmarkStart w:id="31" w:name="by-system-organ-class-and-preferred-term"/>
    <w:p>
      <w:pPr>
        <w:pStyle w:val="Heading2"/>
      </w:pPr>
      <w:r>
        <w:t xml:space="preserve">By System Organ Class and Preferred Term</w:t>
      </w:r>
    </w:p>
    <w:p>
      <w:pPr>
        <w:pStyle w:val="FirstParagraph"/>
      </w:pPr>
      <w:r>
        <w:t xml:space="preserve">Adverse Events by System Organ Class and Preferred term</w:t>
      </w:r>
    </w:p>
    <w:p>
      <w:pPr>
        <w:pStyle w:val="BodyText"/>
      </w:pPr>
      <w:r>
        <w:t xml:space="preserve">System Organ Class</w:t>
      </w:r>
    </w:p>
    <w:p>
      <w:pPr>
        <w:pStyle w:val="BodyText"/>
      </w:pPr>
      <w:r>
        <w:t xml:space="preserve">Preferred Term</w:t>
      </w:r>
    </w:p>
    <w:p>
      <w:pPr>
        <w:pStyle w:val="BodyText"/>
      </w:pPr>
      <w:r>
        <w:t xml:space="preserve">SOC (N=88)</w:t>
      </w:r>
    </w:p>
    <w:p>
      <w:pPr>
        <w:pStyle w:val="BodyText"/>
      </w:pPr>
      <w:r>
        <w:t xml:space="preserve">SOC + HCQ (N=54)</w:t>
      </w:r>
    </w:p>
    <w:p>
      <w:pPr>
        <w:pStyle w:val="BodyText"/>
      </w:pPr>
      <w:r>
        <w:t xml:space="preserve">SOC + Remdesivir (N=43)</w:t>
      </w:r>
    </w:p>
    <w:p>
      <w:pPr>
        <w:pStyle w:val="BodyText"/>
      </w:pPr>
      <w:r>
        <w:t xml:space="preserve">Blood and lymphatic system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[2] 1 (1.9%)</w:t>
      </w:r>
    </w:p>
    <w:p>
      <w:pPr>
        <w:pStyle w:val="BodyText"/>
      </w:pPr>
      <w:r>
        <w:t xml:space="preserve">Leukopenia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Thrombocytopenia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Cardiac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[3] 2 (4.7%)</w:t>
      </w:r>
    </w:p>
    <w:p>
      <w:pPr>
        <w:pStyle w:val="BodyText"/>
      </w:pPr>
      <w:r>
        <w:t xml:space="preserve">Arrhythmia</w:t>
      </w:r>
    </w:p>
    <w:p>
      <w:pPr>
        <w:pStyle w:val="BodyText"/>
      </w:pPr>
      <w:r>
        <w:t xml:space="preserve">[2] 1 (2.3%)</w:t>
      </w:r>
    </w:p>
    <w:p>
      <w:pPr>
        <w:pStyle w:val="BodyText"/>
      </w:pPr>
      <w:r>
        <w:t xml:space="preserve">Ventricular tachycardia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Gastrointestinal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[2] 2 (2.3%)</w:t>
      </w:r>
    </w:p>
    <w:p>
      <w:pPr>
        <w:pStyle w:val="BodyText"/>
      </w:pPr>
      <w:r>
        <w:t xml:space="preserve">[4] 4 (7.4%)</w:t>
      </w:r>
    </w:p>
    <w:p>
      <w:pPr>
        <w:pStyle w:val="BodyText"/>
      </w:pPr>
      <w:r>
        <w:t xml:space="preserve">[4] 3 (7%)</w:t>
      </w:r>
    </w:p>
    <w:p>
      <w:pPr>
        <w:pStyle w:val="BodyText"/>
      </w:pPr>
      <w:r>
        <w:t xml:space="preserve">Abdominal pain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Diarrhoea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Diarrhoea haemorrhagic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Gastrooesophageal reflux disease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Intestinal pseudo-obstruction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Nausea</w:t>
      </w:r>
    </w:p>
    <w:p>
      <w:pPr>
        <w:pStyle w:val="BodyText"/>
      </w:pPr>
      <w:r>
        <w:t xml:space="preserve">[2] 2 (4.7%)</w:t>
      </w:r>
    </w:p>
    <w:p>
      <w:pPr>
        <w:pStyle w:val="BodyText"/>
      </w:pPr>
      <w:r>
        <w:t xml:space="preserve">Pancreatic failure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Vomiting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General disorders and administration site conditions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[3] 3 (3.4%)</w:t>
      </w:r>
    </w:p>
    <w:p>
      <w:pPr>
        <w:pStyle w:val="BodyText"/>
      </w:pPr>
      <w:r>
        <w:t xml:space="preserve">[2] 2 (4.7%)</w:t>
      </w:r>
    </w:p>
    <w:p>
      <w:pPr>
        <w:pStyle w:val="BodyText"/>
      </w:pPr>
      <w:r>
        <w:t xml:space="preserve">Chest pain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General physical health deterioration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Medical device site reaction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Pyrexia</w:t>
      </w:r>
    </w:p>
    <w:p>
      <w:pPr>
        <w:pStyle w:val="BodyText"/>
      </w:pPr>
      <w:r>
        <w:t xml:space="preserve">[2] 2 (2.3%)</w:t>
      </w:r>
    </w:p>
    <w:p>
      <w:pPr>
        <w:pStyle w:val="BodyText"/>
      </w:pPr>
      <w:r>
        <w:t xml:space="preserve">Infections and infestations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[3] 3 (3.4%)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COVID-19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Infection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Pneumonia bacterial</w:t>
      </w:r>
    </w:p>
    <w:p>
      <w:pPr>
        <w:pStyle w:val="BodyText"/>
      </w:pPr>
      <w:r>
        <w:t xml:space="preserve">[2] 2 (2.3%)</w:t>
      </w:r>
    </w:p>
    <w:p>
      <w:pPr>
        <w:pStyle w:val="BodyText"/>
      </w:pPr>
      <w:r>
        <w:t xml:space="preserve">Investigations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[5] 3 (3.4%)</w:t>
      </w:r>
    </w:p>
    <w:p>
      <w:pPr>
        <w:pStyle w:val="BodyText"/>
      </w:pPr>
      <w:r>
        <w:t xml:space="preserve">[10] 6 (11.1%)</w:t>
      </w:r>
    </w:p>
    <w:p>
      <w:pPr>
        <w:pStyle w:val="BodyText"/>
      </w:pPr>
      <w:r>
        <w:t xml:space="preserve">[4] 4 (9.3%)</w:t>
      </w:r>
    </w:p>
    <w:p>
      <w:pPr>
        <w:pStyle w:val="BodyText"/>
      </w:pPr>
      <w:r>
        <w:t xml:space="preserve">Alanine aminotransferase increased</w:t>
      </w:r>
    </w:p>
    <w:p>
      <w:pPr>
        <w:pStyle w:val="BodyText"/>
      </w:pPr>
      <w:r>
        <w:t xml:space="preserve">[2] 1 (1.1%)</w:t>
      </w:r>
    </w:p>
    <w:p>
      <w:pPr>
        <w:pStyle w:val="BodyText"/>
      </w:pPr>
      <w:r>
        <w:t xml:space="preserve">[2] 2 (3.7%)</w:t>
      </w:r>
    </w:p>
    <w:p>
      <w:pPr>
        <w:pStyle w:val="BodyText"/>
      </w:pPr>
      <w:r>
        <w:t xml:space="preserve">Amylase increased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Aspartate aminotransferase increased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[3] 3 (5.6%)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Blood creatine phosphokinase increased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Electrocardiogram QT prolonged</w:t>
      </w:r>
    </w:p>
    <w:p>
      <w:pPr>
        <w:pStyle w:val="BodyText"/>
      </w:pPr>
      <w:r>
        <w:t xml:space="preserve">[2] 2 (3.7%)</w:t>
      </w:r>
    </w:p>
    <w:p>
      <w:pPr>
        <w:pStyle w:val="BodyText"/>
      </w:pPr>
      <w:r>
        <w:t xml:space="preserve">Fibrin D dimer increased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Gamma-glutamyltransferase increased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Hepatic enzyme increased</w:t>
      </w:r>
    </w:p>
    <w:p>
      <w:pPr>
        <w:pStyle w:val="BodyText"/>
      </w:pPr>
      <w:r>
        <w:t xml:space="preserve">[2] 2 (4.7%)</w:t>
      </w:r>
    </w:p>
    <w:p>
      <w:pPr>
        <w:pStyle w:val="BodyText"/>
      </w:pPr>
      <w:r>
        <w:t xml:space="preserve">Myocardial necrosis marker increased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Neutrophil count decreased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Metabolism and nutrition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Hypercalcaemia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Musculoskeletal and connective tissue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[4] 2 (3.7%)</w:t>
      </w:r>
    </w:p>
    <w:p>
      <w:pPr>
        <w:pStyle w:val="BodyText"/>
      </w:pPr>
      <w:r>
        <w:t xml:space="preserve">Arthralgia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Arthritis reactive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Joint swelling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Tendonitis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Neoplasms benign, malignant and unspecified (incl cysts and polyps)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Neoplasm malignant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Nervous system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[2] 2 (4.7%)</w:t>
      </w:r>
    </w:p>
    <w:p>
      <w:pPr>
        <w:pStyle w:val="BodyText"/>
      </w:pPr>
      <w:r>
        <w:t xml:space="preserve">Headache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Loss of consciousness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Syncope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Renal and urinary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Renal failure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Respiratory, thoracic and mediastinal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[8] 6 (6.8%)</w:t>
      </w:r>
    </w:p>
    <w:p>
      <w:pPr>
        <w:pStyle w:val="BodyText"/>
      </w:pPr>
      <w:r>
        <w:t xml:space="preserve">[9] 7 (13%)</w:t>
      </w:r>
    </w:p>
    <w:p>
      <w:pPr>
        <w:pStyle w:val="BodyText"/>
      </w:pPr>
      <w:r>
        <w:t xml:space="preserve">[7] 5 (11.6%)</w:t>
      </w:r>
    </w:p>
    <w:p>
      <w:pPr>
        <w:pStyle w:val="BodyText"/>
      </w:pPr>
      <w:r>
        <w:t xml:space="preserve">Bronchopleural fistula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Chronic obstructive pulmonary disease</w:t>
      </w:r>
    </w:p>
    <w:p>
      <w:pPr>
        <w:pStyle w:val="BodyText"/>
      </w:pPr>
      <w:r>
        <w:t xml:space="preserve">[2] 1 (2.3%)</w:t>
      </w:r>
    </w:p>
    <w:p>
      <w:pPr>
        <w:pStyle w:val="BodyText"/>
      </w:pPr>
      <w:r>
        <w:t xml:space="preserve">Cough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Dyspnoea</w:t>
      </w:r>
    </w:p>
    <w:p>
      <w:pPr>
        <w:pStyle w:val="BodyText"/>
      </w:pPr>
      <w:r>
        <w:t xml:space="preserve">[3] 1 (1.1%)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Pulmonary embolism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Respiratory distress</w:t>
      </w:r>
    </w:p>
    <w:p>
      <w:pPr>
        <w:pStyle w:val="BodyText"/>
      </w:pPr>
      <w:r>
        <w:t xml:space="preserve">[3] 3 (3.4%)</w:t>
      </w:r>
    </w:p>
    <w:p>
      <w:pPr>
        <w:pStyle w:val="BodyText"/>
      </w:pPr>
      <w:r>
        <w:t xml:space="preserve">[4] 3 (5.6%)</w:t>
      </w:r>
    </w:p>
    <w:p>
      <w:pPr>
        <w:pStyle w:val="BodyText"/>
      </w:pPr>
      <w:r>
        <w:t xml:space="preserve">Respiratory failure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[4] 4 (7.4%)</w:t>
      </w:r>
    </w:p>
    <w:p>
      <w:pPr>
        <w:pStyle w:val="BodyText"/>
      </w:pPr>
      <w:r>
        <w:t xml:space="preserve">[3] 2 (4.7%)</w:t>
      </w:r>
    </w:p>
    <w:p>
      <w:pPr>
        <w:pStyle w:val="BodyText"/>
      </w:pPr>
      <w:r>
        <w:t xml:space="preserve">Skin and subcutaneous tissue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Alopecia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Vascular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Hypotension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Thrombophlebitis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Thrombosis</w:t>
      </w:r>
    </w:p>
    <w:p>
      <w:pPr>
        <w:pStyle w:val="BodyText"/>
      </w:pPr>
      <w:r>
        <w:t xml:space="preserve">[1] 1 (1.1%)</w:t>
      </w:r>
    </w:p>
    <w:bookmarkEnd w:id="31"/>
    <w:bookmarkStart w:id="32" w:name="serious-adverse-events"/>
    <w:p>
      <w:pPr>
        <w:pStyle w:val="Heading2"/>
      </w:pPr>
      <w:r>
        <w:t xml:space="preserve">Serious Adverse Events</w:t>
      </w:r>
    </w:p>
    <w:p>
      <w:pPr>
        <w:pStyle w:val="FirstParagraph"/>
      </w:pPr>
      <w:r>
        <w:t xml:space="preserve">Serious Adverse Events by System Organ Class and Preferred term</w:t>
      </w:r>
    </w:p>
    <w:p>
      <w:pPr>
        <w:pStyle w:val="BodyText"/>
      </w:pPr>
      <w:r>
        <w:t xml:space="preserve">System Organ Class</w:t>
      </w:r>
    </w:p>
    <w:p>
      <w:pPr>
        <w:pStyle w:val="BodyText"/>
      </w:pPr>
      <w:r>
        <w:t xml:space="preserve">Preferred Term</w:t>
      </w:r>
    </w:p>
    <w:p>
      <w:pPr>
        <w:pStyle w:val="BodyText"/>
      </w:pPr>
      <w:r>
        <w:t xml:space="preserve">SOC (N=88)</w:t>
      </w:r>
    </w:p>
    <w:p>
      <w:pPr>
        <w:pStyle w:val="BodyText"/>
      </w:pPr>
      <w:r>
        <w:t xml:space="preserve">SOC + HCQ (N=54)</w:t>
      </w:r>
    </w:p>
    <w:p>
      <w:pPr>
        <w:pStyle w:val="BodyText"/>
      </w:pPr>
      <w:r>
        <w:t xml:space="preserve">SOC + Remdesivir (N=43)</w:t>
      </w:r>
    </w:p>
    <w:p>
      <w:pPr>
        <w:pStyle w:val="BodyText"/>
      </w:pPr>
      <w:r>
        <w:t xml:space="preserve">Gastrointestinal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Abdominal pain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Diarrhoea haemorrhagic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General disorders and administration site conditions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[2] 2 (2.3%)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Chest pain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General physical health deterioration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Pyrexia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Infections and infestations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COVID-19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Pneumonia bacterial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Investigations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[2] 2 (3.7%)</w:t>
      </w:r>
    </w:p>
    <w:p>
      <w:pPr>
        <w:pStyle w:val="BodyText"/>
      </w:pPr>
      <w:r>
        <w:t xml:space="preserve">[2] 2 (4.7%)</w:t>
      </w:r>
    </w:p>
    <w:p>
      <w:pPr>
        <w:pStyle w:val="BodyText"/>
      </w:pPr>
      <w:r>
        <w:t xml:space="preserve">Alanine aminotransferase increased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Aspartate aminotransferase increased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Blood creatine phosphokinase increased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Hepatic enzyme increased</w:t>
      </w:r>
    </w:p>
    <w:p>
      <w:pPr>
        <w:pStyle w:val="BodyText"/>
      </w:pPr>
      <w:r>
        <w:t xml:space="preserve">[2] 2 (4.7%)</w:t>
      </w:r>
    </w:p>
    <w:p>
      <w:pPr>
        <w:pStyle w:val="BodyText"/>
      </w:pPr>
      <w:r>
        <w:t xml:space="preserve">Neoplasms benign, malignant and unspecified (incl cysts and polyps)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Neoplasm malignant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Nervous system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Loss of consciousness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Renal and urinary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Renal failure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Respiratory, thoracic and mediastinal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[7] 5 (5.7%)</w:t>
      </w:r>
    </w:p>
    <w:p>
      <w:pPr>
        <w:pStyle w:val="BodyText"/>
      </w:pPr>
      <w:r>
        <w:t xml:space="preserve">[9] 7 (13%)</w:t>
      </w:r>
    </w:p>
    <w:p>
      <w:pPr>
        <w:pStyle w:val="BodyText"/>
      </w:pPr>
      <w:r>
        <w:t xml:space="preserve">[7] 5 (11.6%)</w:t>
      </w:r>
    </w:p>
    <w:p>
      <w:pPr>
        <w:pStyle w:val="BodyText"/>
      </w:pPr>
      <w:r>
        <w:t xml:space="preserve">Bronchopleural fistula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Chronic obstructive pulmonary disease</w:t>
      </w:r>
    </w:p>
    <w:p>
      <w:pPr>
        <w:pStyle w:val="BodyText"/>
      </w:pPr>
      <w:r>
        <w:t xml:space="preserve">[2] 1 (2.3%)</w:t>
      </w:r>
    </w:p>
    <w:p>
      <w:pPr>
        <w:pStyle w:val="BodyText"/>
      </w:pPr>
      <w:r>
        <w:t xml:space="preserve">Dyspnoea</w:t>
      </w:r>
    </w:p>
    <w:p>
      <w:pPr>
        <w:pStyle w:val="BodyText"/>
      </w:pPr>
      <w:r>
        <w:t xml:space="preserve">[3] 1 (1.1%)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Pulmonary embolism</w:t>
      </w:r>
    </w:p>
    <w:p>
      <w:pPr>
        <w:pStyle w:val="BodyText"/>
      </w:pPr>
      <w:r>
        <w:t xml:space="preserve">[1] 1 (1.9%)</w:t>
      </w:r>
    </w:p>
    <w:p>
      <w:pPr>
        <w:pStyle w:val="BodyText"/>
      </w:pPr>
      <w:r>
        <w:t xml:space="preserve">Respiratory distress</w:t>
      </w:r>
    </w:p>
    <w:p>
      <w:pPr>
        <w:pStyle w:val="BodyText"/>
      </w:pPr>
      <w:r>
        <w:t xml:space="preserve">[3] 3 (3.4%)</w:t>
      </w:r>
    </w:p>
    <w:p>
      <w:pPr>
        <w:pStyle w:val="BodyText"/>
      </w:pPr>
      <w:r>
        <w:t xml:space="preserve">[4] 3 (5.6%)</w:t>
      </w:r>
    </w:p>
    <w:p>
      <w:pPr>
        <w:pStyle w:val="BodyText"/>
      </w:pPr>
      <w:r>
        <w:t xml:space="preserve">Respiratory failure</w:t>
      </w:r>
    </w:p>
    <w:p>
      <w:pPr>
        <w:pStyle w:val="BodyText"/>
      </w:pPr>
      <w:r>
        <w:t xml:space="preserve">[1] 1 (1.1%)</w:t>
      </w:r>
    </w:p>
    <w:p>
      <w:pPr>
        <w:pStyle w:val="BodyText"/>
      </w:pPr>
      <w:r>
        <w:t xml:space="preserve">[4] 4 (7.4%)</w:t>
      </w:r>
    </w:p>
    <w:p>
      <w:pPr>
        <w:pStyle w:val="BodyText"/>
      </w:pPr>
      <w:r>
        <w:t xml:space="preserve">[3] 2 (4.7%)</w:t>
      </w:r>
    </w:p>
    <w:bookmarkEnd w:id="32"/>
    <w:bookmarkStart w:id="33" w:name="Xfa05552548931d6a871505c8d2314bc661ad4f9"/>
    <w:p>
      <w:pPr>
        <w:pStyle w:val="Heading2"/>
      </w:pPr>
      <w:r>
        <w:t xml:space="preserve">Suspected Unexpected Serious Adverse Reaction</w:t>
      </w:r>
    </w:p>
    <w:p>
      <w:pPr>
        <w:pStyle w:val="FirstParagraph"/>
      </w:pPr>
      <w:r>
        <w:t xml:space="preserve">Suspected Unexpected Serious Adverse Reaction by System Organ Class and Preferred term</w:t>
      </w:r>
    </w:p>
    <w:p>
      <w:pPr>
        <w:pStyle w:val="BodyText"/>
      </w:pPr>
      <w:r>
        <w:t xml:space="preserve">System Organ Class</w:t>
      </w:r>
    </w:p>
    <w:p>
      <w:pPr>
        <w:pStyle w:val="BodyText"/>
      </w:pPr>
      <w:r>
        <w:t xml:space="preserve">Preferred Term</w:t>
      </w:r>
    </w:p>
    <w:p>
      <w:pPr>
        <w:pStyle w:val="BodyText"/>
      </w:pPr>
      <w:r>
        <w:t xml:space="preserve">Remdesivir + SOC</w:t>
      </w:r>
    </w:p>
    <w:p>
      <w:pPr>
        <w:pStyle w:val="BodyText"/>
      </w:pPr>
      <w:r>
        <w:t xml:space="preserve">Gastrointestinal disorders</w:t>
      </w:r>
    </w:p>
    <w:p>
      <w:pPr>
        <w:pStyle w:val="BodyText"/>
      </w:pPr>
      <w:r>
        <w:t xml:space="preserve">#Total</w:t>
      </w:r>
    </w:p>
    <w:p>
      <w:pPr>
        <w:pStyle w:val="BodyText"/>
      </w:pPr>
      <w:r>
        <w:t xml:space="preserve">[1] 1 (2.3%)</w:t>
      </w:r>
    </w:p>
    <w:p>
      <w:pPr>
        <w:pStyle w:val="BodyText"/>
      </w:pPr>
      <w:r>
        <w:t xml:space="preserve">Diarrhoea haemorrhagic</w:t>
      </w:r>
    </w:p>
    <w:p>
      <w:pPr>
        <w:pStyle w:val="BodyText"/>
      </w:pPr>
      <w:r>
        <w:t xml:space="preserve">[1] 1 (2.3%)</w:t>
      </w:r>
    </w:p>
    <w:bookmarkEnd w:id="33"/>
    <w:bookmarkEnd w:id="34"/>
    <w:bookmarkStart w:id="35" w:name="outcome"/>
    <w:p>
      <w:pPr>
        <w:pStyle w:val="Heading1"/>
      </w:pPr>
      <w:r>
        <w:t xml:space="preserve">Outcome</w:t>
      </w:r>
    </w:p>
    <w:p>
      <w:pPr>
        <w:pStyle w:val="FirstParagraph"/>
      </w:pPr>
      <w:r>
        <w:t xml:space="preserve">The following report is based on pseudo-randomised groups, not true allocations. The true allocations are available for the DMC only.</w:t>
      </w:r>
    </w:p>
    <w:p>
      <w:pPr>
        <w:pStyle w:val="BodyText"/>
      </w:pPr>
      <w:r>
        <w:t xml:space="preserve">Outcome</w:t>
      </w:r>
    </w:p>
    <w:p>
      <w:pPr>
        <w:pStyle w:val="BodyText"/>
      </w:pPr>
      <w:r>
        <w:t xml:space="preserve">Parameter</w:t>
      </w:r>
    </w:p>
    <w:p>
      <w:pPr>
        <w:pStyle w:val="BodyText"/>
      </w:pPr>
      <w:r>
        <w:t xml:space="preserve">SOC (N=88)</w:t>
      </w:r>
    </w:p>
    <w:p>
      <w:pPr>
        <w:pStyle w:val="BodyText"/>
      </w:pPr>
      <w:r>
        <w:t xml:space="preserve">SOC + HCQ (N=54)</w:t>
      </w:r>
    </w:p>
    <w:p>
      <w:pPr>
        <w:pStyle w:val="BodyText"/>
      </w:pPr>
      <w:r>
        <w:t xml:space="preserve">SOC + Remdesivir (N=43)</w:t>
      </w:r>
    </w:p>
    <w:p>
      <w:pPr>
        <w:pStyle w:val="BodyText"/>
      </w:pPr>
      <w:r>
        <w:t xml:space="preserve">Alive and discharged</w:t>
      </w:r>
    </w:p>
    <w:p>
      <w:pPr>
        <w:pStyle w:val="BodyText"/>
      </w:pPr>
      <w:r>
        <w:t xml:space="preserve">77 (87.5%)</w:t>
      </w:r>
    </w:p>
    <w:p>
      <w:pPr>
        <w:pStyle w:val="BodyText"/>
      </w:pPr>
      <w:r>
        <w:t xml:space="preserve">46 (85.2%)</w:t>
      </w:r>
    </w:p>
    <w:p>
      <w:pPr>
        <w:pStyle w:val="BodyText"/>
      </w:pPr>
      <w:r>
        <w:t xml:space="preserve">37 (86%)</w:t>
      </w:r>
    </w:p>
    <w:p>
      <w:pPr>
        <w:pStyle w:val="BodyText"/>
      </w:pPr>
      <w:r>
        <w:t xml:space="preserve">Withdrawn</w:t>
      </w:r>
    </w:p>
    <w:p>
      <w:pPr>
        <w:pStyle w:val="BodyText"/>
      </w:pPr>
      <w:r>
        <w:t xml:space="preserve">1 (1.1%)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3 (7%)</w:t>
      </w:r>
    </w:p>
    <w:p>
      <w:pPr>
        <w:pStyle w:val="BodyText"/>
      </w:pPr>
      <w:r>
        <w:t xml:space="preserve">Ongoing</w:t>
      </w:r>
    </w:p>
    <w:p>
      <w:pPr>
        <w:pStyle w:val="BodyText"/>
      </w:pPr>
      <w:r>
        <w:t xml:space="preserve">2 (2.3%)</w:t>
      </w:r>
    </w:p>
    <w:p>
      <w:pPr>
        <w:pStyle w:val="BodyText"/>
      </w:pPr>
      <w:r>
        <w:t xml:space="preserve">4 (7.4%)</w:t>
      </w:r>
    </w:p>
    <w:p>
      <w:pPr>
        <w:pStyle w:val="BodyText"/>
      </w:pPr>
      <w:r>
        <w:t xml:space="preserve">1 (2.3%)</w:t>
      </w:r>
    </w:p>
    <w:p>
      <w:pPr>
        <w:pStyle w:val="BodyText"/>
      </w:pPr>
      <w:r>
        <w:t xml:space="preserve">Dead</w:t>
      </w:r>
    </w:p>
    <w:p>
      <w:pPr>
        <w:pStyle w:val="BodyText"/>
      </w:pPr>
      <w:r>
        <w:t xml:space="preserve">8 (9.1%)</w:t>
      </w:r>
    </w:p>
    <w:p>
      <w:pPr>
        <w:pStyle w:val="BodyText"/>
      </w:pPr>
      <w:r>
        <w:t xml:space="preserve">2 (3.7%)</w:t>
      </w:r>
    </w:p>
    <w:p>
      <w:pPr>
        <w:pStyle w:val="BodyText"/>
      </w:pPr>
      <w:r>
        <w:t xml:space="preserve">2 (4.7%)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DMC report</dc:title>
  <dc:creator>Inge Christoffer Olsen, PhD</dc:creator>
  <cp:keywords/>
  <dcterms:created xsi:type="dcterms:W3CDTF">2020-10-16T22:37:09Z</dcterms:created>
  <dcterms:modified xsi:type="dcterms:W3CDTF">2020-10-16T22:37:09Z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landscape</vt:lpwstr>
  </property>
  <property fmtid="{D5CDD505-2E9C-101B-9397-08002B2CF9AE}" pid="3" name="date">
    <vt:lpwstr>17 October, 2020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