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NORWELCG — Statistical Analysis Report (MOCK-UP)</w:t>
      </w:r>
    </w:p>
    <w:p>
      <w:pPr>
        <w:pStyle w:val="Subtitle"/>
      </w:pPr>
      <w:r>
        <w:t xml:space="preserve">WHO Labour Care Guide vs WHO partograph — stepped-wedge cluster-randomised trial</w:t>
      </w:r>
    </w:p>
    <w:p>
      <w:pPr>
        <w:pStyle w:val="Date"/>
      </w:pPr>
      <w:r>
        <w:t xml:space="preserve">2026-10-13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MOCK-UP — sham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report is built in</w:t>
            </w:r>
            <w:r>
              <w:t xml:space="preserve"> </w:t>
            </w:r>
            <w:r>
              <w:rPr>
                <w:rStyle w:val="VerbatimChar"/>
              </w:rPr>
              <w:t xml:space="preserve">sham</w:t>
            </w:r>
            <w:r>
              <w:t xml:space="preserve"> </w:t>
            </w:r>
            <w:r>
              <w:t xml:space="preserve">mode on the</w:t>
            </w:r>
            <w:r>
              <w:t xml:space="preserve"> </w:t>
            </w:r>
            <w:r>
              <w:rPr>
                <w:b/>
                <w:bCs/>
              </w:rPr>
              <w:t xml:space="preserve">anonymised</w:t>
            </w:r>
            <w:r>
              <w:t xml:space="preserve"> </w:t>
            </w:r>
            <w:r>
              <w:t xml:space="preserve">export (</w:t>
            </w:r>
            <w:r>
              <w:rPr>
                <w:rStyle w:val="VerbatimChar"/>
              </w:rPr>
              <w:t xml:space="preserve">20261001_anon</w:t>
            </w:r>
            <w:r>
              <w:t xml:space="preserve">). The study period (record-key prefix), hospital, time of birth and outcomes are permuted or shifted independently, so every treatment effect below is noise</w:t>
            </w:r>
            <w:r>
              <w:t xml:space="preserve"> </w:t>
            </w:r>
            <w:r>
              <w:rPr>
                <w:b/>
                <w:bCs/>
              </w:rPr>
              <w:t xml:space="preserve">by construction</w:t>
            </w:r>
            <w:r>
              <w:t xml:space="preserve">. The mock-up validates the code and layout, not the estimates. Single-variable rates and within-woman labour timings are real.</w:t>
            </w:r>
          </w:p>
          <w:p/>
        </w:tc>
      </w:tr>
    </w:tbl>
    <w:bookmarkStart w:id="1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NORWELCG is a stepped-wedge cluster-randomised non-inferiority trial of the WHO</w:t>
      </w:r>
      <w:r>
        <w:t xml:space="preserve"> </w:t>
      </w:r>
      <w:r>
        <w:t xml:space="preserve">Labour Care Guide (LCG) versus the WHO partograph in 12 steps of</w:t>
      </w:r>
      <w:r>
        <w:t xml:space="preserve"> </w:t>
      </w:r>
      <w:r>
        <w:t xml:space="preserve">5 weeks across 10 Norwegian</w:t>
      </w:r>
      <w:r>
        <w:t xml:space="preserve"> </w:t>
      </w:r>
      <w:r>
        <w:t xml:space="preserve">delivery units, inclusion 2025-04-01 to 2026-05-26 (by time of birth).</w:t>
      </w:r>
      <w:r>
        <w:t xml:space="preserve"> </w:t>
      </w:r>
      <w:r>
        <w:t xml:space="preserve">The primary endpoint is intrapartum caesarean section; the LCG is non-inferior</w:t>
      </w:r>
      <w:r>
        <w:t xml:space="preserve"> </w:t>
      </w:r>
      <w:r>
        <w:t xml:space="preserve">if the upper limit of the 95% confidence interval for the risk difference</w:t>
      </w:r>
      <w:r>
        <w:t xml:space="preserve"> </w:t>
      </w:r>
      <w:r>
        <w:t xml:space="preserve">(LCG − WHO partograph) lies below +1.5 percentage points, and</w:t>
      </w:r>
      <w:r>
        <w:t xml:space="preserve"> </w:t>
      </w:r>
      <w:r>
        <w:t xml:space="preserve">superior if it also lies below 0 (SAP §2.1).</w:t>
      </w:r>
    </w:p>
    <w:p>
      <w:pPr>
        <w:pStyle w:val="BodyText"/>
      </w:pPr>
      <w:r>
        <w:t xml:space="preserve">All binary endpoints are analysed with a binomial GLMM (logit link, random</w:t>
      </w:r>
      <w:r>
        <w:t xml:space="preserve"> </w:t>
      </w:r>
      <w:r>
        <w:t xml:space="preserve">cluster intercept, fixed effects for treatment, time interval and the SAP §4.1.3</w:t>
      </w:r>
      <w:r>
        <w:t xml:space="preserve"> </w:t>
      </w:r>
      <w:r>
        <w:t xml:space="preserve">covariates — Robson group, maternal age, pre-pregnancy BMI, height, birth weight,</w:t>
      </w:r>
      <w:r>
        <w:t xml:space="preserve"> </w:t>
      </w:r>
      <w:r>
        <w:t xml:space="preserve">gestational age); risks and differences are population-averaged by</w:t>
      </w:r>
      <w:r>
        <w:t xml:space="preserve"> </w:t>
      </w:r>
      <w:r>
        <w:t xml:space="preserve">G-computation integrating over the random cluster effect, with delta-method</w:t>
      </w:r>
      <w:r>
        <w:t xml:space="preserve"> </w:t>
      </w:r>
      <w:r>
        <w:t xml:space="preserve">standard errors. The study period is given by the eCRF (the prefix of the</w:t>
      </w:r>
      <w:r>
        <w:t xml:space="preserve"> </w:t>
      </w:r>
      <w:r>
        <w:t xml:space="preserve">record key: CTR, TRAN, INT), which each hospital changed at its crossover date</w:t>
      </w:r>
      <w:r>
        <w:t xml:space="preserve"> </w:t>
      </w:r>
      <w:r>
        <w:t xml:space="preserve">in the randomised schedule; the transition periods are excluded</w:t>
      </w:r>
      <w:r>
        <w:t xml:space="preserve"> </w:t>
      </w:r>
      <w:r>
        <w:t xml:space="preserve">from the primary analysis set (PAS). The time interval is the 5-week step of</w:t>
      </w:r>
      <w:r>
        <w:t xml:space="preserve"> </w:t>
      </w:r>
      <w:r>
        <w:t xml:space="preserve">the time of birth, steps starting at 08:00. The primary endpoint counts all</w:t>
      </w:r>
      <w:r>
        <w:t xml:space="preserve"> </w:t>
      </w:r>
      <w:r>
        <w:t xml:space="preserve">caesarean sections from 4 cm in both periods; amniotomy, oxytocin and epidural</w:t>
      </w:r>
      <w:r>
        <w:t xml:space="preserve"> </w:t>
      </w:r>
      <w:r>
        <w:t xml:space="preserve">are counted whatever the cervical dilatation.</w:t>
      </w:r>
    </w:p>
    <w:p>
      <w:pPr>
        <w:pStyle w:val="BodyText"/>
      </w:pPr>
      <w:r>
        <w:t xml:space="preserve">All analyses follow the final signed version of the statistical analysis plan</w:t>
      </w:r>
      <w:r>
        <w:t xml:space="preserve"> </w:t>
      </w:r>
      <w:r>
        <w:t xml:space="preserve">v1.0 YYYY-MM-DD.</w:t>
      </w:r>
    </w:p>
    <w:bookmarkEnd w:id="12"/>
    <w:bookmarkStart w:id="13" w:name="analysis-sets"/>
    <w:p>
      <w:pPr>
        <w:pStyle w:val="Heading1"/>
      </w:pPr>
      <w:r>
        <w:t xml:space="preserve">Analysis 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Study 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14835</w:t>
            </w:r>
          </w:p>
        </w:tc>
      </w:tr>
    </w:tbl>
    <w:p>
      <w:pPr>
        <w:pStyle w:val="BodyText"/>
      </w:pPr>
      <w:r>
        <w:t xml:space="preserve">Births by stepped-wedge time interval and study period: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Time interval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Transition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LCG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1358</w:t>
            </w:r>
          </w:p>
        </w:tc>
      </w:tr>
    </w:tbl>
    <w:p>
      <w:pPr>
        <w:pStyle w:val="BodyText"/>
      </w:pPr>
      <w:r>
        <w:t xml:space="preserve">Period by the randomised schedule (hospital × step of birth) versus the period</w:t>
      </w:r>
      <w:r>
        <w:t xml:space="preserve"> </w:t>
      </w:r>
      <w:r>
        <w:t xml:space="preserve">of the eCRF, which defines the treatment (blinded-review check;</w:t>
      </w:r>
      <w:r>
        <w:t xml:space="preserve"> </w:t>
      </w:r>
      <w:r>
        <w:t xml:space="preserve">on real data the two agree apart from women in labour at a change of period):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Scheduled 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Transition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LCG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6866</w:t>
            </w:r>
          </w:p>
        </w:tc>
      </w:tr>
    </w:tbl>
    <w:bookmarkEnd w:id="13"/>
    <w:bookmarkStart w:id="14" w:name="baseline-characteristics-pas"/>
    <w:p>
      <w:pPr>
        <w:pStyle w:val="Heading1"/>
      </w:pPr>
      <w:r>
        <w:t xml:space="preserve">Baseline characteristics (PAS)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1206"/>
        <w:gridCol w:w="1131"/>
        <w:gridCol w:w="10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number of deliveries at the 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1000-1999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2493 (14.5%)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2367 (14.7%)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2000-3999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6621 (38.5%)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6293 (39.1%)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&gt;= 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8077 (47.0%)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7433 (46.2%)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of origin: continent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 (4.6%)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716 (4.6%)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Americas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 (1.4%)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 (1.4%)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1749 (10.5%)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1636 (10.5%)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13856 (83.4%)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12979 (83.5%)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Oceania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(0.1%)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(0.1%)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 of origin: Norway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4394 (26.4%)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4148 (26.7%)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12221 (73.6%)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11405 (73.3%)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Cohabitant or married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835 (4.9%)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 (4.6%)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16356 (95.1%)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15353 (95.4%)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Higher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5320 (30.9%)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4986 (31.0%)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11871 (69.1%)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11107 (69.0%)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Smoking before/during pregnancy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16584 (96.9%)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15528 (97.0%)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529 (3.1%)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482 (3.0%)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Snuff before/during pregnancy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15049 (88.2%)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14066 (88.0%)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 (11.8%)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1912 (12.0%)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 (pregestational or medically treated GDM)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16034 (94.4%)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15028 (94.4%)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959 (5.6%)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897 (5.6%)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Hypertensive disease (chronic, gestational or preeclampsia)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16097 (94.7%)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15032 (94.4%)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893 (5.3%)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894 (5.6%)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Nulliparous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8074 (47.0%)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7627 (47.4%)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Para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6365 (37.0%)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5894 (36.6%)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Para 2 or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2752 (16.0%)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2572 (16.0%)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Nulliparous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9117 (53.0%)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8466 (52.6%)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8074 (47.0%)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7627 (47.4%)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Previous caesarean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16052 (93.4%)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15050 (93.5%)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1139 (6.6%)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1043 (6.5%)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vaginal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8701 (50.6%)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8072 (50.2%)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8490 (49.4%)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8021 (49.8%)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Spontaneous onset of labour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5673 (33.0%)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5281 (32.8%)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11518 (67.0%)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10812 (67.2%)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Induction of labour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11518 (67.0%)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10812 (67.2%)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5673 (33.0%)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5281 (32.8%)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Robson ten-group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Robson group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4724 (27.5%)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4449 (27.6%)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Robson group 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2627 (15.3%)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2380 (14.8%)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Robson group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5320 (30.9%)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5045 (31.3%)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Robson group 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2158 (12.6%)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1951 (12.1%)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Robson group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 (6.0%)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1031 (6.4%)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Robson group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 (2.0%)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321 (2.0%)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Robson group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 (1.1%)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 (1.1%)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Robson group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 (1.3%)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 (1.4%)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Robson group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586 (3.4%)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519 (3.2%)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Neonate sex (first baby)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8812 (51.3%)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8172 (50.8%)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Girl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8378 (48.7%)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7920 (49.2%)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Twin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16986 (98.8%)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15842 (98.4%)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 (1.2%)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 (1.6%)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 weight category (first baby)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3000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2453 (14.3%)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2237 (13.9%)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3000-3499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5607 (32.6%)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5194 (32.3%)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3500-3999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6136 (35.7%)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5786 (36.0%)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4000-4499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2508 (14.6%)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2399 (14.9%)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&gt;= 4500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484 (2.8%)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477 (3.0%)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53"/>
        <w:gridCol w:w="1051"/>
        <w:gridCol w:w="420"/>
        <w:gridCol w:w="1051"/>
        <w:gridCol w:w="1682"/>
        <w:gridCol w:w="5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[Q1, Q3]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Maternal age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 (4.5)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 [29.0, 35.0]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Maternal age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 (4.5)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 [29.0, 35.0]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Pre-pregnancy weight (kg)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69.6 (14.5)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67.0 [60.0, 76.0]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Pre-pregnancy weight (kg)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69.5 (14.5)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66.0 [60.0, 76.0]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Pre-pregnancy BMI (kg/m2)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 (5.6)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 [21.3, 27.7]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Pre-pregnancy BMI (kg/m2)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 (5.6)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 [21.2, 27.7]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Gestational age at birth (weeks, decimal)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39.9 (1.7)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40.1 [39.1, 41.0]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Gestational age at birth (weeks, decimal)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39.9 (1.7)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40.1 [39.1, 41.0]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 weight (g, first baby)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3519.7 (541.7)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3535.0 [3200.0, 3860.0]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 weight (g, first baby)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3531.6 (537.1)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3550.0 [3210.0, 3875.0]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Neonatal head circumference (cm, first baby)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 (1.6)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 [34.0, 36.0]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Neonatal head circumference (cm, first baby)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 (1.6)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 [34.0, 36.0]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</w:tr>
    </w:tbl>
    <w:bookmarkEnd w:id="14"/>
    <w:bookmarkStart w:id="15" w:name="X6d5691d5477003f1a6417ce9c2e6ae969e12cc8"/>
    <w:p>
      <w:pPr>
        <w:pStyle w:val="Heading1"/>
      </w:pPr>
      <w:r>
        <w:t xml:space="preserve">Primary analysis — intrapartum caesarean section</w:t>
      </w:r>
    </w:p>
    <w:p>
      <w:pPr>
        <w:pStyle w:val="FirstParagraph"/>
      </w:pPr>
      <w:r>
        <w:t xml:space="preserve">Primary: PAS, all caesarean sections from 4 cm in both periods. Sensitivity</w:t>
      </w:r>
      <w:r>
        <w:t xml:space="preserve"> </w:t>
      </w:r>
      <w:r>
        <w:t xml:space="preserve">analyses keep the estimand; supplementary analyses change one attribute (SAP</w:t>
      </w:r>
      <w:r>
        <w:t xml:space="preserve"> </w:t>
      </w:r>
      <w:r>
        <w:t xml:space="preserve">§4.1.4–4.1.5): SUPP1 counts the transition periods as WHO partograph, SUPP2 lets</w:t>
      </w:r>
      <w:r>
        <w:t xml:space="preserve"> </w:t>
      </w:r>
      <w:r>
        <w:t xml:space="preserve">the effect depend on the time since the LCG was taken into use.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1"/>
        <w:gridCol w:w="409"/>
        <w:gridCol w:w="1115"/>
        <w:gridCol w:w="223"/>
        <w:gridCol w:w="1115"/>
        <w:gridCol w:w="780"/>
        <w:gridCol w:w="371"/>
        <w:gridCol w:w="706"/>
        <w:gridCol w:w="669"/>
        <w:gridCol w:w="743"/>
        <w:gridCol w:w="4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(WHO partograph / LCG)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Risk, WHO partograph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Risk, LCG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RD, pp (95%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(95%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(NI; superiority)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 vs 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1309 / 1258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(-0.39, 0.76)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 (0.95, 1.10)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&lt;1e-04; 0.739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Non-inferior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SENS1 UNADJUSTED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 vs 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1309 / 1258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(-0.38, 0.77)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 (0.95, 1.11)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&lt;1e-04; 0.749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Non-inferior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SENS2 FIXED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 vs 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1309 / 1258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 (-0.39, 0.76)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 (0.95, 1.10)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&lt;1e-04; 0.735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Non-inferior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SUPP1 TRANSITION AS WHO PARTOGRAPH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 vs 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1537 / 1258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 (-0.35, 0.76)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 (0.96, 1.10)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SUPP2 EXPOSURE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 step 1 vs 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1309 / 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 (-0.58, 0.74)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(0.93, 1.10)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SUPP2 EXPOSURE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 step 2+ vs 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1309 / 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 (-0.47, 1.25)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 (0.94, 1.17)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secondary-endpoints-dichotomous"/>
    <w:p>
      <w:pPr>
        <w:pStyle w:val="Heading1"/>
      </w:pPr>
      <w:r>
        <w:t xml:space="preserve">Secondary endpoints — dichotomous</w:t>
      </w:r>
    </w:p>
    <w:p>
      <w:pPr>
        <w:pStyle w:val="FirstParagraph"/>
      </w:pPr>
      <w:r>
        <w:t xml:space="preserve">Complete case unless stated; cord pH by multiple imputation. PAS, except</w:t>
      </w:r>
      <w:r>
        <w:t xml:space="preserve"> </w:t>
      </w:r>
      <w:r>
        <w:t xml:space="preserve">episiotomy and OASIS (grade 3a–3c or 4) in the vaginal delivery set (VDS).</w:t>
      </w:r>
      <w:r>
        <w:t xml:space="preserve"> </w:t>
      </w:r>
      <w:r>
        <w:t xml:space="preserve">Amniotomy, oxytocin and epidural are counted whatever the cervical dilatation.</w:t>
      </w:r>
    </w:p>
    <w:p>
      <w:pPr>
        <w:pStyle w:val="BodyText"/>
      </w:pPr>
      <w:r>
        <w:t xml:space="preserve">All models are the binomial GLMM of the Introduction;</w:t>
      </w:r>
      <w:r>
        <w:t xml:space="preserve"> </w:t>
      </w:r>
      <w:r>
        <w:t xml:space="preserve">“MI”</w:t>
      </w:r>
      <w:r>
        <w:t xml:space="preserve"> </w:t>
      </w:r>
      <w:r>
        <w:t xml:space="preserve">marks the</w:t>
      </w:r>
      <w:r>
        <w:t xml:space="preserve"> </w:t>
      </w:r>
      <w:r>
        <w:t xml:space="preserve">multiply-imputed endpoint (cord pH).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8"/>
        <w:gridCol w:w="465"/>
        <w:gridCol w:w="508"/>
        <w:gridCol w:w="254"/>
        <w:gridCol w:w="550"/>
        <w:gridCol w:w="1270"/>
        <w:gridCol w:w="889"/>
        <w:gridCol w:w="423"/>
        <w:gridCol w:w="847"/>
        <w:gridCol w:w="7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(WHO partograph / LCG)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Risk, WHO partograph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Risk, LCG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RD, pp (95%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Spontaneous vaginal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33284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13832 / 12969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 (-0.73, 0.97)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(0.99, 1.01)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Instrumental vaginal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33284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2050 / 1866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 (-1.00, 0.39)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 (0.92, 1.03)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Occurrence of amniotomy during labour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33284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5878 / 5569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 (-0.59, 1.45)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(0.98, 1.04)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of oxytocin during labour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33284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6339 / 5930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 (-1.05, 1.03)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(0.97, 1.03)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of epidural analgesia during labour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33284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9242 / 8783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 (-0.25, 1.89)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 (1.00, 1.04)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Intermittent fetal monitoring (exclusive)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33284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2947 / 2657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-0.63 (-1.43, 0.17)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 (0.92, 1.01)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fetal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33284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14187 / 13389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 (-0.14, 1.48)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(1.00, 1.02)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Occurrence of OASIS (perineal tear grade 3-4)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30356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280 / 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 (-0.45, 0.13)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 (0.77, 1.08)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Episiotomy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30717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3249 / 3060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 (-0.75, 1.06)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(0.96, 1.05)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Postpartum haemorrhage &gt; 1000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33113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1485 / 1398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 (-0.52, 0.69)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(0.94, 1.08)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Apgar score &lt; 7 at 5 minutes (any baby)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33281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269 / 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 (-0.42, 0.10)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 (0.75, 1.07)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NICU admission within 2 hours (any baby)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33284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911 / 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 (-0.31, 0.66)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 (0.94, 1.13)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Arterial umbilical cord pH &lt; 7.00 (any baby)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(m = 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/ 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 (-0.13, 0.19)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 (0.76, 1.49)</w:t>
            </w:r>
          </w:p>
        </w:tc>
      </w:tr>
    </w:tbl>
    <w:bookmarkEnd w:id="16"/>
    <w:bookmarkStart w:id="20" w:name="time-from-4-cm-to-vaginal-delivery"/>
    <w:p>
      <w:pPr>
        <w:pStyle w:val="Heading1"/>
      </w:pPr>
      <w:r>
        <w:t xml:space="preserve">Time from 4 cm to vaginal delivery</w:t>
      </w:r>
    </w:p>
    <w:p>
      <w:pPr>
        <w:pStyle w:val="FirstParagraph"/>
      </w:pPr>
      <w:r>
        <w:t xml:space="preserve">Restricted mean time without vaginal delivery during the first 36 hours</w:t>
      </w:r>
      <w:r>
        <w:t xml:space="preserve"> </w:t>
      </w:r>
      <w:r>
        <w:t xml:space="preserve">after 4 cm: Y = min(T, 36 h) after a vaginal delivery and 36 h after</w:t>
      </w:r>
      <w:r>
        <w:t xml:space="preserve"> </w:t>
      </w:r>
      <w:r>
        <w:t xml:space="preserve">a caesarean section (composite strategy; PAS). Linear mixed model (random cluster, time interval, covariates);</w:t>
      </w:r>
      <w:r>
        <w:t xml:space="preserve"> </w:t>
      </w:r>
      <w:r>
        <w:t xml:space="preserve">the time of reaching 4 cm is multiply imputed from the labour-curve model</w:t>
      </w:r>
      <w:r>
        <w:t xml:space="preserve"> </w:t>
      </w:r>
      <w:r>
        <w:t xml:space="preserve">where no examination found 4 cm, and the estimates are combined by Rubin’s</w:t>
      </w:r>
      <w:r>
        <w:t xml:space="preserve"> </w:t>
      </w:r>
      <w:r>
        <w:t xml:space="preserve">rules. Negative differences favour the LCG.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86"/>
        <w:gridCol w:w="1346"/>
        <w:gridCol w:w="215"/>
        <w:gridCol w:w="808"/>
        <w:gridCol w:w="323"/>
        <w:gridCol w:w="123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mean time without vaginal delivery, first 36 h (difference,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 (-0.11, 0.34)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mean time without vaginal delivery, first 36 h (difference,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SENS1 UNADJUSTED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 (-0.11, 0.34)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mean time without vaginal delivery, first 36 h (difference,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SENS2 FIXED CLUSTER, HC3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 (-0.11, 0.34)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mean time without vaginal delivery, first 24 h (difference,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 (-0.09, 0.25)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mean time without vaginal delivery, first 48 h (difference,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 (-0.14, 0.42)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Probability of vaginal delivery (difference)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(-0.76, 0.39)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of min(T, 36 h) among vaginal deliveries (difference,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 (-0.10, 0.23)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Vaginal delivery within 6 h of 4 cm (difference)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-0.70 (-1.90, 0.50)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Vaginal delivery within 12 h of 4 cm (difference)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 (-1.10, 1.04) pp</w:t>
            </w:r>
          </w:p>
        </w:tc>
      </w:tr>
    </w:tbl>
    <w:p>
      <w:pPr>
        <w:pStyle w:val="BodyText"/>
      </w:pPr>
      <w:r>
        <w:t xml:space="preserve">N = 33284 (vaginal deliveries 30717; time of reaching 4 cm</w:t>
      </w:r>
      <w:r>
        <w:t xml:space="preserve"> </w:t>
      </w:r>
      <w:r>
        <w:t xml:space="preserve">imputed for 17493; m = 30 imputed datasets). SENS2</w:t>
      </w:r>
      <w:r>
        <w:t xml:space="preserve"> </w:t>
      </w:r>
      <w:r>
        <w:t xml:space="preserve">uses heteroscedasticity-consistent (HC3) standard errors; the components and the</w:t>
      </w:r>
      <w:r>
        <w:t xml:space="preserve"> </w:t>
      </w:r>
      <w:r>
        <w:t xml:space="preserve">supportive analyses are presented alongside, not as separate treatment effects.</w:t>
      </w:r>
    </w:p>
    <w:p>
      <w:pPr>
        <w:pStyle w:val="BodyText"/>
      </w:pPr>
      <w:r>
        <w:t xml:space="preserve">Cumulative incidence of vaginal delivery by hours since 4 cm: the empirical</w:t>
      </w:r>
      <w:r>
        <w:t xml:space="preserve"> </w:t>
      </w:r>
      <w:r>
        <w:t xml:space="preserve">proportion delivered vaginally (no censoring), evaluated each minute and</w:t>
      </w:r>
      <w:r>
        <w:t xml:space="preserve"> </w:t>
      </w:r>
      <w:r>
        <w:t xml:space="preserve">averaged over the imputed datasets; descriptive, not adjusted for time interval.</w:t>
      </w:r>
      <w:r>
        <w:t xml:space="preserve"> </w:t>
      </w:r>
      <w:r>
        <w:t xml:space="preserve">The plateau is the proportion delivered vaginally: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tatistical_analysis_files/figure-docx/cif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Observed times (descriptive), women with an examination at 4 cm who</w:t>
      </w:r>
      <w:r>
        <w:t xml:space="preserve"> </w:t>
      </w:r>
      <w:r>
        <w:t xml:space="preserve">delivered vaginally — no imputation: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[Q1, Q3],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90th pct,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6.48 [3.20, 11.27]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6.58 [3.28, 11.22]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16.20</w:t>
            </w:r>
          </w:p>
        </w:tc>
      </w:tr>
    </w:tbl>
    <w:bookmarkEnd w:id="20"/>
    <w:bookmarkStart w:id="21" w:name="X3d98fdb2d9de190002f3746443b0b3921676dbf"/>
    <w:p>
      <w:pPr>
        <w:pStyle w:val="Heading1"/>
      </w:pPr>
      <w:r>
        <w:t xml:space="preserve">Supplementary analyses of secondary endpoints</w:t>
      </w:r>
    </w:p>
    <w:p>
      <w:pPr>
        <w:pStyle w:val="FirstParagraph"/>
      </w:pPr>
      <w:r>
        <w:t xml:space="preserve">Composite strategy for the vaginal-birth endpoints (episiotomy, OASIS):</w:t>
      </w:r>
      <w:r>
        <w:t xml:space="preserve"> </w:t>
      </w:r>
      <w:r>
        <w:t xml:space="preserve">caesarean section counted as no event, PAS.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6"/>
        <w:gridCol w:w="685"/>
        <w:gridCol w:w="374"/>
        <w:gridCol w:w="1309"/>
        <w:gridCol w:w="623"/>
        <w:gridCol w:w="1247"/>
        <w:gridCol w:w="11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Risk, WHO partograph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Risk, LCG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RD, pp (95% CI)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RR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Episiotomy, CS counted as no (composite)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 (-0.73, 0.96)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(0.96, 1.05)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OASIS, CS counted as no (composite)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 (-0.42, 0.12)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 (0.76, 1.08)</w:t>
            </w:r>
          </w:p>
        </w:tc>
      </w:tr>
    </w:tbl>
    <w:bookmarkEnd w:id="21"/>
    <w:bookmarkStart w:id="22" w:name="subgroup-analysis-robson-group"/>
    <w:p>
      <w:pPr>
        <w:pStyle w:val="Heading1"/>
      </w:pPr>
      <w:r>
        <w:t xml:space="preserve">Subgroup analysis — Robson group</w:t>
      </w:r>
    </w:p>
    <w:p>
      <w:pPr>
        <w:pStyle w:val="FirstParagraph"/>
      </w:pPr>
      <w:r>
        <w:t xml:space="preserve">Exploratory (SAP §8.2): the primary model with a treatment × Robson group</w:t>
      </w:r>
      <w:r>
        <w:t xml:space="preserve"> </w:t>
      </w:r>
      <w:r>
        <w:t xml:space="preserve">interaction, risk difference within each group by G-computation; groups with</w:t>
      </w:r>
      <w:r>
        <w:t xml:space="preserve"> </w:t>
      </w:r>
      <w:r>
        <w:t xml:space="preserve">fewer than 50 intrapartum caesarean sections (pooled) are</w:t>
      </w:r>
      <w:r>
        <w:t xml:space="preserve"> </w:t>
      </w:r>
      <w:r>
        <w:t xml:space="preserve">combined. Likelihood-ratio test of the interaction:</w:t>
      </w:r>
      <w:r>
        <w:t xml:space="preserve"> </w:t>
      </w:r>
      <w:r>
        <w:t xml:space="preserve">p = 0.458. Not adjusted for multiplicity; no</w:t>
      </w:r>
      <w:r>
        <w:t xml:space="preserve"> </w:t>
      </w:r>
      <w:r>
        <w:t xml:space="preserve">non-inferiority conclusion within subgroups.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98"/>
        <w:gridCol w:w="435"/>
        <w:gridCol w:w="2179"/>
        <w:gridCol w:w="1525"/>
        <w:gridCol w:w="726"/>
        <w:gridCol w:w="145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Robson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(WHO partograph / LCG)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Risk, WHO partograph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Risk, LCG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RD, pp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Robson group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359 / 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 (-0.45, 1.77)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Robson group 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 / 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(-1.43, 1.53)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Robson group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 / 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 (-0.92, 1.12)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Robson group 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 / 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 (-2.09, 1.19)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Robson group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 /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 (-3.23, 1.51)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Robson group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/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4.15 (0.11, 8.20)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Robson group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/ 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(-2.14, 3.63)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small 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-1.32 (-4.76, 2.12)</w:t>
            </w:r>
          </w:p>
        </w:tc>
      </w:tr>
    </w:tbl>
    <w:p>
      <w:pPr>
        <w:pStyle w:val="BodyText"/>
      </w:pPr>
      <w:r>
        <w:t xml:space="preserve">Combined: Robson group 7; Robson group 8.</w:t>
      </w:r>
    </w:p>
    <w:bookmarkEnd w:id="22"/>
    <w:bookmarkStart w:id="28" w:name="descriptive-endpoints-pas"/>
    <w:p>
      <w:pPr>
        <w:pStyle w:val="Heading1"/>
      </w:pPr>
      <w:r>
        <w:t xml:space="preserve">Descriptive endpoints (PAS)</w:t>
      </w:r>
    </w:p>
    <w:p>
      <w:pPr>
        <w:pStyle w:val="FirstParagraph"/>
      </w:pPr>
      <w:r>
        <w:t xml:space="preserve">Presented descriptively; no models are fitted. Each endpoint among the women it</w:t>
      </w:r>
      <w:r>
        <w:t xml:space="preserve"> </w:t>
      </w:r>
      <w:r>
        <w:t xml:space="preserve">applies to: the caesarean sections for the CS characteristics (the second twin’s</w:t>
      </w:r>
      <w:r>
        <w:t xml:space="preserve"> </w:t>
      </w:r>
      <w:r>
        <w:t xml:space="preserve">for a CS of the second twin only); the women with continuous monitoring for its</w:t>
      </w:r>
      <w:r>
        <w:t xml:space="preserve"> </w:t>
      </w:r>
      <w:r>
        <w:t xml:space="preserve">type. Shared decision making for operative delivery is recorded on the LCG form</w:t>
      </w:r>
      <w:r>
        <w:t xml:space="preserve"> </w:t>
      </w:r>
      <w:r>
        <w:t xml:space="preserve">only and is shown for the LCG period; the follow-up items among the women whose</w:t>
      </w:r>
      <w:r>
        <w:t xml:space="preserve"> </w:t>
      </w:r>
      <w:r>
        <w:t xml:space="preserve">gate question was yes.</w:t>
      </w:r>
    </w:p>
    <w:bookmarkStart w:id="23" w:name="cs-characteristics"/>
    <w:p>
      <w:pPr>
        <w:pStyle w:val="Heading2"/>
      </w:pPr>
      <w:r>
        <w:t xml:space="preserve">Cs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80"/>
        <w:gridCol w:w="2000"/>
        <w:gridCol w:w="1200"/>
        <w:gridCol w:w="10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Cervical dilation at caesarean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(0.2%)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 (11.4%)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 (12.5%)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 (13.3%)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 (12.2%)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 (11.2%)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 (11.8%)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 (8.9%)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 (7.3%)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 (11.8%)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 (11.1%)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9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 (11.8%)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 (13.7%)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413 (31.6%)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392 (31.2%)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of presenting part at caesarean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the ischial spines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1066 (83.7%)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1042 (85.8%)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 the ischial spines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 (11.3%)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 (9.8%)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Below the ischial spines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(5.0%)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(4.4%)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Fetal presentation at caesarean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(3.4%)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(4.3%)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(0.1%)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(0.5%)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(0.2%)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Occiput (vertex)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1209 (94.7%)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1138 (93.1%)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Sinciput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(1.8%)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(1.9%)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Fetal position at caesarean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Occiput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1165 (93.2%)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1130 (94.2%)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Occiput posterior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(6.4%)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(5.4%)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Occiput transverse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(0.4%)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(0.4%)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reason for caesarean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Breech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(2.1%)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(1.9%)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Failed forceps or vacuum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(3.1%)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(3.0%)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Failed induction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(6.1%)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 (6.7%)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Fetal distress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628 (48.2%)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601 (48.0%)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Maternal 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(2.2%)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(2.8%)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(1.5%)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(1.0%)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Prolonged labour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 (36.8%)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458 (36.6%)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bookmarkEnd w:id="23"/>
    <w:bookmarkStart w:id="24" w:name="other"/>
    <w:p>
      <w:pPr>
        <w:pStyle w:val="Heading2"/>
      </w:pPr>
      <w:r>
        <w:t xml:space="preserve">Other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90"/>
        <w:gridCol w:w="2166"/>
        <w:gridCol w:w="1015"/>
        <w:gridCol w:w="9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of continuous fetal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external CTG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3470 (24.5%)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3188 (23.8%)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STAN or continuous internal CTG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10717 (75.5%)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10201 (76.2%)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Postpartum haemorrhage category (ml)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&lt;=500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12460 (72.8%)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11752 (73.4%)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&gt;500-1000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3159 (18.5%)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2859 (17.9%)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&gt;1000-1500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 (5.3%)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 (5.1%)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&gt;1500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576 (3.4%)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579 (3.6%)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Prolonged first stage of labour (guideline definition)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11210 (87.9%)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10556 (87.9%)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1546 (12.1%)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1451 (12.1%)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Prolonged second stage of labour (guideline definition)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11135 (87.8%)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10424 (88.2%)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1551 (12.2%)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1391 (11.8%)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4278</w:t>
            </w:r>
          </w:p>
        </w:tc>
      </w:tr>
    </w:tbl>
    <w:bookmarkEnd w:id="24"/>
    <w:bookmarkStart w:id="25" w:name="shared-decision-making"/>
    <w:p>
      <w:pPr>
        <w:pStyle w:val="Heading2"/>
      </w:pPr>
      <w:r>
        <w:t xml:space="preserve">Shared Decision Making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91"/>
        <w:gridCol w:w="1056"/>
        <w:gridCol w:w="13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Operative delivery: was the intervention performed?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(0.3%)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1064 (99.7%)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Operative delivery: was the woman informed?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(0.8%)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910 (99.2%)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Operative delivery: did she agree?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(0.6%)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(2.1%)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 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 (8.6%)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785 (88.7%)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</w:t>
            </w:r>
          </w:p>
        </w:tc>
      </w:tr>
    </w:tbl>
    <w:bookmarkEnd w:id="25"/>
    <w:bookmarkStart w:id="26" w:name="numeric-endpoints-and-auxiliaries"/>
    <w:p>
      <w:pPr>
        <w:pStyle w:val="Heading2"/>
      </w:pPr>
      <w:r>
        <w:t xml:space="preserve">Numeric endpoints and auxiliaries</w:t>
      </w:r>
    </w:p>
    <w:p>
      <w:pPr>
        <w:pStyle w:val="FirstParagraph"/>
      </w:pPr>
      <w:r>
        <w:t xml:space="preserve">Cord gases, Apgar scores and estimated blood loss (primary analysis set).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4"/>
        <w:gridCol w:w="1120"/>
        <w:gridCol w:w="448"/>
        <w:gridCol w:w="597"/>
        <w:gridCol w:w="1195"/>
        <w:gridCol w:w="17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(SD)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[Q1, Q3]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Apgar score at 1 minute, first baby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8.68 (1.32)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 [9.00, 9.00]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8.69 (1.32)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9.00 [9.00, 9.00]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Apgar score at 5 minutes, first baby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9.61 (0.86)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 [9.00, 10.00]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9.61 (0.85)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 [9.00, 10.00]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Arterial base excess, first baby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-3.77 (3.27)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-3.60 [-5.80, -1.70]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-3.78 (3.27)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-3.60 [-5.80, -1.68]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Venous base excess, first baby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-4.21 (2.95)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-4.00 [-6.00, -2.48]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-4.29 (2.92)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-4.11 [-6.00, -2.50]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Arterial cord pH, first baby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7.23 (0.08)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7.24 [7.19, 7.29]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7.23 (0.08)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7.24 [7.19, 7.29]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Venous cord pH, first baby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7.33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7.34 [7.30, 7.38]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7.33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7.34 [7.30, 7.38]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Postpartum haemorrhage category (ml)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501.31 (422.78)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400.00 [259.75, 600.00]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501.66 (431.78)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400.00 [250.00, 550.00]</w:t>
            </w:r>
          </w:p>
        </w:tc>
      </w:tr>
    </w:tbl>
    <w:bookmarkEnd w:id="26"/>
    <w:bookmarkStart w:id="27" w:name="cervical-examinations"/>
    <w:p>
      <w:pPr>
        <w:pStyle w:val="Heading2"/>
      </w:pPr>
      <w:r>
        <w:t xml:space="preserve">Cervical examinations</w:t>
      </w:r>
    </w:p>
    <w:p>
      <w:pPr>
        <w:pStyle w:val="FirstParagraph"/>
      </w:pPr>
      <w:r>
        <w:t xml:space="preserve">Hours from each examination to delivery by the dilatation found (examinations</w:t>
      </w:r>
      <w:r>
        <w:t xml:space="preserve"> </w:t>
      </w:r>
      <w:r>
        <w:t xml:space="preserve">with 0–72 h to delivery).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4"/>
        <w:gridCol w:w="1673"/>
        <w:gridCol w:w="1450"/>
        <w:gridCol w:w="669"/>
        <w:gridCol w:w="2342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Dilatation (cm)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Examinations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[Q1, Q3], 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25.65 [14.33, 38.28]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25.53 [14.48, 38.20]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13.07 [7.13, 21.48]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12.88 [6.92, 21.39]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9.18 [4.90, 15.50]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9.54 [5.01, 15.73]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6.47 [3.20, 11.32]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6.58 [3.30, 11.25]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5.20 [2.37, 9.33]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5.07 [2.27, 9.12]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4.48 [1.93, 8.18]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4.62 [1.98, 8.09]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 [1.58, 7.01]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3.83 [1.45, 6.78]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3.09 [1.11, 5.62]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 [1.12, 5.62]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2.52 [1.00, 4.57]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 [0.97, 4.58]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partograph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 [0.23, 2.18]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 [0.23, 2.15]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NORWELCG — Statistical Analysis Report (MOCK-UP)</dc:title>
  <dc:creator/>
  <cp:keywords/>
  <dcterms:created xsi:type="dcterms:W3CDTF">2026-10-14T09:06:52Z</dcterms:created>
  <dcterms:modified xsi:type="dcterms:W3CDTF">2026-10-14T09:06:52Z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2026-10-13</vt:lpwstr>
  </property>
  <property fmtid="{D5CDD505-2E9C-101B-9397-08002B2CF9AE}" pid="4" name="engines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WHO Labour Care Guide vs WHO partograph — stepped-wedge cluster-randomised trial</vt:lpwstr>
  </property>
  <property fmtid="{D5CDD505-2E9C-101B-9397-08002B2CF9AE}" pid="11" name="toc-title">
    <vt:lpwstr>Table of contents</vt:lpwstr>
  </property>
</Properties>
</file>