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Objective, Proposed Model and Requirements</w:t>
      </w:r>
    </w:p>
    <w:p>
      <w:pPr>
        <w:pStyle w:val="Subtitle"/>
      </w:pPr>
      <w:r>
        <w:t xml:space="preserve">Trustworthy Explanations for Random-Forest Stock Return Forecasting — 474 S&amp;P 500 stocks, 2013–2022</w:t>
      </w:r>
    </w:p>
    <w:bookmarkStart w:id="23" w:name="objective"/>
    <w:p>
      <w:pPr>
        <w:pStyle w:val="Heading1"/>
      </w:pPr>
      <w:r>
        <w:t xml:space="preserve">1. Objective</w:t>
      </w:r>
    </w:p>
    <w:bookmarkStart w:id="20" w:name="objective-statement"/>
    <w:p>
      <w:pPr>
        <w:pStyle w:val="Heading2"/>
      </w:pPr>
      <w:r>
        <w:t xml:space="preserve">1.1 Objective statement</w:t>
      </w:r>
    </w:p>
    <w:p>
      <w:pPr>
        <w:pStyle w:val="BlockText"/>
      </w:pPr>
      <w:r>
        <w:t xml:space="preserve">To build a leakage-free Random Forest that forecasts the</w:t>
      </w:r>
      <w:r>
        <w:t xml:space="preserve"> </w:t>
      </w:r>
      <w:r>
        <w:rPr>
          <w:bCs/>
          <w:b/>
        </w:rPr>
        <w:t xml:space="preserve">next-day return</w:t>
      </w:r>
      <w:r>
        <w:t xml:space="preserve"> </w:t>
      </w:r>
      <w:r>
        <w:t xml:space="preserve">of 474 S&amp;P 500</w:t>
      </w:r>
      <w:r>
        <w:t xml:space="preserve"> </w:t>
      </w:r>
      <w:r>
        <w:t xml:space="preserve">stocks, to measure its skill in return space against naive and learned baselines with formal</w:t>
      </w:r>
      <w:r>
        <w:t xml:space="preserve"> </w:t>
      </w:r>
      <w:r>
        <w:t xml:space="preserve">significance tests, to explain every forecast with SHAP and LIME, and to determine whether</w:t>
      </w:r>
      <w:r>
        <w:t xml:space="preserve"> </w:t>
      </w:r>
      <w:r>
        <w:t xml:space="preserve">those explanations are</w:t>
      </w:r>
      <w:r>
        <w:t xml:space="preserve"> </w:t>
      </w:r>
      <w:r>
        <w:rPr>
          <w:bCs/>
          <w:b/>
        </w:rPr>
        <w:t xml:space="preserve">trustworthy</w:t>
      </w:r>
      <w:r>
        <w:t xml:space="preserve"> </w:t>
      </w:r>
      <w:r>
        <w:t xml:space="preserve">— that is, faithful to the model, stable across random</w:t>
      </w:r>
      <w:r>
        <w:t xml:space="preserve"> </w:t>
      </w:r>
      <w:r>
        <w:t xml:space="preserve">seeds and retraining, consistent with each other and with other importance measures, different</w:t>
      </w:r>
      <w:r>
        <w:t xml:space="preserve"> </w:t>
      </w:r>
      <w:r>
        <w:t xml:space="preserve">from the explanations of a model with no real signal, and stable across market regimes and</w:t>
      </w:r>
      <w:r>
        <w:t xml:space="preserve"> </w:t>
      </w:r>
      <w:r>
        <w:t xml:space="preserve">sectors.</w:t>
      </w:r>
    </w:p>
    <w:bookmarkEnd w:id="20"/>
    <w:bookmarkStart w:id="21" w:name="specific-objectives"/>
    <w:p>
      <w:pPr>
        <w:pStyle w:val="Heading2"/>
      </w:pPr>
      <w:r>
        <w:t xml:space="preserve">1.2 Specific objectives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786"/>
        <w:gridCol w:w="2950"/>
        <w:gridCol w:w="2950"/>
        <w:gridCol w:w="2950"/>
      </w:tblGrid>
      <w:tr>
        <w:tc>
          <w:tcPr>
            <w:tcW w:type="dxa" w:w="78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#</w:t>
            </w:r>
          </w:p>
        </w:tc>
        <w:tc>
          <w:tcPr>
            <w:tcW w:type="dxa" w:w="295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Objective</w:t>
            </w:r>
          </w:p>
        </w:tc>
        <w:tc>
          <w:tcPr>
            <w:tcW w:type="dxa" w:w="295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How it is met</w:t>
            </w:r>
          </w:p>
        </w:tc>
        <w:tc>
          <w:tcPr>
            <w:tcW w:type="dxa" w:w="295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Deliverable</w:t>
            </w:r>
          </w:p>
        </w:tc>
      </w:tr>
      <w:tr>
        <w:tc>
          <w:tcPr>
            <w:tcW w:type="dxa" w:w="78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O1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Build a leakage-free, walk-forward next-day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return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forecaster for 474 stocks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32 features computed only from data up to day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t</w:t>
            </w:r>
            <w:r>
              <w:rPr>
                <w:rFonts w:ascii="Calibri" w:hAnsi="Calibri"/>
                <w:sz w:val="18"/>
              </w:rPr>
              <w:t xml:space="preserve">’s close; retrained each January on all prior data; the 2019–2022 test window is never used for any design choice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src/features.py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src/train.py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results/predictions.pkl</w:t>
            </w:r>
          </w:p>
        </w:tc>
      </w:tr>
      <w:tr>
        <w:tc>
          <w:tcPr>
            <w:tcW w:type="dxa" w:w="78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O2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Measure skill in the units the model predicts in, not in price units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Out-of-sample R² against a zero-return and a drift forecast, IC, Rank IC, ICIR, direction accuracy, decile portfolio net of cost; Diebold–Mariano and binomial tests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src/evaluate.py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results/metrics.json</w:t>
            </w:r>
          </w:p>
        </w:tc>
      </w:tr>
      <w:tr>
        <w:tc>
          <w:tcPr>
            <w:tcW w:type="dxa" w:w="78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O3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Demonstrate why price-level accuracy misleads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same forecasts scored both ways, plus a Random Forest deliberately trained on raw price levels as a negative control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§7.1.2 of the report,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price_vs_return.png</w:t>
            </w:r>
          </w:p>
        </w:tc>
      </w:tr>
      <w:tr>
        <w:tc>
          <w:tcPr>
            <w:tcW w:type="dxa" w:w="78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O4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Explain every forecast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TreeSHAP on 38,183 stock-days; LIME on 804 stock-days × 5 seeds; permutation importance and MDI as comparison explainers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src/explain.py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src/lime_explain.py</w:t>
            </w:r>
          </w:p>
        </w:tc>
      </w:tr>
      <w:tr>
        <w:tc>
          <w:tcPr>
            <w:tcW w:type="dxa" w:w="78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O5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Audit the explanations for reliability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Faithfulness (deletion curves, AOPC, fidelity), stability (5 seeds, yearly retrains), explainer agreement (Kendall τ), sanity (two shuffled-label null models)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results/xai.json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results/lime.json</w:t>
            </w:r>
          </w:p>
        </w:tc>
      </w:tr>
      <w:tr>
        <w:tc>
          <w:tcPr>
            <w:tcW w:type="dxa" w:w="78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O6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Test explanation drift formally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Permutation tests (1,000 permutations) on feature-family SHAP shares across 4 market regimes and 11 GICS sectors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results/xai.json</w:t>
            </w:r>
            <w:r>
              <w:rPr>
                <w:rFonts w:ascii="Calibri" w:hAnsi="Calibri"/>
                <w:sz w:val="18"/>
              </w:rPr>
              <w:t xml:space="preserve">, §7.4</w:t>
            </w:r>
          </w:p>
        </w:tc>
      </w:tr>
      <w:tr>
        <w:tc>
          <w:tcPr>
            <w:tcW w:type="dxa" w:w="78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O7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Produce a submittable write-up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Report, literature review of 5 recent papers with gaps, 15 figures, slide deck, public repository</w:t>
            </w:r>
          </w:p>
        </w:tc>
        <w:tc>
          <w:tcPr>
            <w:tcW w:type="dxa" w:w="295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REPORT.docx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LIT_REVIEW_HANDOUT.docx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LIT_REVIEW_SLIDES.pptx</w:t>
            </w:r>
          </w:p>
        </w:tc>
      </w:tr>
    </w:tbl>
    <w:bookmarkEnd w:id="21"/>
    <w:bookmarkStart w:id="22" w:name="why-returns-and-not-raw-prices"/>
    <w:p>
      <w:pPr>
        <w:pStyle w:val="Heading2"/>
      </w:pPr>
      <w:r>
        <w:t xml:space="preserve">1.3 Why returns and not raw prices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940"/>
        <w:gridCol w:w="4015"/>
        <w:gridCol w:w="3681"/>
      </w:tblGrid>
      <w:tr>
        <w:tc>
          <w:tcPr>
            <w:tcW w:type="dxa" w:w="1941"/>
            <w:shd w:val="clear" w:color="auto" w:fill="DCE6F1"/>
          </w:tcPr>
          <w:p>
            <w:pPr>
              <w:spacing w:after="40"/>
            </w:pPr>
          </w:p>
        </w:tc>
        <w:tc>
          <w:tcPr>
            <w:tcW w:type="dxa" w:w="4016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Price-level target</w:t>
            </w:r>
          </w:p>
        </w:tc>
        <w:tc>
          <w:tcPr>
            <w:tcW w:type="dxa" w:w="368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Return target (used here)</w:t>
            </w:r>
          </w:p>
        </w:tc>
      </w:tr>
      <w:tr>
        <w:tc>
          <w:tcPr>
            <w:tcW w:type="dxa" w:w="19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What is predicted</w:t>
            </w:r>
          </w:p>
        </w:tc>
        <w:tc>
          <w:tcPr>
            <w:tcW w:type="dxa" w:w="401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P</w:t>
            </w:r>
            <w:r>
              <w:rPr>
                <w:rFonts w:ascii="Calibri" w:hAnsi="Calibri"/>
                <w:sz w:val="18"/>
              </w:rPr>
              <w:t xml:space="preserve">ₜ₊₁ in dollars</w:t>
            </w:r>
          </w:p>
        </w:tc>
        <w:tc>
          <w:tcPr>
            <w:tcW w:type="dxa" w:w="3681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r</w:t>
            </w:r>
            <w:r>
              <w:rPr>
                <w:rFonts w:ascii="Calibri" w:hAnsi="Calibri"/>
                <w:sz w:val="18"/>
              </w:rPr>
              <w:t xml:space="preserve">ₜ₊₁ = ln(</w:t>
            </w:r>
            <w:r>
              <w:rPr>
                <w:iCs/>
                <w:rFonts w:ascii="Calibri" w:hAnsi="Calibri"/>
                <w:i/>
                <w:sz w:val="18"/>
              </w:rPr>
              <w:t xml:space="preserve">P</w:t>
            </w:r>
            <w:r>
              <w:rPr>
                <w:rFonts w:ascii="Calibri" w:hAnsi="Calibri"/>
                <w:sz w:val="18"/>
              </w:rPr>
              <w:t xml:space="preserve">ₜ₊₁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P</w:t>
            </w:r>
            <w:r>
              <w:rPr>
                <w:rFonts w:ascii="Calibri" w:hAnsi="Calibri"/>
                <w:sz w:val="18"/>
              </w:rPr>
              <w:t xml:space="preserve">ₜ)</w:t>
            </w:r>
          </w:p>
        </w:tc>
      </w:tr>
      <w:tr>
        <w:tc>
          <w:tcPr>
            <w:tcW w:type="dxa" w:w="19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Comparable across stocks?</w:t>
            </w:r>
          </w:p>
        </w:tc>
        <w:tc>
          <w:tcPr>
            <w:tcW w:type="dxa" w:w="401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No — a $10 stock and a $3,000 stock are on different scales</w:t>
            </w:r>
          </w:p>
        </w:tc>
        <w:tc>
          <w:tcPr>
            <w:tcW w:type="dxa" w:w="368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Yes — returns are scale-free</w:t>
            </w:r>
          </w:p>
        </w:tc>
      </w:tr>
      <w:tr>
        <w:tc>
          <w:tcPr>
            <w:tcW w:type="dxa" w:w="19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Can a tree extrapolate?</w:t>
            </w:r>
          </w:p>
        </w:tc>
        <w:tc>
          <w:tcPr>
            <w:tcW w:type="dxa" w:w="401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No.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 tree can only output values seen in training, so it fails whenever a stock makes a new high</w:t>
            </w:r>
          </w:p>
        </w:tc>
        <w:tc>
          <w:tcPr>
            <w:tcW w:type="dxa" w:w="368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Not required — returns stay in the same range forever</w:t>
            </w:r>
          </w:p>
        </w:tc>
      </w:tr>
      <w:tr>
        <w:tc>
          <w:tcPr>
            <w:tcW w:type="dxa" w:w="19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Does the score mean anything?</w:t>
            </w:r>
          </w:p>
        </w:tc>
        <w:tc>
          <w:tcPr>
            <w:tcW w:type="dxa" w:w="401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R² ≈ 0.999 for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any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method, because tomorrow’s price ≈ today’s</w:t>
            </w:r>
          </w:p>
        </w:tc>
        <w:tc>
          <w:tcPr>
            <w:tcW w:type="dxa" w:w="368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R² ≈ 0 unless the model genuinely predicts the change</w:t>
            </w:r>
          </w:p>
        </w:tc>
      </w:tr>
      <w:tr>
        <w:tc>
          <w:tcPr>
            <w:tcW w:type="dxa" w:w="19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Measured here</w:t>
            </w:r>
          </w:p>
        </w:tc>
        <w:tc>
          <w:tcPr>
            <w:tcW w:type="dxa" w:w="401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RF on price levels: R² 0.993 but RMSE $21.56,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significantly worse than naive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(p &lt; 0.001)</w:t>
            </w:r>
          </w:p>
        </w:tc>
        <w:tc>
          <w:tcPr>
            <w:tcW w:type="dxa" w:w="368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RF on returns: R² +0.00013, RMSE $6.25, tied with naive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proposed-model"/>
    <w:p>
      <w:pPr>
        <w:pStyle w:val="Heading1"/>
      </w:pPr>
      <w:r>
        <w:t xml:space="preserve">2. Proposed model</w:t>
      </w:r>
    </w:p>
    <w:bookmarkStart w:id="24" w:name="system-architecture"/>
    <w:p>
      <w:pPr>
        <w:pStyle w:val="Heading2"/>
      </w:pPr>
      <w:r>
        <w:t xml:space="preserve">2.1 System architecture</w:t>
      </w:r>
    </w:p>
    <w:p>
      <w:pPr>
        <w:pStyle w:val="SourceCode"/>
      </w:pPr>
      <w:r>
        <w:rPr>
          <w:rStyle w:val="VerbatimChar"/>
        </w:rPr>
        <w:t xml:space="preserve">         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STAGE 1 — DATA                                            │</w:t>
      </w:r>
      <w:r>
        <w:br/>
      </w:r>
      <w:r>
        <w:rPr>
          <w:rStyle w:val="VerbatimChar"/>
        </w:rPr>
        <w:t xml:space="preserve">          │  474 S&amp;P 500 stocks · daily OHLCV · 14 May 2012–25 May 2022│</w:t>
      </w:r>
      <w:r>
        <w:br/>
      </w:r>
      <w:r>
        <w:rPr>
          <w:rStyle w:val="VerbatimChar"/>
        </w:rPr>
        <w:t xml:space="preserve">          │  cleaning: adjustment-convention repair, pre-listing NaNs, │</w:t>
      </w:r>
      <w:r>
        <w:br/>
      </w:r>
      <w:r>
        <w:rPr>
          <w:rStyle w:val="VerbatimChar"/>
        </w:rPr>
        <w:t xml:space="preserve">          │  GOOG share-class break            →  data/panel_clean.pkl 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STAGE 2 — FEATURE ENGINEERING                             │</w:t>
      </w:r>
      <w:r>
        <w:br/>
      </w:r>
      <w:r>
        <w:rPr>
          <w:rStyle w:val="VerbatimChar"/>
        </w:rPr>
        <w:t xml:space="preserve">          │  32 features in 7 families, each using only data up to     │</w:t>
      </w:r>
      <w:r>
        <w:br/>
      </w:r>
      <w:r>
        <w:rPr>
          <w:rStyle w:val="VerbatimChar"/>
        </w:rPr>
        <w:t xml:space="preserve">          │  day t's close:  past returns · trend · oscillators ·      │</w:t>
      </w:r>
      <w:r>
        <w:br/>
      </w:r>
      <w:r>
        <w:rPr>
          <w:rStyle w:val="VerbatimChar"/>
        </w:rPr>
        <w:t xml:space="preserve">          │  volatility · volume · candle · market &amp; sector            │</w:t>
      </w:r>
      <w:r>
        <w:br/>
      </w:r>
      <w:r>
        <w:rPr>
          <w:rStyle w:val="VerbatimChar"/>
        </w:rPr>
        <w:t xml:space="preserve">          │  target  r(t+1) = ln(P(t+1)/P(t))   →  data/features.pkl   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STAGE 3 — MODEL (walk-forward, retrained every January)   │</w:t>
      </w:r>
      <w:r>
        <w:br/>
      </w:r>
      <w:r>
        <w:rPr>
          <w:rStyle w:val="VerbatimChar"/>
        </w:rPr>
        <w:t xml:space="preserve">          │                                                            │</w:t>
      </w:r>
      <w:r>
        <w:br/>
      </w:r>
      <w:r>
        <w:rPr>
          <w:rStyle w:val="VerbatimChar"/>
        </w:rPr>
        <w:t xml:space="preserve">          │   x(i,t) ∈ R³² ──►  Random Forest regressor  ──►  r̂(i,t+1) │</w:t>
      </w:r>
      <w:r>
        <w:br/>
      </w:r>
      <w:r>
        <w:rPr>
          <w:rStyle w:val="VerbatimChar"/>
        </w:rPr>
        <w:t xml:space="preserve">          │                     300 trees · min_samples_leaf 5000      │</w:t>
      </w:r>
      <w:r>
        <w:br/>
      </w:r>
      <w:r>
        <w:rPr>
          <w:rStyle w:val="VerbatimChar"/>
        </w:rPr>
        <w:t xml:space="preserve">          │                     max_features 0.3 · max_samples 0.25    │</w:t>
      </w:r>
      <w:r>
        <w:br/>
      </w:r>
      <w:r>
        <w:rPr>
          <w:rStyle w:val="VerbatimChar"/>
        </w:rPr>
        <w:t xml:space="preserve">          │                                                            │</w:t>
      </w:r>
      <w:r>
        <w:br/>
      </w:r>
      <w:r>
        <w:rPr>
          <w:rStyle w:val="VerbatimChar"/>
        </w:rPr>
        <w:t xml:space="preserve">          │   price reconstruction:  P̂(i,t+1) = P(i,t) · exp(r̂(i,t+1)) │</w:t>
      </w:r>
      <w:r>
        <w:br/>
      </w:r>
      <w:r>
        <w:rPr>
          <w:rStyle w:val="VerbatimChar"/>
        </w:rPr>
        <w:t xml:space="preserve">          │                                                            │</w:t>
      </w:r>
      <w:r>
        <w:br/>
      </w:r>
      <w:r>
        <w:rPr>
          <w:rStyle w:val="VerbatimChar"/>
        </w:rPr>
        <w:t xml:space="preserve">          │   baselines trained alongside: naive · drift · Ridge ·     │</w:t>
      </w:r>
      <w:r>
        <w:br/>
      </w:r>
      <w:r>
        <w:rPr>
          <w:rStyle w:val="VerbatimChar"/>
        </w:rPr>
        <w:t xml:space="preserve">          │   RF-on-price-levels (negative control) · RF classifier    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▼         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4a — EVALUATION       │              │  STAGE 4b — EXPLANATION          │</w:t>
      </w:r>
      <w:r>
        <w:br/>
      </w:r>
      <w:r>
        <w:rPr>
          <w:rStyle w:val="VerbatimChar"/>
        </w:rPr>
        <w:t xml:space="preserve">│  return space (primary):     │              │  TreeSHAP  φ(i,t) ∈ R³²          │</w:t>
      </w:r>
      <w:r>
        <w:br/>
      </w:r>
      <w:r>
        <w:rPr>
          <w:rStyle w:val="VerbatimChar"/>
        </w:rPr>
        <w:t xml:space="preserve">│    R² vs zero / vs drift,    │              │    38,183 stock-days, exact      │</w:t>
      </w:r>
      <w:r>
        <w:br/>
      </w:r>
      <w:r>
        <w:rPr>
          <w:rStyle w:val="VerbatimChar"/>
        </w:rPr>
        <w:t xml:space="preserve">│    IC, Rank IC, ICIR,        │              │  LIME  λ(i,t) ∈ R³²              │</w:t>
      </w:r>
      <w:r>
        <w:br/>
      </w:r>
      <w:r>
        <w:rPr>
          <w:rStyle w:val="VerbatimChar"/>
        </w:rPr>
        <w:t xml:space="preserve">│    direction, deciles, cost  │              │    804 stock-days × 5 seeds      │</w:t>
      </w:r>
      <w:r>
        <w:br/>
      </w:r>
      <w:r>
        <w:rPr>
          <w:rStyle w:val="VerbatimChar"/>
        </w:rPr>
        <w:t xml:space="preserve">│  price space (secondary):    │              │  permutation importance, MDI     │</w:t>
      </w:r>
      <w:r>
        <w:br/>
      </w:r>
      <w:r>
        <w:rPr>
          <w:rStyle w:val="VerbatimChar"/>
        </w:rPr>
        <w:t xml:space="preserve">│    MAE, RMSE, MAPE, R²       │              │                                  │</w:t>
      </w:r>
      <w:r>
        <w:br/>
      </w:r>
      <w:r>
        <w:rPr>
          <w:rStyle w:val="VerbatimChar"/>
        </w:rPr>
        <w:t xml:space="preserve">│  tests: Diebold–Mariano,     │              │                                  │</w:t>
      </w:r>
      <w:r>
        <w:br/>
      </w:r>
      <w:r>
        <w:rPr>
          <w:rStyle w:val="VerbatimChar"/>
        </w:rPr>
        <w:t xml:space="preserve">│         binomial             │              │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              └──────────────┬───────────────────┘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STAGE 5 — RELIABILITY AUDIT  (the contribution) │</w:t>
      </w:r>
      <w:r>
        <w:br/>
      </w:r>
      <w:r>
        <w:rPr>
          <w:rStyle w:val="VerbatimChar"/>
        </w:rPr>
        <w:t xml:space="preserve">                              │  R1 Faithfulness — deletion curves, AOPC,        │</w:t>
      </w:r>
      <w:r>
        <w:br/>
      </w:r>
      <w:r>
        <w:rPr>
          <w:rStyle w:val="VerbatimChar"/>
        </w:rPr>
        <w:t xml:space="preserve">                              │     fidelity vs a random-order control           │</w:t>
      </w:r>
      <w:r>
        <w:br/>
      </w:r>
      <w:r>
        <w:rPr>
          <w:rStyle w:val="VerbatimChar"/>
        </w:rPr>
        <w:t xml:space="preserve">                              │  R2 Stability — 5 seeds; consecutive retrains    │</w:t>
      </w:r>
      <w:r>
        <w:br/>
      </w:r>
      <w:r>
        <w:rPr>
          <w:rStyle w:val="VerbatimChar"/>
        </w:rPr>
        <w:t xml:space="preserve">                              │  R3 Agreement — Kendall τ across 4 explainers    │</w:t>
      </w:r>
      <w:r>
        <w:br/>
      </w:r>
      <w:r>
        <w:rPr>
          <w:rStyle w:val="VerbatimChar"/>
        </w:rPr>
        <w:t xml:space="preserve">                              │  R4 Sanity — vs fully-shuffled and               │</w:t>
      </w:r>
      <w:r>
        <w:br/>
      </w:r>
      <w:r>
        <w:rPr>
          <w:rStyle w:val="VerbatimChar"/>
        </w:rPr>
        <w:t xml:space="preserve">                              │     within-day-shuffled label models             │</w:t>
      </w:r>
      <w:r>
        <w:br/>
      </w:r>
      <w:r>
        <w:rPr>
          <w:rStyle w:val="VerbatimChar"/>
        </w:rPr>
        <w:t xml:space="preserve">                              │  R5 Drift — 1,000-permutation tests across       │</w:t>
      </w:r>
      <w:r>
        <w:br/>
      </w:r>
      <w:r>
        <w:rPr>
          <w:rStyle w:val="VerbatimChar"/>
        </w:rPr>
        <w:t xml:space="preserve">                              │     4 regimes and 11 sectors                 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└──────────────────────────────────────────────────┘</w:t>
      </w:r>
    </w:p>
    <w:bookmarkEnd w:id="24"/>
    <w:bookmarkStart w:id="25" w:name="formal-specification"/>
    <w:p>
      <w:pPr>
        <w:pStyle w:val="Heading2"/>
      </w:pPr>
      <w:r>
        <w:t xml:space="preserve">2.2 Formal specification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029"/>
        <w:gridCol w:w="7608"/>
      </w:tblGrid>
      <w:tr>
        <w:tc>
          <w:tcPr>
            <w:tcW w:type="dxa" w:w="202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Element</w:t>
            </w:r>
          </w:p>
        </w:tc>
        <w:tc>
          <w:tcPr>
            <w:tcW w:type="dxa" w:w="760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Specification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Universe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= 474 S&amp;P 500 stocks, indexed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i</w:t>
            </w:r>
            <w:r>
              <w:rPr>
                <w:rFonts w:ascii="Calibri" w:hAnsi="Calibri"/>
                <w:sz w:val="18"/>
              </w:rPr>
              <w:t xml:space="preserve">; trading days indexed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Input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x</w:t>
            </w:r>
            <w:r>
              <w:rPr>
                <w:rFonts w:ascii="Calibri" w:hAnsi="Calibri"/>
                <w:sz w:val="18"/>
              </w:rPr>
              <w:t xml:space="preserve">ᵢ,ₜ ∈ ℝ³², computed only from prices and volumes up to day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t</w:t>
            </w:r>
            <w:r>
              <w:rPr>
                <w:rFonts w:ascii="Calibri" w:hAnsi="Calibri"/>
                <w:sz w:val="18"/>
              </w:rPr>
              <w:t xml:space="preserve">’s close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Target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r</w:t>
            </w:r>
            <w:r>
              <w:rPr>
                <w:rFonts w:ascii="Calibri" w:hAnsi="Calibri"/>
                <w:sz w:val="18"/>
              </w:rPr>
              <w:t xml:space="preserve">ᵢ,ₜ₊₁ = ln(</w:t>
            </w:r>
            <w:r>
              <w:rPr>
                <w:iCs/>
                <w:rFonts w:ascii="Calibri" w:hAnsi="Calibri"/>
                <w:i/>
                <w:sz w:val="18"/>
              </w:rPr>
              <w:t xml:space="preserve">P</w:t>
            </w:r>
            <w:r>
              <w:rPr>
                <w:rFonts w:ascii="Calibri" w:hAnsi="Calibri"/>
                <w:sz w:val="18"/>
              </w:rPr>
              <w:t xml:space="preserve">ᵢ,ₜ₊₁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P</w:t>
            </w:r>
            <w:r>
              <w:rPr>
                <w:rFonts w:ascii="Calibri" w:hAnsi="Calibri"/>
                <w:sz w:val="18"/>
              </w:rPr>
              <w:t xml:space="preserve">ᵢ,ₜ), the next-day log return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Model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r̂</w:t>
            </w:r>
            <w:r>
              <w:rPr>
                <w:rFonts w:ascii="Calibri" w:hAnsi="Calibri"/>
                <w:sz w:val="18"/>
              </w:rPr>
              <w:t xml:space="preserve">ᵢ,ₜ₊₁ =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f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bCs/>
                <w:rFonts w:ascii="Calibri" w:hAnsi="Calibri"/>
                <w:b/>
                <w:sz w:val="18"/>
              </w:rPr>
              <w:t xml:space="preserve">x</w:t>
            </w:r>
            <w:r>
              <w:rPr>
                <w:rFonts w:ascii="Calibri" w:hAnsi="Calibri"/>
                <w:sz w:val="18"/>
              </w:rPr>
              <w:t xml:space="preserve">ᵢ,ₜ),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= Random Forest regressor (bagged CART, mean aggregation)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Price output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P̂</w:t>
            </w:r>
            <w:r>
              <w:rPr>
                <w:rFonts w:ascii="Calibri" w:hAnsi="Calibri"/>
                <w:sz w:val="18"/>
              </w:rPr>
              <w:t xml:space="preserve">ᵢ,ₜ₊₁ =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P</w:t>
            </w:r>
            <w:r>
              <w:rPr>
                <w:rFonts w:ascii="Calibri" w:hAnsi="Calibri"/>
                <w:sz w:val="18"/>
              </w:rPr>
              <w:t xml:space="preserve">ᵢ,ₜ · exp(</w:t>
            </w:r>
            <w:r>
              <w:rPr>
                <w:iCs/>
                <w:rFonts w:ascii="Calibri" w:hAnsi="Calibri"/>
                <w:i/>
                <w:sz w:val="18"/>
              </w:rPr>
              <w:t xml:space="preserve">r̂</w:t>
            </w:r>
            <w:r>
              <w:rPr>
                <w:rFonts w:ascii="Calibri" w:hAnsi="Calibri"/>
                <w:sz w:val="18"/>
              </w:rPr>
              <w:t xml:space="preserve">ᵢ,ₜ₊₁) — a derived quantity, never the training target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Explanation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φ</w:t>
            </w:r>
            <w:r>
              <w:rPr>
                <w:rFonts w:ascii="Calibri" w:hAnsi="Calibri"/>
                <w:sz w:val="18"/>
              </w:rPr>
              <w:t xml:space="preserve">ᵢ,ₜ ∈ ℝ³² (TreeSHAP, exact, additive: base + Σφ =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r̂</w:t>
            </w:r>
            <w:r>
              <w:rPr>
                <w:rFonts w:ascii="Calibri" w:hAnsi="Calibri"/>
                <w:sz w:val="18"/>
              </w:rPr>
              <w:t xml:space="preserve">) 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λ</w:t>
            </w:r>
            <w:r>
              <w:rPr>
                <w:rFonts w:ascii="Calibri" w:hAnsi="Calibri"/>
                <w:sz w:val="18"/>
              </w:rPr>
              <w:t xml:space="preserve">ᵢ,ₜ ∈ ℝ³² (LIME surrogate weights)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Loss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Mean squared error 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r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Selection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Hyperparameters by validation MSE averaged over 2017 and 2018 only</w:t>
            </w:r>
          </w:p>
        </w:tc>
      </w:tr>
    </w:tbl>
    <w:bookmarkEnd w:id="25"/>
    <w:bookmarkStart w:id="26" w:name="chosen-hyperparameters"/>
    <w:p>
      <w:pPr>
        <w:pStyle w:val="Heading2"/>
      </w:pPr>
      <w:r>
        <w:t xml:space="preserve">2.3 Chosen hyperparameters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Parameter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Value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Chosen how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n_estimators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300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fixed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max_samples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0.25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fixed (bootstrap fraction, for runtime)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min_samples_leaf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5000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tuned over {200, 1000, 5000}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max_features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0.3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tuned over {0.3, 0.6}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random_state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42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fixed for reproducibility</w:t>
            </w:r>
          </w:p>
        </w:tc>
      </w:tr>
    </w:tbl>
    <w:p>
      <w:pPr>
        <w:pStyle w:val="BodyText"/>
      </w:pPr>
      <w:r>
        <w:t xml:space="preserve">The most heavily regularised option in the grid won on validation. That is itself a result:</w:t>
      </w:r>
      <w:r>
        <w:t xml:space="preserve"> </w:t>
      </w:r>
      <w:r>
        <w:t xml:space="preserve">it is what a low signal-to-noise problem looks like.</w:t>
      </w:r>
    </w:p>
    <w:bookmarkEnd w:id="26"/>
    <w:bookmarkStart w:id="27" w:name="training-and-testing-protocol"/>
    <w:p>
      <w:pPr>
        <w:pStyle w:val="Heading2"/>
      </w:pPr>
      <w:r>
        <w:t xml:space="preserve">2.4 Training and testing protocol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195"/>
        <w:gridCol w:w="4220"/>
        <w:gridCol w:w="4220"/>
      </w:tblGrid>
      <w:tr>
        <w:tc>
          <w:tcPr>
            <w:tcW w:type="dxa" w:w="1196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Phase</w:t>
            </w:r>
          </w:p>
        </w:tc>
        <w:tc>
          <w:tcPr>
            <w:tcW w:type="dxa" w:w="422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Period</w:t>
            </w:r>
          </w:p>
        </w:tc>
        <w:tc>
          <w:tcPr>
            <w:tcW w:type="dxa" w:w="422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Use</w:t>
            </w:r>
          </w:p>
        </w:tc>
      </w:tr>
      <w:tr>
        <w:tc>
          <w:tcPr>
            <w:tcW w:type="dxa" w:w="119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Training pool</w:t>
            </w:r>
          </w:p>
        </w:tc>
        <w:tc>
          <w:tcPr>
            <w:tcW w:type="dxa" w:w="422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2013-03-01 onwards (first date with a full 200-day feature history)</w:t>
            </w:r>
          </w:p>
        </w:tc>
        <w:tc>
          <w:tcPr>
            <w:tcW w:type="dxa" w:w="422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model fitting</w:t>
            </w:r>
          </w:p>
        </w:tc>
      </w:tr>
      <w:tr>
        <w:tc>
          <w:tcPr>
            <w:tcW w:type="dxa" w:w="119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Validation</w:t>
            </w:r>
          </w:p>
        </w:tc>
        <w:tc>
          <w:tcPr>
            <w:tcW w:type="dxa" w:w="422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2017, 2018</w:t>
            </w:r>
          </w:p>
        </w:tc>
        <w:tc>
          <w:tcPr>
            <w:tcW w:type="dxa" w:w="422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hyperparameter selection only</w:t>
            </w:r>
          </w:p>
        </w:tc>
      </w:tr>
      <w:tr>
        <w:tc>
          <w:tcPr>
            <w:tcW w:type="dxa" w:w="119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Walk-forward test</w:t>
            </w:r>
          </w:p>
        </w:tc>
        <w:tc>
          <w:tcPr>
            <w:tcW w:type="dxa" w:w="422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2019, 2020, 2021, 2022 (Jan–May)</w:t>
            </w:r>
          </w:p>
        </w:tc>
        <w:tc>
          <w:tcPr>
            <w:tcW w:type="dxa" w:w="422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retrain each January on everything before it, then forecast every stock-day of that year</w:t>
            </w:r>
          </w:p>
        </w:tc>
      </w:tr>
      <w:tr>
        <w:tc>
          <w:tcPr>
            <w:tcW w:type="dxa" w:w="119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Test size</w:t>
            </w:r>
          </w:p>
        </w:tc>
        <w:tc>
          <w:tcPr>
            <w:tcW w:type="dxa" w:w="422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405,545 stock-days over 856 trading days</w:t>
            </w:r>
          </w:p>
        </w:tc>
        <w:tc>
          <w:tcPr>
            <w:tcW w:type="dxa" w:w="422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never used for any design decision</w:t>
            </w:r>
          </w:p>
        </w:tc>
      </w:tr>
    </w:tbl>
    <w:bookmarkEnd w:id="27"/>
    <w:bookmarkStart w:id="28" w:name="X4aa4f465e2638f26f4bb982e8154877dbd24a02"/>
    <w:p>
      <w:pPr>
        <w:pStyle w:val="Heading2"/>
      </w:pPr>
      <w:r>
        <w:t xml:space="preserve">2.5 Market regimes (fixed in advance from known events)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Regime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Window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Pre-COVID bull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2019-01-01 → 2020-02-19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COVID crash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2020-02-20 → 2020-03-23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Recovery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2020-03-24 → 2021-12-31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2022 bear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2022-01-01 → 2022-05-24</w:t>
            </w:r>
          </w:p>
        </w:tc>
      </w:tr>
    </w:tbl>
    <w:bookmarkEnd w:id="28"/>
    <w:bookmarkStart w:id="29" w:name="evaluation-metrics"/>
    <w:p>
      <w:pPr>
        <w:pStyle w:val="Heading2"/>
      </w:pPr>
      <w:r>
        <w:t xml:space="preserve">2.6 Evaluation metrics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560"/>
        <w:gridCol w:w="3671"/>
        <w:gridCol w:w="4405"/>
      </w:tblGrid>
      <w:tr>
        <w:tc>
          <w:tcPr>
            <w:tcW w:type="dxa" w:w="156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Space</w:t>
            </w:r>
          </w:p>
        </w:tc>
        <w:tc>
          <w:tcPr>
            <w:tcW w:type="dxa" w:w="3672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Metric</w:t>
            </w:r>
          </w:p>
        </w:tc>
        <w:tc>
          <w:tcPr>
            <w:tcW w:type="dxa" w:w="4406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Benchmark it is read against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Return (primary)</w:t>
            </w:r>
          </w:p>
        </w:tc>
        <w:tc>
          <w:tcPr>
            <w:tcW w:type="dxa" w:w="36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RMSE and MAE in basis points</w:t>
            </w:r>
          </w:p>
        </w:tc>
        <w:tc>
          <w:tcPr>
            <w:tcW w:type="dxa" w:w="4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realised return sd, 245 bp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</w:p>
        </w:tc>
        <w:tc>
          <w:tcPr>
            <w:tcW w:type="dxa" w:w="36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Out-of-sample R²</w:t>
            </w:r>
          </w:p>
        </w:tc>
        <w:tc>
          <w:tcPr>
            <w:tcW w:type="dxa" w:w="4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zero-return forecast, and the historical drift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</w:p>
        </w:tc>
        <w:tc>
          <w:tcPr>
            <w:tcW w:type="dxa" w:w="36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Daily IC, Rank IC, ICIR</w:t>
            </w:r>
          </w:p>
        </w:tc>
        <w:tc>
          <w:tcPr>
            <w:tcW w:type="dxa" w:w="4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zero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</w:p>
        </w:tc>
        <w:tc>
          <w:tcPr>
            <w:tcW w:type="dxa" w:w="36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Direction accuracy</w:t>
            </w:r>
          </w:p>
        </w:tc>
        <w:tc>
          <w:tcPr>
            <w:tcW w:type="dxa" w:w="4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majority-direction rule, 52.8%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</w:p>
        </w:tc>
        <w:tc>
          <w:tcPr>
            <w:tcW w:type="dxa" w:w="36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Decile spread, Sharpe, net of 10 bp cost</w:t>
            </w:r>
          </w:p>
        </w:tc>
        <w:tc>
          <w:tcPr>
            <w:tcW w:type="dxa" w:w="4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zero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Price (secondary)</w:t>
            </w:r>
          </w:p>
        </w:tc>
        <w:tc>
          <w:tcPr>
            <w:tcW w:type="dxa" w:w="36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MAE, RMSE, MAPE, R², within 1% / 2%</w:t>
            </w:r>
          </w:p>
        </w:tc>
        <w:tc>
          <w:tcPr>
            <w:tcW w:type="dxa" w:w="4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naive persistence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Tests</w:t>
            </w:r>
          </w:p>
        </w:tc>
        <w:tc>
          <w:tcPr>
            <w:tcW w:type="dxa" w:w="36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Diebold–Mariano (Newey–West, 5 lags)</w:t>
            </w:r>
          </w:p>
        </w:tc>
        <w:tc>
          <w:tcPr>
            <w:tcW w:type="dxa" w:w="4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model vs benchmark, both spaces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</w:p>
        </w:tc>
        <w:tc>
          <w:tcPr>
            <w:tcW w:type="dxa" w:w="36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Binomial test</w:t>
            </w:r>
          </w:p>
        </w:tc>
        <w:tc>
          <w:tcPr>
            <w:tcW w:type="dxa" w:w="4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direction vs majority rule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</w:p>
        </w:tc>
        <w:tc>
          <w:tcPr>
            <w:tcW w:type="dxa" w:w="36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Permutation test (1,000 draws)</w:t>
            </w:r>
          </w:p>
        </w:tc>
        <w:tc>
          <w:tcPr>
            <w:tcW w:type="dxa" w:w="4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explanation drift across regimes and sectors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requirements"/>
    <w:p>
      <w:pPr>
        <w:pStyle w:val="Heading1"/>
      </w:pPr>
      <w:r>
        <w:t xml:space="preserve">3. Requirements</w:t>
      </w:r>
    </w:p>
    <w:bookmarkStart w:id="31" w:name="functional-requirements"/>
    <w:p>
      <w:pPr>
        <w:pStyle w:val="Heading2"/>
      </w:pPr>
      <w:r>
        <w:t xml:space="preserve">3.1 Functional requirements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029"/>
        <w:gridCol w:w="7608"/>
      </w:tblGrid>
      <w:tr>
        <w:tc>
          <w:tcPr>
            <w:tcW w:type="dxa" w:w="202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#</w:t>
            </w:r>
          </w:p>
        </w:tc>
        <w:tc>
          <w:tcPr>
            <w:tcW w:type="dxa" w:w="760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Requirement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FR1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load daily OHLCV data for 474 S&amp;P 500 stocks and repair the three known data defects (adjustment-convention mismatch, pre-listing NaNs, the GOOG share-class break) before use.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FR2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compute 32 technical, volatility, volume and market-context features per stock-day, using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only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information available at or before that day’s close.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FR3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train a Random Forest to predict the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next-day log return</w:t>
            </w:r>
            <w:r>
              <w:rPr>
                <w:rFonts w:ascii="Calibri" w:hAnsi="Calibri"/>
                <w:sz w:val="18"/>
              </w:rPr>
              <w:t xml:space="preserve">, and shall derive price forecasts from it rather than training on price levels.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FR4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retrain walk-forward at the start of each test year on all prior data, and shall never use test-period data for tuning or design.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FR5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produce forecasts from five comparison models: naive persistence, historical drift, Ridge regression, a price-level Random Forest and a direction classifier.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FR6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report return-space skill as the primary result and price-space accuracy as a secondary, comparability result, for the whole test set and broken down by year, market regime and GICS sector.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FR7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test each model against its benchmark with a Diebold–Mariano test, and direction accuracy against the majority rule with a binomial test.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FR8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compute exact TreeSHAP attributions for a stratified sample of at least 35,000 stock-days, and verify SHAP additivity.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FR9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compute LIME explanations for a sample of stock-days with at least 5 random seeds each, to measure run-to-run stability.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FR10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test explanation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faithfulness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by deleting top-ranked features against a random-order control, reporting deletion curves, AOPC and fidelity.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FR11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test explanation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stability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across random seeds and across consecutive yearly retrains, using Kendall’s τ and Spearman’s ρ.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FR12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compare four explainers (TreeSHAP, LIME, permutation importance, MDI) and report their rank agreement.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FR13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test explanation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sanity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against two null models trained on shuffled labels (fully shuffled, and shuffled within each day).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FR14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test explanation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drift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across the four market regimes and the eleven GICS sectors with a 1,000-draw permutation test.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FR15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system shall emit all results as machine-readable JSON, all figures as PNG, and the write-up as Markdown and Word.</w:t>
            </w:r>
          </w:p>
        </w:tc>
      </w:tr>
    </w:tbl>
    <w:bookmarkEnd w:id="31"/>
    <w:bookmarkStart w:id="32" w:name="non-functional-requirements"/>
    <w:p>
      <w:pPr>
        <w:pStyle w:val="Heading2"/>
      </w:pPr>
      <w:r>
        <w:t xml:space="preserve">3.2 Non-functional requirements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029"/>
        <w:gridCol w:w="7608"/>
      </w:tblGrid>
      <w:tr>
        <w:tc>
          <w:tcPr>
            <w:tcW w:type="dxa" w:w="202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#</w:t>
            </w:r>
          </w:p>
        </w:tc>
        <w:tc>
          <w:tcPr>
            <w:tcW w:type="dxa" w:w="760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Requirement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NFR1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Reproducibility.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Every stochastic component is seeded (</w:t>
            </w:r>
            <w:r>
              <w:rPr>
                <w:rStyle w:val="VerbatimChar"/>
                <w:rFonts w:ascii="Calibri" w:hAnsi="Calibri"/>
                <w:sz w:val="18"/>
              </w:rPr>
              <w:t xml:space="preserve">SEED = 42</w:t>
            </w:r>
            <w:r>
              <w:rPr>
                <w:rFonts w:ascii="Calibri" w:hAnsi="Calibri"/>
                <w:sz w:val="18"/>
              </w:rPr>
              <w:t xml:space="preserve">); a full re-run must reproduce every published number.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NFR2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No look-ahead.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Feature construction, scaling and model selection must be verifiable as using only past information.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NFR3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Runtime.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The complete pipeline must finish in under one hour on a laptop.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(Measured: ≈ 25 min on an Apple M3 Pro — tuning 5, training 10, explanations 7, figures 1.)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NFR4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Memory.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Must run within 16 GB RAM; the feature table is ~1.1 M stock-days × 32 float32 columns.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NFR5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Transparency of negative results.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Results that undercut the model must be reported, not suppressed.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NFR6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Auditability.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Each pipeline stage writes its own artefact, so any stage can be re-run or inspected independently.</w:t>
            </w:r>
          </w:p>
        </w:tc>
      </w:tr>
    </w:tbl>
    <w:bookmarkEnd w:id="32"/>
    <w:bookmarkStart w:id="33" w:name="software-requirements"/>
    <w:p>
      <w:pPr>
        <w:pStyle w:val="Heading2"/>
      </w:pPr>
      <w:r>
        <w:t xml:space="preserve">3.3 Software requirements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007"/>
        <w:gridCol w:w="1606"/>
        <w:gridCol w:w="6023"/>
      </w:tblGrid>
      <w:tr>
        <w:tc>
          <w:tcPr>
            <w:tcW w:type="dxa" w:w="2008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Component</w:t>
            </w:r>
          </w:p>
        </w:tc>
        <w:tc>
          <w:tcPr>
            <w:tcW w:type="dxa" w:w="1606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Version used</w:t>
            </w:r>
          </w:p>
        </w:tc>
        <w:tc>
          <w:tcPr>
            <w:tcW w:type="dxa" w:w="602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Purpose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Python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3.11.13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runtime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NumPy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2.1.3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arrays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pandas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3.0.5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panel and time-series handling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scikit-learn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1.9.1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RandomForestRegressor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RandomForestClassifier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RidgeCV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permutation_importance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0.51.0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TreeExplainer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(exact TreeSHAP)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LIME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0.2.0.1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LimeTabularExplainer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SciPy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1.17.1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Newey–West variance, binomial test, Spearman, Kendall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Matplotlib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3.11.2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figures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joblib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1.6.0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model persistence, parallelism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pandoc + python-docx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report → Word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Node.js + pptxgenjs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slide deck</w:t>
            </w:r>
          </w:p>
        </w:tc>
      </w:tr>
      <w:tr>
        <w:tc>
          <w:tcPr>
            <w:tcW w:type="dxa" w:w="20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git + GitHub</w:t>
            </w:r>
          </w:p>
        </w:tc>
        <w:tc>
          <w:tcPr>
            <w:tcW w:type="dxa" w:w="16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  <w:tc>
          <w:tcPr>
            <w:tcW w:type="dxa" w:w="60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version control, public release</w:t>
            </w:r>
          </w:p>
        </w:tc>
      </w:tr>
    </w:tbl>
    <w:bookmarkEnd w:id="33"/>
    <w:bookmarkStart w:id="34" w:name="hardware-requirements"/>
    <w:p>
      <w:pPr>
        <w:pStyle w:val="Heading2"/>
      </w:pPr>
      <w:r>
        <w:t xml:space="preserve">3.4 Hardware requirements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557"/>
        <w:gridCol w:w="2239"/>
        <w:gridCol w:w="5841"/>
      </w:tblGrid>
      <w:tr>
        <w:tc>
          <w:tcPr>
            <w:tcW w:type="dxa" w:w="1558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Resource</w:t>
            </w:r>
          </w:p>
        </w:tc>
        <w:tc>
          <w:tcPr>
            <w:tcW w:type="dxa" w:w="223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Minimum</w:t>
            </w:r>
          </w:p>
        </w:tc>
        <w:tc>
          <w:tcPr>
            <w:tcW w:type="dxa" w:w="584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Used for this project</w:t>
            </w:r>
          </w:p>
        </w:tc>
      </w:tr>
      <w:tr>
        <w:tc>
          <w:tcPr>
            <w:tcW w:type="dxa" w:w="155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CPU</w:t>
            </w:r>
          </w:p>
        </w:tc>
        <w:tc>
          <w:tcPr>
            <w:tcW w:type="dxa" w:w="223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 cores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Apple M3 Pro, 12 cores (</w:t>
            </w:r>
            <w:r>
              <w:rPr>
                <w:rStyle w:val="VerbatimChar"/>
                <w:rFonts w:ascii="Calibri" w:hAnsi="Calibri"/>
                <w:sz w:val="18"/>
              </w:rPr>
              <w:t xml:space="preserve">n_jobs = -1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W w:type="dxa" w:w="155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RAM</w:t>
            </w:r>
          </w:p>
        </w:tc>
        <w:tc>
          <w:tcPr>
            <w:tcW w:type="dxa" w:w="223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16 GB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18 GB</w:t>
            </w:r>
          </w:p>
        </w:tc>
      </w:tr>
      <w:tr>
        <w:tc>
          <w:tcPr>
            <w:tcW w:type="dxa" w:w="155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Disk</w:t>
            </w:r>
          </w:p>
        </w:tc>
        <w:tc>
          <w:tcPr>
            <w:tcW w:type="dxa" w:w="223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 GB free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330 MB data + 4.4 MB models + 53 MB results + 600 MB virtual environment</w:t>
            </w:r>
          </w:p>
        </w:tc>
      </w:tr>
      <w:tr>
        <w:tc>
          <w:tcPr>
            <w:tcW w:type="dxa" w:w="155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GPU</w:t>
            </w:r>
          </w:p>
        </w:tc>
        <w:tc>
          <w:tcPr>
            <w:tcW w:type="dxa" w:w="223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none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none — Random Forests are CPU-only</w:t>
            </w:r>
          </w:p>
        </w:tc>
      </w:tr>
      <w:tr>
        <w:tc>
          <w:tcPr>
            <w:tcW w:type="dxa" w:w="155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OS</w:t>
            </w:r>
          </w:p>
        </w:tc>
        <w:tc>
          <w:tcPr>
            <w:tcW w:type="dxa" w:w="223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macOS, Linux or Windows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macOS 14</w:t>
            </w:r>
          </w:p>
        </w:tc>
      </w:tr>
    </w:tbl>
    <w:bookmarkEnd w:id="34"/>
    <w:bookmarkStart w:id="35" w:name="data-requirements"/>
    <w:p>
      <w:pPr>
        <w:pStyle w:val="Heading2"/>
      </w:pPr>
      <w:r>
        <w:t xml:space="preserve">3.5 Data requirements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498"/>
        <w:gridCol w:w="7139"/>
      </w:tblGrid>
      <w:tr>
        <w:tc>
          <w:tcPr>
            <w:tcW w:type="dxa" w:w="249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Requirement</w:t>
            </w:r>
          </w:p>
        </w:tc>
        <w:tc>
          <w:tcPr>
            <w:tcW w:type="dxa" w:w="713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Detail</w:t>
            </w:r>
          </w:p>
        </w:tc>
      </w:tr>
      <w:tr>
        <w:tc>
          <w:tcPr>
            <w:tcW w:type="dxa" w:w="249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Source</w:t>
            </w:r>
          </w:p>
        </w:tc>
        <w:tc>
          <w:tcPr>
            <w:tcW w:type="dxa" w:w="713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Public S&amp;P 500 benchmark released with ESTIMATE (Huynh et al., WSDM 2023) and reused by StockMixer (AAAI 2024)</w:t>
            </w:r>
          </w:p>
        </w:tc>
      </w:tr>
      <w:tr>
        <w:tc>
          <w:tcPr>
            <w:tcW w:type="dxa" w:w="249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Fields</w:t>
            </w:r>
          </w:p>
        </w:tc>
        <w:tc>
          <w:tcPr>
            <w:tcW w:type="dxa" w:w="713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Daily open, high, low, close, adjusted close, volume; plus GICS sector per ticker</w:t>
            </w:r>
          </w:p>
        </w:tc>
      </w:tr>
      <w:tr>
        <w:tc>
          <w:tcPr>
            <w:tcW w:type="dxa" w:w="249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Coverage</w:t>
            </w:r>
          </w:p>
        </w:tc>
        <w:tc>
          <w:tcPr>
            <w:tcW w:type="dxa" w:w="713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474 stocks, 14 May 2012 – 25 May 2022, 11 sectors (21–67 stocks each)</w:t>
            </w:r>
          </w:p>
        </w:tc>
      </w:tr>
      <w:tr>
        <w:tc>
          <w:tcPr>
            <w:tcW w:type="dxa" w:w="249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Minimum history</w:t>
            </w:r>
          </w:p>
        </w:tc>
        <w:tc>
          <w:tcPr>
            <w:tcW w:type="dxa" w:w="713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200 trading days per stock before its first usable feature row</w:t>
            </w:r>
          </w:p>
        </w:tc>
      </w:tr>
      <w:tr>
        <w:tc>
          <w:tcPr>
            <w:tcW w:type="dxa" w:w="249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Volume after cleaning</w:t>
            </w:r>
          </w:p>
        </w:tc>
        <w:tc>
          <w:tcPr>
            <w:tcW w:type="dxa" w:w="713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≈ 1.1 M usable stock-days; 405,545 of them in the test window</w:t>
            </w:r>
          </w:p>
        </w:tc>
      </w:tr>
      <w:tr>
        <w:tc>
          <w:tcPr>
            <w:tcW w:type="dxa" w:w="249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Licence</w:t>
            </w:r>
          </w:p>
        </w:tc>
        <w:tc>
          <w:tcPr>
            <w:tcW w:type="dxa" w:w="713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Public research dataset, redistributed under its original terms</w:t>
            </w:r>
          </w:p>
        </w:tc>
      </w:tr>
    </w:tbl>
    <w:bookmarkEnd w:id="35"/>
    <w:bookmarkStart w:id="36" w:name="acceptance-criteria"/>
    <w:p>
      <w:pPr>
        <w:pStyle w:val="Heading2"/>
      </w:pPr>
      <w:r>
        <w:t xml:space="preserve">3.6 Acceptance criteria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223"/>
        <w:gridCol w:w="4589"/>
        <w:gridCol w:w="3824"/>
      </w:tblGrid>
      <w:tr>
        <w:tc>
          <w:tcPr>
            <w:tcW w:type="dxa" w:w="122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#</w:t>
            </w:r>
          </w:p>
        </w:tc>
        <w:tc>
          <w:tcPr>
            <w:tcW w:type="dxa" w:w="458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Criterion</w:t>
            </w:r>
          </w:p>
        </w:tc>
        <w:tc>
          <w:tcPr>
            <w:tcW w:type="dxa" w:w="3825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Status</w:t>
            </w:r>
          </w:p>
        </w:tc>
      </w:tr>
      <w:tr>
        <w:tc>
          <w:tcPr>
            <w:tcW w:type="dxa" w:w="12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AC1</w:t>
            </w:r>
          </w:p>
        </w:tc>
        <w:tc>
          <w:tcPr>
            <w:tcW w:type="dxa" w:w="458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Walk-forward forecasts exist for every test stock-day with no look-ahead</w:t>
            </w:r>
          </w:p>
        </w:tc>
        <w:tc>
          <w:tcPr>
            <w:tcW w:type="dxa" w:w="382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✅ 405,545 forecasts</w:t>
            </w:r>
          </w:p>
        </w:tc>
      </w:tr>
      <w:tr>
        <w:tc>
          <w:tcPr>
            <w:tcW w:type="dxa" w:w="12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AC2</w:t>
            </w:r>
          </w:p>
        </w:tc>
        <w:tc>
          <w:tcPr>
            <w:tcW w:type="dxa" w:w="458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Return-space and price-space results are both reported, with the return space first</w:t>
            </w:r>
          </w:p>
        </w:tc>
        <w:tc>
          <w:tcPr>
            <w:tcW w:type="dxa" w:w="382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✅ §7.1</w:t>
            </w:r>
          </w:p>
        </w:tc>
      </w:tr>
      <w:tr>
        <w:tc>
          <w:tcPr>
            <w:tcW w:type="dxa" w:w="12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AC3</w:t>
            </w:r>
          </w:p>
        </w:tc>
        <w:tc>
          <w:tcPr>
            <w:tcW w:type="dxa" w:w="458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Every accuracy claim is accompanied by a benchmark and a significance test</w:t>
            </w:r>
          </w:p>
        </w:tc>
        <w:tc>
          <w:tcPr>
            <w:tcW w:type="dxa" w:w="382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✅ DM and binomial throughout</w:t>
            </w:r>
          </w:p>
        </w:tc>
      </w:tr>
      <w:tr>
        <w:tc>
          <w:tcPr>
            <w:tcW w:type="dxa" w:w="12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AC4</w:t>
            </w:r>
          </w:p>
        </w:tc>
        <w:tc>
          <w:tcPr>
            <w:tcW w:type="dxa" w:w="458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 additivity error &lt; 1 × 10⁻¹⁵</w:t>
            </w:r>
          </w:p>
        </w:tc>
        <w:tc>
          <w:tcPr>
            <w:tcW w:type="dxa" w:w="382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✅ max 2.6 × 10⁻¹⁷</w:t>
            </w:r>
          </w:p>
        </w:tc>
      </w:tr>
      <w:tr>
        <w:tc>
          <w:tcPr>
            <w:tcW w:type="dxa" w:w="12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AC5</w:t>
            </w:r>
          </w:p>
        </w:tc>
        <w:tc>
          <w:tcPr>
            <w:tcW w:type="dxa" w:w="458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Faithfulness: top-ranked deletion moves the forecast materially more than random deletion</w:t>
            </w:r>
          </w:p>
        </w:tc>
        <w:tc>
          <w:tcPr>
            <w:tcW w:type="dxa" w:w="382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✅ 13.3× at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= 1</w:t>
            </w:r>
          </w:p>
        </w:tc>
      </w:tr>
      <w:tr>
        <w:tc>
          <w:tcPr>
            <w:tcW w:type="dxa" w:w="12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AC6</w:t>
            </w:r>
          </w:p>
        </w:tc>
        <w:tc>
          <w:tcPr>
            <w:tcW w:type="dxa" w:w="458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Stability and sanity are both quantified</w:t>
            </w:r>
          </w:p>
        </w:tc>
        <w:tc>
          <w:tcPr>
            <w:tcW w:type="dxa" w:w="382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✅ τ 0.85 across seeds; τ 0.13 vs a no-signal model</w:t>
            </w:r>
          </w:p>
        </w:tc>
      </w:tr>
      <w:tr>
        <w:tc>
          <w:tcPr>
            <w:tcW w:type="dxa" w:w="12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AC7</w:t>
            </w:r>
          </w:p>
        </w:tc>
        <w:tc>
          <w:tcPr>
            <w:tcW w:type="dxa" w:w="458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Drift is tested statistically, not asserted</w:t>
            </w:r>
          </w:p>
        </w:tc>
        <w:tc>
          <w:tcPr>
            <w:tcW w:type="dxa" w:w="382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✅ regimes p = 0.003, sectors p = 0.001</w:t>
            </w:r>
          </w:p>
        </w:tc>
      </w:tr>
      <w:tr>
        <w:tc>
          <w:tcPr>
            <w:tcW w:type="dxa" w:w="122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AC8</w:t>
            </w:r>
          </w:p>
        </w:tc>
        <w:tc>
          <w:tcPr>
            <w:tcW w:type="dxa" w:w="458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pipeline reproduces from a clean checkout</w:t>
            </w:r>
          </w:p>
        </w:tc>
        <w:tc>
          <w:tcPr>
            <w:tcW w:type="dxa" w:w="382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✅ 8 scripts, documented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README.md</w:t>
            </w:r>
          </w:p>
        </w:tc>
      </w:tr>
    </w:tbl>
    <w:bookmarkEnd w:id="36"/>
    <w:bookmarkEnd w:id="37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1F3A5F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hAnsi="Menlo"/>
      <w:sz w:val="1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enlo" w:hAnsi="Menlo"/>
      <w:sz w:val="13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Objective, Proposed Model and Requirements</dc:title>
  <dc:creator/>
  <cp:keywords/>
  <dcterms:created xsi:type="dcterms:W3CDTF">2026-10-21T04:56:19Z</dcterms:created>
  <dcterms:modified xsi:type="dcterms:W3CDTF">2026-10-21T04:56:19Z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Trustworthy Explanations for Random-Forest Stock Return Forecasting — 474 S&amp;P 500 stocks, 2013–2022</vt:lpwstr>
  </property>
</Properties>
</file>