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Literature Review and Problem Statement</w:t>
      </w:r>
    </w:p>
    <w:p>
      <w:pPr>
        <w:pStyle w:val="Subtitle"/>
      </w:pPr>
      <w:r>
        <w:t xml:space="preserve">Trustworthy Explanations for Random-Forest Stock Price Forecasting — 474 S&amp;P 500 stocks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problem-statement"/>
    <w:p>
      <w:pPr>
        <w:pStyle w:val="Heading1"/>
      </w:pPr>
      <w:r>
        <w:t xml:space="preserve">1. Problem statement</w:t>
      </w:r>
    </w:p>
    <w:bookmarkStart w:id="20" w:name="the-two-problems-in-the-literature"/>
    <w:p>
      <w:pPr>
        <w:pStyle w:val="Heading2"/>
      </w:pPr>
      <w:r>
        <w:t xml:space="preserve">1.1 The two problems in the literature</w:t>
      </w:r>
    </w:p>
    <w:p>
      <w:pPr>
        <w:pStyle w:val="FirstParagraph"/>
      </w:pPr>
      <w:r>
        <w:rPr>
          <w:bCs/>
          <w:b/>
        </w:rPr>
        <w:t xml:space="preserve">Problem 1: accuracy is reported without a meaningful benchmark.</w:t>
      </w:r>
    </w:p>
    <w:p>
      <w:pPr>
        <w:numPr>
          <w:ilvl w:val="0"/>
          <w:numId w:val="1001"/>
        </w:numPr>
        <w:pStyle w:val="Compact"/>
      </w:pPr>
      <w:r>
        <w:t xml:space="preserve">Stock-prediction papers report very high accuracy for price forecasting, such as R² of 0.88–0.99.</w:t>
      </w:r>
    </w:p>
    <w:p>
      <w:pPr>
        <w:numPr>
          <w:ilvl w:val="0"/>
          <w:numId w:val="1001"/>
        </w:numPr>
        <w:pStyle w:val="Compact"/>
      </w:pPr>
      <w:r>
        <w:t xml:space="preserve">But a share price tomorrow is almost the same as today’s. The naive forecast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tomorrow’s price = today’s price</w:t>
      </w:r>
      <w:r>
        <w:rPr>
          <w:bCs/>
          <w:b/>
        </w:rPr>
        <w:t xml:space="preserve">”</w:t>
      </w:r>
      <w:r>
        <w:t xml:space="preserve"> </w:t>
      </w:r>
      <w:r>
        <w:t xml:space="preserve">already scores R² ≈ 0.999.</w:t>
      </w:r>
    </w:p>
    <w:p>
      <w:pPr>
        <w:numPr>
          <w:ilvl w:val="0"/>
          <w:numId w:val="1001"/>
        </w:numPr>
        <w:pStyle w:val="Compact"/>
      </w:pPr>
      <w:r>
        <w:t xml:space="preserve">Unless a paper compares against that naive forecast and tests the difference, the reader cannot tell whether the model has any real skill.</w:t>
      </w:r>
    </w:p>
    <w:p>
      <w:pPr>
        <w:pStyle w:val="FirstParagraph"/>
      </w:pPr>
      <w:r>
        <w:rPr>
          <w:bCs/>
          <w:b/>
        </w:rPr>
        <w:t xml:space="preserve">Problem 2: explanations are presented as findings, but never tested.</w:t>
      </w:r>
    </w:p>
    <w:p>
      <w:pPr>
        <w:numPr>
          <w:ilvl w:val="0"/>
          <w:numId w:val="1002"/>
        </w:numPr>
        <w:pStyle w:val="Compact"/>
      </w:pPr>
      <w:r>
        <w:t xml:space="preserve">Papers attach SHAP or LIME to a model, report which features rank highest, and present that as insight about the market.</w:t>
      </w:r>
    </w:p>
    <w:p>
      <w:pPr>
        <w:numPr>
          <w:ilvl w:val="0"/>
          <w:numId w:val="1002"/>
        </w:numPr>
        <w:pStyle w:val="Compact"/>
      </w:pPr>
      <w:r>
        <w:t xml:space="preserve">They do not check whether those explanations are: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133"/>
        <w:gridCol w:w="4251"/>
        <w:gridCol w:w="4251"/>
      </w:tblGrid>
      <w:tr>
        <w:tc>
          <w:tcPr>
            <w:tcW w:type="dxa" w:w="113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Property</w:t>
            </w:r>
          </w:p>
        </w:tc>
        <w:tc>
          <w:tcPr>
            <w:tcW w:type="dxa" w:w="425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The question it answers</w:t>
            </w:r>
          </w:p>
        </w:tc>
        <w:tc>
          <w:tcPr>
            <w:tcW w:type="dxa" w:w="425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What it means if it fails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Faithful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the features the explanation ranks highest actually drive the prediction?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explanation names features the model barely uses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Stable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Does the explanation stay the same after retraining, a new random seed, or re-running LIME?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finding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is an accident of one run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In agreement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SHAP and LIME give the same answer for the same forecast?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conclusion depends on which tool was picked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Meaningful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Does it differ from the explanation of a model trained on scrambled, meaningless data?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explanation reflects the data’s structure, not anything learned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Consistent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Does it change between calm markets and crashes, or between sectors?</w:t>
            </w:r>
          </w:p>
        </w:tc>
        <w:tc>
          <w:tcPr>
            <w:tcW w:type="dxa" w:w="42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One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global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explanation misrepresents specific periods</w:t>
            </w:r>
          </w:p>
        </w:tc>
      </w:tr>
    </w:tbl>
    <w:bookmarkEnd w:id="20"/>
    <w:bookmarkStart w:id="21" w:name="problem-statement-1"/>
    <w:p>
      <w:pPr>
        <w:pStyle w:val="Heading2"/>
      </w:pPr>
      <w:r>
        <w:t xml:space="preserve">1.2 Problem statement</w:t>
      </w:r>
    </w:p>
    <w:p>
      <w:pPr>
        <w:pStyle w:val="BlockText"/>
      </w:pPr>
      <w:r>
        <w:rPr>
          <w:bCs/>
          <w:b/>
        </w:rPr>
        <w:t xml:space="preserve">Given daily price and volume data for 474 S&amp;P 500 stocks (2012–2022), this project builds a Random Forest that forecasts each stock’s next-day closing price, measures its accuracy against a naive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tomorrow = today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benchmark with a significance test, and then audits its SHAP and LIME explanations: are they faithful to the model, stable across retraining and repeated runs, in agreement with each other, distinguishable from the explanations of a model trained on meaningless labels, and statistically different across market regimes and sectors?</w:t>
      </w:r>
    </w:p>
    <w:bookmarkEnd w:id="21"/>
    <w:bookmarkStart w:id="22" w:name="research-questions"/>
    <w:p>
      <w:pPr>
        <w:pStyle w:val="Heading2"/>
      </w:pPr>
      <w:r>
        <w:t xml:space="preserve">1.3 Research questions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029"/>
        <w:gridCol w:w="7608"/>
      </w:tblGrid>
      <w:tr>
        <w:tc>
          <w:tcPr>
            <w:tcW w:type="dxa" w:w="202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760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Question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RQ1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accurate is the next-day price forecast, and how much of that accuracy exceeds naive persistence?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RQ2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Which features drive the forecasts, globally and for individual stock-days?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RQ3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Are the SHAP explanations faithful to the model, and stable across seeds and retraining?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RQ4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explanations change significantly across market regimes and sectors?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RQ5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they differ from those of a model trained on shuffled, signal-free labels?</w:t>
            </w:r>
          </w:p>
        </w:tc>
      </w:tr>
      <w:tr>
        <w:tc>
          <w:tcPr>
            <w:tcW w:type="dxa" w:w="202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RQ6</w:t>
            </w:r>
          </w:p>
        </w:tc>
        <w:tc>
          <w:tcPr>
            <w:tcW w:type="dxa" w:w="760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SHAP and LIME agree, and which is more reliable for this model?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key-terms"/>
    <w:p>
      <w:pPr>
        <w:pStyle w:val="Heading1"/>
      </w:pPr>
      <w:r>
        <w:t xml:space="preserve">2. Key terms</w:t>
      </w:r>
    </w:p>
    <w:bookmarkStart w:id="24" w:name="stock-market-terms"/>
    <w:p>
      <w:pPr>
        <w:pStyle w:val="Heading2"/>
      </w:pPr>
      <w:r>
        <w:t xml:space="preserve">2.1 Stock market terms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3066"/>
        <w:gridCol w:w="6571"/>
      </w:tblGrid>
      <w:tr>
        <w:tc>
          <w:tcPr>
            <w:tcW w:type="dxa" w:w="306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Term</w:t>
            </w:r>
          </w:p>
        </w:tc>
        <w:tc>
          <w:tcPr>
            <w:tcW w:type="dxa" w:w="657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Meaning</w:t>
            </w:r>
          </w:p>
        </w:tc>
      </w:tr>
      <w:tr>
        <w:tc>
          <w:tcPr>
            <w:tcW w:type="dxa" w:w="30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Return</w:t>
            </w:r>
          </w:p>
        </w:tc>
        <w:tc>
          <w:tcPr>
            <w:tcW w:type="dxa" w:w="65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Percentage change in price. ₹100 → ₹102 is a +2% return</w:t>
            </w:r>
          </w:p>
        </w:tc>
      </w:tr>
      <w:tr>
        <w:tc>
          <w:tcPr>
            <w:tcW w:type="dxa" w:w="30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5-day / 21-day return</w:t>
            </w:r>
          </w:p>
        </w:tc>
        <w:tc>
          <w:tcPr>
            <w:tcW w:type="dxa" w:w="65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Percentage change over the next 5 or 21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trading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days (about one week, about one month)</w:t>
            </w:r>
          </w:p>
        </w:tc>
      </w:tr>
      <w:tr>
        <w:tc>
          <w:tcPr>
            <w:tcW w:type="dxa" w:w="30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Direction accuracy</w:t>
            </w:r>
          </w:p>
        </w:tc>
        <w:tc>
          <w:tcPr>
            <w:tcW w:type="dxa" w:w="65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often the model gets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up or down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right. 50% is a coin flip</w:t>
            </w:r>
          </w:p>
        </w:tc>
      </w:tr>
      <w:tr>
        <w:tc>
          <w:tcPr>
            <w:tcW w:type="dxa" w:w="30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Buy-and-hold</w:t>
            </w:r>
          </w:p>
        </w:tc>
        <w:tc>
          <w:tcPr>
            <w:tcW w:type="dxa" w:w="65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Buy once and do nothing. The benchmark every strategy must beat</w:t>
            </w:r>
          </w:p>
        </w:tc>
      </w:tr>
      <w:tr>
        <w:tc>
          <w:tcPr>
            <w:tcW w:type="dxa" w:w="30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Naive (persistence) forecast</w:t>
            </w:r>
          </w:p>
        </w:tc>
        <w:tc>
          <w:tcPr>
            <w:tcW w:type="dxa" w:w="65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Tomorrow’s price = today’s price.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Simple, and very hard to beat</w:t>
            </w:r>
          </w:p>
        </w:tc>
      </w:tr>
      <w:tr>
        <w:tc>
          <w:tcPr>
            <w:tcW w:type="dxa" w:w="30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Basis point (bp)</w:t>
            </w:r>
          </w:p>
        </w:tc>
        <w:tc>
          <w:tcPr>
            <w:tcW w:type="dxa" w:w="65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One hundredth of a percent. 100 bp = 1%</w:t>
            </w:r>
          </w:p>
        </w:tc>
      </w:tr>
      <w:tr>
        <w:tc>
          <w:tcPr>
            <w:tcW w:type="dxa" w:w="30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Sharpe ratio</w:t>
            </w:r>
          </w:p>
        </w:tc>
        <w:tc>
          <w:tcPr>
            <w:tcW w:type="dxa" w:w="65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Profit per unit of risk. Above 1 is good</w:t>
            </w:r>
          </w:p>
        </w:tc>
      </w:tr>
      <w:tr>
        <w:tc>
          <w:tcPr>
            <w:tcW w:type="dxa" w:w="306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Deflated Sharpe ratio</w:t>
            </w:r>
          </w:p>
        </w:tc>
        <w:tc>
          <w:tcPr>
            <w:tcW w:type="dxa" w:w="657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Sharpe corrected for having tested many strategies, since one of many looks good by luck</w:t>
            </w:r>
          </w:p>
        </w:tc>
      </w:tr>
    </w:tbl>
    <w:bookmarkEnd w:id="24"/>
    <w:bookmarkStart w:id="25" w:name="accuracy-measures"/>
    <w:p>
      <w:pPr>
        <w:pStyle w:val="Heading2"/>
      </w:pPr>
      <w:r>
        <w:t xml:space="preserve">2.2 Accuracy measures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585"/>
        <w:gridCol w:w="7052"/>
      </w:tblGrid>
      <w:tr>
        <w:tc>
          <w:tcPr>
            <w:tcW w:type="dxa" w:w="258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Term</w:t>
            </w:r>
          </w:p>
        </w:tc>
        <w:tc>
          <w:tcPr>
            <w:tcW w:type="dxa" w:w="7052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Meaning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MAE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Average error size, in dollars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RMSE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Like MAE, but punishes large misses more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MAPE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Average error as a percentage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R²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Share of variation explained; 1.0 is perfect, 0 is no better than guessing the average.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Trap: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 price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iCs/>
                <w:rFonts w:ascii="Calibri" w:hAnsi="Calibri"/>
                <w:i/>
                <w:sz w:val="18"/>
              </w:rPr>
              <w:t xml:space="preserve">levels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it is ≈ 0.99 automatically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AUC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Quality of up/down predictions; 0.5 is random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p-value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Probability a result this strong arose by luck; below 0.05 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significant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</w:tr>
      <w:tr>
        <w:tc>
          <w:tcPr>
            <w:tcW w:type="dxa" w:w="2586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Kendall τ / Spearman ρ</w:t>
            </w:r>
          </w:p>
        </w:tc>
        <w:tc>
          <w:tcPr>
            <w:tcW w:type="dxa" w:w="7052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 two rankings agree? 1 = identical, 0 = unrelated</w:t>
            </w:r>
          </w:p>
        </w:tc>
      </w:tr>
    </w:tbl>
    <w:bookmarkEnd w:id="25"/>
    <w:bookmarkStart w:id="26" w:name="the-models"/>
    <w:p>
      <w:pPr>
        <w:pStyle w:val="Heading2"/>
      </w:pPr>
      <w:r>
        <w:t xml:space="preserve">2.3 The models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834"/>
        <w:gridCol w:w="6803"/>
      </w:tblGrid>
      <w:tr>
        <w:tc>
          <w:tcPr>
            <w:tcW w:type="dxa" w:w="2835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Term</w:t>
            </w:r>
          </w:p>
        </w:tc>
        <w:tc>
          <w:tcPr>
            <w:tcW w:type="dxa" w:w="680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Meaning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Decision tree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flowchart of yes/no questions ending in a prediction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Random Forest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Hundreds of decision trees, each on a random slice of data and features; the answer is their average. Robust and hard to overfit.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The model used in this project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XGBoost / LightGBM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Trees built one after another, each correcting the previous one’s errors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Linear / Ridge regression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Straight-line models; Ridge penalises over-reliance on any one input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LSTM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neural network for sequences, with memory of earlier days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Attention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neural-network component that learns which days or features to focus on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Hidden Markov Model (HMM)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Labels each period with a hidden state; used to tag markets as bull, bear or sideways</w:t>
            </w:r>
          </w:p>
        </w:tc>
      </w:tr>
    </w:tbl>
    <w:bookmarkEnd w:id="26"/>
    <w:bookmarkStart w:id="27" w:name="technical-indicators-the-models-inputs"/>
    <w:p>
      <w:pPr>
        <w:pStyle w:val="Heading2"/>
      </w:pPr>
      <w:r>
        <w:t xml:space="preserve">2.4 Technical indicators (the model’s inputs)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3796"/>
        <w:gridCol w:w="5841"/>
      </w:tblGrid>
      <w:tr>
        <w:tc>
          <w:tcPr>
            <w:tcW w:type="dxa" w:w="379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Term</w:t>
            </w:r>
          </w:p>
        </w:tc>
        <w:tc>
          <w:tcPr>
            <w:tcW w:type="dxa" w:w="584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Meaning</w:t>
            </w:r>
          </w:p>
        </w:tc>
      </w:tr>
      <w:tr>
        <w:tc>
          <w:tcPr>
            <w:tcW w:type="dxa" w:w="379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Moving average (SMA/EMA)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Average price over the last N days; smooths out noise</w:t>
            </w:r>
          </w:p>
        </w:tc>
      </w:tr>
      <w:tr>
        <w:tc>
          <w:tcPr>
            <w:tcW w:type="dxa" w:w="379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RSI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0–100 scale of recent gains vs losses; above 70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overbought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, below 30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oversold</w:t>
            </w:r>
            <w:r>
              <w:rPr>
                <w:rFonts w:ascii="Calibri" w:hAnsi="Calibri"/>
                <w:sz w:val="18"/>
              </w:rPr>
              <w:t xml:space="preserve">”</w:t>
            </w:r>
          </w:p>
        </w:tc>
      </w:tr>
      <w:tr>
        <w:tc>
          <w:tcPr>
            <w:tcW w:type="dxa" w:w="379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MACD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Difference between a fast and a slow moving average; signals trend changes</w:t>
            </w:r>
          </w:p>
        </w:tc>
      </w:tr>
      <w:tr>
        <w:tc>
          <w:tcPr>
            <w:tcW w:type="dxa" w:w="379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Bollinger Bands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band around the moving average; its width measures volatility</w:t>
            </w:r>
          </w:p>
        </w:tc>
      </w:tr>
      <w:tr>
        <w:tc>
          <w:tcPr>
            <w:tcW w:type="dxa" w:w="379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ATR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Average daily trading range; a volatility measure</w:t>
            </w:r>
          </w:p>
        </w:tc>
      </w:tr>
      <w:tr>
        <w:tc>
          <w:tcPr>
            <w:tcW w:type="dxa" w:w="379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Stochastic %K/%D, Williams %R, CCI, ROC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Momentum gauges: where today’s price sits in its recent range, and how fast it is moving</w:t>
            </w:r>
          </w:p>
        </w:tc>
      </w:tr>
      <w:tr>
        <w:tc>
          <w:tcPr>
            <w:tcW w:type="dxa" w:w="379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OBV, WAD, EOM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Volume-based gauges of buying vs selling pressure</w:t>
            </w:r>
          </w:p>
        </w:tc>
      </w:tr>
      <w:tr>
        <w:tc>
          <w:tcPr>
            <w:tcW w:type="dxa" w:w="379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Beta</w:t>
            </w:r>
          </w:p>
        </w:tc>
        <w:tc>
          <w:tcPr>
            <w:tcW w:type="dxa" w:w="584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How strongly a stock moves with the market as a whole</w:t>
            </w:r>
          </w:p>
        </w:tc>
      </w:tr>
    </w:tbl>
    <w:bookmarkEnd w:id="27"/>
    <w:bookmarkStart w:id="28" w:name="testing-and-explainability"/>
    <w:p>
      <w:pPr>
        <w:pStyle w:val="Heading2"/>
      </w:pPr>
      <w:r>
        <w:t xml:space="preserve">2.5 Testing and explainability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834"/>
        <w:gridCol w:w="6803"/>
      </w:tblGrid>
      <w:tr>
        <w:tc>
          <w:tcPr>
            <w:tcW w:type="dxa" w:w="2835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Term</w:t>
            </w:r>
          </w:p>
        </w:tc>
        <w:tc>
          <w:tcPr>
            <w:tcW w:type="dxa" w:w="680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Meaning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Look-ahead bias (leakage)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Accidentally letting the model see the future; makes results look great but fake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Walk-forward validation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Train on the past, predict the next period, roll forward, repeat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Random seed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The starting point for a model’s randomness; a different seed gives a slightly different model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SHAP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Splits a prediction into each feature’s contribution (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market volatility added 8 cents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). Exact for tree models, and identical every run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LIME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Explains one prediction by nudging inputs thousands of times and fitting a simple local model. Because the nudges are random,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re-running can give a different answer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Permutation importance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Scramble one feature and see how much accuracy drops. Measures what helps accuracy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Gini / MDI importance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tree’s built-in count of how useful each feature was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Faithfulness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Does the explanation match what the model really does?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Sanity check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Train a model on scrambled answers; its explanations should look nothing like the real model’s</w:t>
            </w:r>
          </w:p>
        </w:tc>
      </w:tr>
      <w:tr>
        <w:tc>
          <w:tcPr>
            <w:tcW w:type="dxa" w:w="283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Market regime</w:t>
            </w:r>
          </w:p>
        </w:tc>
        <w:tc>
          <w:tcPr>
            <w:tcW w:type="dxa" w:w="680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phase of the market: calm bull market, crash, recovery, bear market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Xd728bde25ea3ea086873b40fbb24dfe0cba8aba"/>
    <w:p>
      <w:pPr>
        <w:pStyle w:val="Heading1"/>
      </w:pPr>
      <w:r>
        <w:t xml:space="preserve">3. Literature review: five recent papers (2025–2026)</w:t>
      </w:r>
    </w:p>
    <w:bookmarkStart w:id="30" w:name="X22c2c76dd770b9f666d172c6ec34b3eddef25f7"/>
    <w:p>
      <w:pPr>
        <w:pStyle w:val="Heading2"/>
      </w:pPr>
      <w:r>
        <w:t xml:space="preserve">3.1 Indra et al. (2025),</w:t>
      </w:r>
      <w:r>
        <w:t xml:space="preserve"> </w:t>
      </w:r>
      <w:r>
        <w:rPr>
          <w:iCs/>
          <w:i/>
        </w:rPr>
        <w:t xml:space="preserve">Journal of Risk and Financial Management</w:t>
      </w:r>
      <w:r>
        <w:t xml:space="preserve"> </w:t>
      </w:r>
      <w:r>
        <w:t xml:space="preserve">18(12), 714</w:t>
      </w:r>
    </w:p>
    <w:p>
      <w:pPr>
        <w:pStyle w:val="FirstParagraph"/>
      </w:pPr>
      <w:r>
        <w:rPr>
          <w:bCs/>
          <w:b/>
        </w:rPr>
        <w:t xml:space="preserve">Authors:</w:t>
      </w:r>
      <w:r>
        <w:t xml:space="preserve"> </w:t>
      </w:r>
      <w:r>
        <w:t xml:space="preserve">Indra; Sudradjat Supian; Sukono; Riaman; Moch Panji Agung Saputra; Astrid Sulistya Azahra; Dede Irman Pirdaus (Universitas Padjadjaran, Indonesia).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they did:</w:t>
      </w:r>
      <w:r>
        <w:t xml:space="preserve"> </w:t>
      </w:r>
      <w:r>
        <w:t xml:space="preserve">tested whether better statistical accuracy actually earns money, by predicting stock returns and then simulating real trading with fees.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Yahoo Finance, January 2016 – September 2025.</w:t>
      </w:r>
      <w:r>
        <w:t xml:space="preserve"> </w:t>
      </w:r>
      <w:r>
        <w:rPr>
          <w:bCs/>
          <w:b/>
        </w:rPr>
        <w:t xml:space="preserve">Six Indonesian LQ45 stocks</w:t>
      </w:r>
      <w:r>
        <w:t xml:space="preserve"> </w:t>
      </w:r>
      <w:r>
        <w:t xml:space="preserve">(BBCA, BBRI, BMRI, ASII, ICBP, UNVR), about 2,420 trading days each.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Linear regression, Ridge,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 </w:t>
      </w:r>
      <w:r>
        <w:t xml:space="preserve">and XGBoost; targets were 5-day and 21-day returns; inputs were momentum, volatility, trend and volume indicators; expanding-window walk-forward validation; backtest including transaction costs;</w:t>
      </w:r>
      <w:r>
        <w:t xml:space="preserve"> </w:t>
      </w:r>
      <w:r>
        <w:rPr>
          <w:bCs/>
          <w:b/>
        </w:rPr>
        <w:t xml:space="preserve">SHAP</w:t>
      </w:r>
      <w:r>
        <w:t xml:space="preserve"> </w:t>
      </w:r>
      <w:r>
        <w:t xml:space="preserve">for interpretation.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Results and conclusion:</w:t>
      </w:r>
      <w:r>
        <w:t xml:space="preserve"> </w:t>
      </w:r>
      <w:r>
        <w:t xml:space="preserve">R² near zero or negative;</w:t>
      </w:r>
      <w:r>
        <w:t xml:space="preserve"> </w:t>
      </w:r>
      <w:r>
        <w:rPr>
          <w:bCs/>
          <w:b/>
        </w:rPr>
        <w:t xml:space="preserve">direction accuracy 49–54%</w:t>
      </w:r>
      <w:r>
        <w:t xml:space="preserve">; AUC 0.50–0.53. XGBoost had the lowest errors, but Ridge earned more (Sharpe 0.1232 vs −0.1935), and</w:t>
      </w:r>
      <w:r>
        <w:t xml:space="preserve"> </w:t>
      </w:r>
      <w:r>
        <w:rPr>
          <w:bCs/>
          <w:b/>
        </w:rPr>
        <w:t xml:space="preserve">every strategy lost to buy-and-hold</w:t>
      </w:r>
      <w:r>
        <w:t xml:space="preserve">. SHAP ranked volatility and volume highest, but all values were below 0.0004, which the authors call negligible. They conclude the market is</w:t>
      </w:r>
      <w:r>
        <w:t xml:space="preserve"> </w:t>
      </w:r>
      <w:r>
        <w:t xml:space="preserve">“</w:t>
      </w:r>
      <w:r>
        <w:t xml:space="preserve">semi-efficient</w:t>
      </w:r>
      <w:r>
        <w:t xml:space="preserve">”</w:t>
      </w:r>
      <w:r>
        <w:t xml:space="preserve">: patterns exist but do not survive real-world trading costs.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only</w:t>
      </w:r>
      <w:r>
        <w:t xml:space="preserve"> </w:t>
      </w:r>
      <w:r>
        <w:rPr>
          <w:bCs/>
          <w:b/>
        </w:rPr>
        <w:t xml:space="preserve">6 stocks</w:t>
      </w:r>
      <w:r>
        <w:t xml:space="preserve">; SHAP is computed once and reported, never tested for correctness or stability; no LIME; no analysis by market phase or sector.</w:t>
      </w:r>
    </w:p>
    <w:bookmarkEnd w:id="30"/>
    <w:bookmarkStart w:id="31" w:name="Xe10532b5427777e8156733a853f272d865715f6"/>
    <w:p>
      <w:pPr>
        <w:pStyle w:val="Heading2"/>
      </w:pPr>
      <w:r>
        <w:t xml:space="preserve">3.2 Lee &amp; Cai (2025),</w:t>
      </w:r>
      <w:r>
        <w:t xml:space="preserve"> </w:t>
      </w:r>
      <w:r>
        <w:rPr>
          <w:iCs/>
          <w:i/>
        </w:rPr>
        <w:t xml:space="preserve">Machine Learning with Applications</w:t>
      </w:r>
      <w:r>
        <w:t xml:space="preserve"> </w:t>
      </w:r>
      <w:r>
        <w:t xml:space="preserve">23, 100799</w:t>
      </w:r>
    </w:p>
    <w:p>
      <w:pPr>
        <w:pStyle w:val="FirstParagraph"/>
      </w:pPr>
      <w:r>
        <w:rPr>
          <w:bCs/>
          <w:b/>
        </w:rPr>
        <w:t xml:space="preserve">Authors:</w:t>
      </w:r>
      <w:r>
        <w:t xml:space="preserve"> </w:t>
      </w:r>
      <w:r>
        <w:t xml:space="preserve">Jeonghoe Lee, Lin Cai (Department of Statistics, Columbia University).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they did:</w:t>
      </w:r>
      <w:r>
        <w:t xml:space="preserve"> </w:t>
      </w:r>
      <w:r>
        <w:t xml:space="preserve">compared</w:t>
      </w:r>
      <w:r>
        <w:t xml:space="preserve"> </w:t>
      </w:r>
      <w:r>
        <w:rPr>
          <w:iCs/>
          <w:i/>
        </w:rPr>
        <w:t xml:space="preserve">methods of ranking features</w:t>
      </w:r>
      <w:r>
        <w:t xml:space="preserve">, to see which one best selects technical indicators for prediction.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Yahoo Finance, June 2019 – June 2024.</w:t>
      </w:r>
      <w:r>
        <w:t xml:space="preserve"> </w:t>
      </w:r>
      <w:r>
        <w:rPr>
          <w:bCs/>
          <w:b/>
        </w:rPr>
        <w:t xml:space="preserve">22 NASDAQ companies</w:t>
      </w:r>
      <w:r>
        <w:t xml:space="preserve">, two from each of the 11 sectors, 26,487 observations,</w:t>
      </w:r>
      <w:r>
        <w:t xml:space="preserve"> </w:t>
      </w:r>
      <w:r>
        <w:rPr>
          <w:bCs/>
          <w:b/>
        </w:rPr>
        <w:t xml:space="preserve">15 technical indicators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8 models (</w:t>
      </w:r>
      <w:r>
        <w:rPr>
          <w:bCs/>
          <w:b/>
        </w:rPr>
        <w:t xml:space="preserve">Random Forest</w:t>
      </w:r>
      <w:r>
        <w:t xml:space="preserve">, Gradient Boosting, XGBoost, MLP, RNN, LSTM, GRU, TCN) predicting the next closing price; rolling-window forecasting with scaling fitted inside each window to prevent leakage; compared</w:t>
      </w:r>
      <w:r>
        <w:t xml:space="preserve"> </w:t>
      </w:r>
      <w:r>
        <w:rPr>
          <w:bCs/>
          <w:b/>
        </w:rPr>
        <w:t xml:space="preserve">model-specific</w:t>
      </w:r>
      <w:r>
        <w:t xml:space="preserve"> </w:t>
      </w:r>
      <w:r>
        <w:t xml:space="preserve">importance (Gini, coefficients, gradient saliency) against</w:t>
      </w:r>
      <w:r>
        <w:t xml:space="preserve"> </w:t>
      </w:r>
      <w:r>
        <w:rPr>
          <w:bCs/>
          <w:b/>
        </w:rPr>
        <w:t xml:space="preserve">model-agnostic</w:t>
      </w:r>
      <w:r>
        <w:t xml:space="preserve"> </w:t>
      </w:r>
      <w:r>
        <w:t xml:space="preserve">importance (</w:t>
      </w:r>
      <w:r>
        <w:rPr>
          <w:bCs/>
          <w:b/>
        </w:rPr>
        <w:t xml:space="preserve">SHAP</w:t>
      </w:r>
      <w:r>
        <w:t xml:space="preserve">,</w:t>
      </w:r>
      <w:r>
        <w:t xml:space="preserve"> </w:t>
      </w:r>
      <w:r>
        <w:rPr>
          <w:bCs/>
          <w:b/>
        </w:rPr>
        <w:t xml:space="preserve">permutation importance</w:t>
      </w:r>
      <w:r>
        <w:t xml:space="preserve">); kept the top-5 features, retrained, and measured R² and MAPE.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Results and conclusion:</w:t>
      </w:r>
      <w:r>
        <w:t xml:space="preserve"> </w:t>
      </w:r>
      <w:r>
        <w:t xml:space="preserve">tree models always selected the same five indicators (Williams %R, ROC, EOM, WAD, SMA), while neural models selected different ones. Best results reached R² ≈ 0.93. Their headline conclusion:</w:t>
      </w:r>
      <w:r>
        <w:t xml:space="preserve"> </w:t>
      </w:r>
      <w:r>
        <w:rPr>
          <w:bCs/>
          <w:b/>
        </w:rPr>
        <w:t xml:space="preserve">model-specific methods gave the most stable rankings, permutation importance was next, and SHAP was the least stable.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they test whether ranking methods</w:t>
      </w:r>
      <w:r>
        <w:t xml:space="preserve"> </w:t>
      </w:r>
      <w:r>
        <w:rPr>
          <w:bCs/>
          <w:b/>
        </w:rPr>
        <w:t xml:space="preserve">agree with each other</w:t>
      </w:r>
      <w:r>
        <w:t xml:space="preserve">, not whether a ranking is</w:t>
      </w:r>
      <w:r>
        <w:t xml:space="preserve"> </w:t>
      </w:r>
      <w:r>
        <w:rPr>
          <w:bCs/>
          <w:b/>
        </w:rPr>
        <w:t xml:space="preserve">true to the model</w:t>
      </w:r>
      <w:r>
        <w:t xml:space="preserve"> </w:t>
      </w:r>
      <w:r>
        <w:t xml:space="preserve">— there is no test that the top-ranked features actually drive predictions. No LIME, no per-prediction explanations, and R² is measured on price levels with no naive benchmark.</w:t>
      </w:r>
    </w:p>
    <w:bookmarkEnd w:id="31"/>
    <w:bookmarkStart w:id="32" w:name="Xe24b9b8f0eb0126a7e000730822839439454be9"/>
    <w:p>
      <w:pPr>
        <w:pStyle w:val="Heading2"/>
      </w:pPr>
      <w:r>
        <w:t xml:space="preserve">3.3 Manikrao et al. (2025),</w:t>
      </w:r>
      <w:r>
        <w:t xml:space="preserve"> </w:t>
      </w:r>
      <w:r>
        <w:rPr>
          <w:iCs/>
          <w:i/>
        </w:rPr>
        <w:t xml:space="preserve">Journal of Computational and Cognitive Engineering</w:t>
      </w:r>
      <w:r>
        <w:t xml:space="preserve"> </w:t>
      </w:r>
      <w:r>
        <w:t xml:space="preserve">5(3), 410–424</w:t>
      </w:r>
    </w:p>
    <w:p>
      <w:pPr>
        <w:pStyle w:val="FirstParagraph"/>
      </w:pPr>
      <w:r>
        <w:rPr>
          <w:bCs/>
          <w:b/>
        </w:rPr>
        <w:t xml:space="preserve">Authors:</w:t>
      </w:r>
      <w:r>
        <w:t xml:space="preserve"> </w:t>
      </w:r>
      <w:r>
        <w:t xml:space="preserve">Kangana Wallapure Manikrao; Shridhar Allagi; Wai Yie Leong; Mahantesh Laddi.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they did:</w:t>
      </w:r>
      <w:r>
        <w:t xml:space="preserve"> </w:t>
      </w:r>
      <w:r>
        <w:t xml:space="preserve">built an accurate deep-learning price predictor and explained it with</w:t>
      </w:r>
      <w:r>
        <w:t xml:space="preserve"> </w:t>
      </w:r>
      <w:r>
        <w:rPr>
          <w:bCs/>
          <w:b/>
        </w:rPr>
        <w:t xml:space="preserve">both SHAP and LIME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Yahoo Finance,</w:t>
      </w:r>
      <w:r>
        <w:t xml:space="preserve"> </w:t>
      </w:r>
      <w:r>
        <w:rPr>
          <w:bCs/>
          <w:b/>
        </w:rPr>
        <w:t xml:space="preserve">Apple (AAPL) only</w:t>
      </w:r>
      <w:r>
        <w:t xml:space="preserve">, January 2020 – December 2024, daily prices plus a daily sentiment index built from news and Twitter.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LSTM (two layers, 64 and 32 units) with multiplicative attention; a hybrid MAE + MAPE loss; walk-forward validation; 25 independent runs; compared against XGBoost,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, plain LSTM, Temporal Fusion Transformer and Informer.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Results and conclusion:</w:t>
      </w:r>
      <w:r>
        <w:t xml:space="preserve"> </w:t>
      </w:r>
      <w:r>
        <w:t xml:space="preserve">RMSE 1.56, MAE 1.08,</w:t>
      </w:r>
      <w:r>
        <w:t xml:space="preserve"> </w:t>
      </w:r>
      <w:r>
        <w:rPr>
          <w:bCs/>
          <w:b/>
        </w:rPr>
        <w:t xml:space="preserve">R² 0.88</w:t>
      </w:r>
      <w:r>
        <w:t xml:space="preserve">, beating all baselines. SHAP showed the day’s low, high and open prices dominate (a second analysis ranked RSI 0.28 and MACD 0.22 highest, sentiment 0.19); LIME explained individual predictions, for example RSI 67 contributing +0.9.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rPr>
          <w:bCs/>
          <w:b/>
        </w:rPr>
        <w:t xml:space="preserve">a single stock</w:t>
      </w:r>
      <w:r>
        <w:t xml:space="preserve">, which the authors acknowledge; SHAP and LIME are used side by side but</w:t>
      </w:r>
      <w:r>
        <w:t xml:space="preserve"> </w:t>
      </w:r>
      <w:r>
        <w:rPr>
          <w:bCs/>
          <w:b/>
        </w:rPr>
        <w:t xml:space="preserve">never compared with each other</w:t>
      </w:r>
      <w:r>
        <w:t xml:space="preserve">; LIME is run once per case, so its instability cannot appear; neither explanation is validated; R² is reported with no naive benchmark.</w:t>
      </w:r>
    </w:p>
    <w:bookmarkEnd w:id="32"/>
    <w:bookmarkStart w:id="33" w:name="pagliaro-2026-electronics-156-1334"/>
    <w:p>
      <w:pPr>
        <w:pStyle w:val="Heading2"/>
      </w:pPr>
      <w:r>
        <w:t xml:space="preserve">3.4 Pagliaro (2026),</w:t>
      </w:r>
      <w:r>
        <w:t xml:space="preserve"> </w:t>
      </w:r>
      <w:r>
        <w:rPr>
          <w:iCs/>
          <w:i/>
        </w:rPr>
        <w:t xml:space="preserve">Electronics</w:t>
      </w:r>
      <w:r>
        <w:t xml:space="preserve"> </w:t>
      </w:r>
      <w:r>
        <w:t xml:space="preserve">15(6), 1334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Antonio Pagliaro (INAF Palermo, Italy).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they did:</w:t>
      </w:r>
      <w:r>
        <w:t xml:space="preserve"> </w:t>
      </w:r>
      <w:r>
        <w:t xml:space="preserve">built a tree model that changes its behaviour according to the market phase, validated it rigorously, and used SHAP to show how its reasoning shifts.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rPr>
          <w:bCs/>
          <w:b/>
        </w:rPr>
        <w:t xml:space="preserve">51 NASDAQ-100 stocks</w:t>
      </w:r>
      <w:r>
        <w:t xml:space="preserve">, January 2015 – February 2026 (about 2,791 days each), plus 10 macroeconomic and cross-asset series (VIX, gold, Bitcoin, high-yield and government bonds, the dollar index).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rPr>
          <w:bCs/>
          <w:b/>
        </w:rPr>
        <w:t xml:space="preserve">LightGBM</w:t>
      </w:r>
      <w:r>
        <w:t xml:space="preserve"> </w:t>
      </w:r>
      <w:r>
        <w:t xml:space="preserve">predicting whether the 10-day forward return is positive, using 63 normalised features; market regimes (bull, sideways, bear) detected by a</w:t>
      </w:r>
      <w:r>
        <w:t xml:space="preserve"> </w:t>
      </w:r>
      <w:r>
        <w:rPr>
          <w:bCs/>
          <w:b/>
        </w:rPr>
        <w:t xml:space="preserve">rolling Hidden Markov Model</w:t>
      </w:r>
      <w:r>
        <w:t xml:space="preserve"> </w:t>
      </w:r>
      <w:r>
        <w:t xml:space="preserve">refitted every 63 days to avoid look-ahead bias; walk-forward validation with 100 folds and a 10-day purge; a trading backtest with costs;</w:t>
      </w:r>
      <w:r>
        <w:t xml:space="preserve"> </w:t>
      </w:r>
      <w:r>
        <w:rPr>
          <w:bCs/>
          <w:b/>
        </w:rPr>
        <w:t xml:space="preserve">SHAP (TreeExplainer)</w:t>
      </w:r>
      <w:r>
        <w:t xml:space="preserve"> </w:t>
      </w:r>
      <w:r>
        <w:t xml:space="preserve">for explanations.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Results and conclusion:</w:t>
      </w:r>
      <w:r>
        <w:t xml:space="preserve"> </w:t>
      </w:r>
      <w:r>
        <w:t xml:space="preserve">portfolio Sharpe 1.184 and out-of-fold accuracy 53.8%, with honest negative findings: poor probability calibration, a</w:t>
      </w:r>
      <w:r>
        <w:t xml:space="preserve"> </w:t>
      </w:r>
      <w:r>
        <w:rPr>
          <w:bCs/>
          <w:b/>
        </w:rPr>
        <w:t xml:space="preserve">Deflated Sharpe of 0.686 (not significant)</w:t>
      </w:r>
      <w:r>
        <w:t xml:space="preserve">, and only</w:t>
      </w:r>
      <w:r>
        <w:t xml:space="preserve"> </w:t>
      </w:r>
      <w:r>
        <w:rPr>
          <w:bCs/>
          <w:b/>
        </w:rPr>
        <w:t xml:space="preserve">9 of 51 stocks (17.6%) beating buy-and-hold</w:t>
      </w:r>
      <w:r>
        <w:t xml:space="preserve">. Its key XAI finding: the model’s</w:t>
      </w:r>
      <w:r>
        <w:t xml:space="preserve"> </w:t>
      </w:r>
      <w:r>
        <w:rPr>
          <w:bCs/>
          <w:b/>
        </w:rPr>
        <w:t xml:space="preserve">decision logic changes by regime</w:t>
      </w:r>
      <w:r>
        <w:t xml:space="preserve"> </w:t>
      </w:r>
      <w:r>
        <w:t xml:space="preserve">— distance from the 200-day average dominates in bear markets (mean |SHAP| 0.498), while the yield curve (0.434) and market beta (0.290) dominate in bull markets.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the regime comparison is</w:t>
      </w:r>
      <w:r>
        <w:t xml:space="preserve"> </w:t>
      </w:r>
      <w:r>
        <w:rPr>
          <w:bCs/>
          <w:b/>
        </w:rPr>
        <w:t xml:space="preserve">descriptive and based on a single stock (AMD)</w:t>
      </w:r>
      <w:r>
        <w:t xml:space="preserve">, with</w:t>
      </w:r>
      <w:r>
        <w:t xml:space="preserve"> </w:t>
      </w:r>
      <w:r>
        <w:rPr>
          <w:bCs/>
          <w:b/>
        </w:rPr>
        <w:t xml:space="preserve">no statistical test</w:t>
      </w:r>
      <w:r>
        <w:t xml:space="preserve"> </w:t>
      </w:r>
      <w:r>
        <w:t xml:space="preserve">that the differences are real; no faithfulness or stability check; no LIME; the author also acknowledges survivorship bias.</w:t>
      </w:r>
    </w:p>
    <w:bookmarkEnd w:id="33"/>
    <w:bookmarkStart w:id="34" w:name="song-et-al.-2026-electronics-1517-3942"/>
    <w:p>
      <w:pPr>
        <w:pStyle w:val="Heading2"/>
      </w:pPr>
      <w:r>
        <w:t xml:space="preserve">3.5 Song et al. (2026),</w:t>
      </w:r>
      <w:r>
        <w:t xml:space="preserve"> </w:t>
      </w:r>
      <w:r>
        <w:rPr>
          <w:iCs/>
          <w:i/>
        </w:rPr>
        <w:t xml:space="preserve">Electronics</w:t>
      </w:r>
      <w:r>
        <w:t xml:space="preserve"> </w:t>
      </w:r>
      <w:r>
        <w:t xml:space="preserve">15(17), 3942</w:t>
      </w:r>
    </w:p>
    <w:p>
      <w:pPr>
        <w:pStyle w:val="FirstParagraph"/>
      </w:pPr>
      <w:r>
        <w:rPr>
          <w:bCs/>
          <w:b/>
        </w:rPr>
        <w:t xml:space="preserve">Authors:</w:t>
      </w:r>
      <w:r>
        <w:t xml:space="preserve"> </w:t>
      </w:r>
      <w:r>
        <w:t xml:space="preserve">Yoojeong Song; Woojin Cho; Sang Ik Han; Juhan Yoo (Republic of Korea).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they did:</w:t>
      </w:r>
      <w:r>
        <w:t xml:space="preserve"> </w:t>
      </w:r>
      <w:r>
        <w:t xml:space="preserve">tested whether attention actually helps stock prediction, and whether explanations taken from attention weights are reproducible.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rPr>
          <w:bCs/>
          <w:b/>
        </w:rPr>
        <w:t xml:space="preserve">10 CSI 300 and 10 S&amp;P 500 stocks</w:t>
      </w:r>
      <w:r>
        <w:t xml:space="preserve">, May 2016 – April 2023,</w:t>
      </w:r>
      <w:r>
        <w:t xml:space="preserve"> </w:t>
      </w:r>
      <w:r>
        <w:rPr>
          <w:bCs/>
          <w:b/>
        </w:rPr>
        <w:t xml:space="preserve">111 features</w:t>
      </w:r>
      <w:r>
        <w:t xml:space="preserve"> </w:t>
      </w:r>
      <w:r>
        <w:t xml:space="preserve">(5 raw price/volume series plus 106 technical indicators).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predicting the direction of the 5-day forward return with a strictly forward-looking label, a purged chronological split and early stopping;</w:t>
      </w:r>
      <w:r>
        <w:t xml:space="preserve"> </w:t>
      </w:r>
      <w:r>
        <w:rPr>
          <w:bCs/>
          <w:b/>
        </w:rPr>
        <w:t xml:space="preserve">16 model configurations × 20 stocks × 5 random seeds = 1,600 runs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Results and conclusion:</w:t>
      </w:r>
      <w:r>
        <w:t xml:space="preserve"> </w:t>
      </w:r>
      <w:r>
        <w:t xml:space="preserve">one way of adding attention collapsed to predicting a single class in every run; otherwise no model family was significantly more accurate (about 51–52%). The key finding: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most important features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identified by different random seeds shared almost nothing</w:t>
      </w:r>
      <w:r>
        <w:t xml:space="preserve"> </w:t>
      </w:r>
      <w:r>
        <w:t xml:space="preserve">— pairwise overlap averaged 0.046 and rank correlation was effectively zero (0.006). The explanations were seed noise, because the models reached their best validation loss after a median of one epoch, leaving attention weights near their random starting values.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Gap:</w:t>
      </w:r>
      <w:r>
        <w:t xml:space="preserve"> </w:t>
      </w:r>
      <w:r>
        <w:t xml:space="preserve">this tests</w:t>
      </w:r>
      <w:r>
        <w:t xml:space="preserve"> </w:t>
      </w:r>
      <w:r>
        <w:rPr>
          <w:bCs/>
          <w:b/>
        </w:rPr>
        <w:t xml:space="preserve">attention weights inside neural networks</w:t>
      </w:r>
      <w:r>
        <w:t xml:space="preserve">, not SHAP or LIME on tree models; 20 stocks; direction classification rather than price prediction.</w:t>
      </w:r>
    </w:p>
    <w:bookmarkEnd w:id="34"/>
    <w:bookmarkStart w:id="35" w:name="summary-of-the-five-papers"/>
    <w:p>
      <w:pPr>
        <w:pStyle w:val="Heading2"/>
      </w:pPr>
      <w:r>
        <w:t xml:space="preserve">3.6 Summary of the five papers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679"/>
        <w:gridCol w:w="934"/>
        <w:gridCol w:w="1655"/>
        <w:gridCol w:w="1401"/>
        <w:gridCol w:w="976"/>
        <w:gridCol w:w="2207"/>
        <w:gridCol w:w="1783"/>
      </w:tblGrid>
      <w:tr>
        <w:tc>
          <w:tcPr>
            <w:tcW w:type="dxa" w:w="679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#</w:t>
            </w:r>
          </w:p>
        </w:tc>
        <w:tc>
          <w:tcPr>
            <w:tcW w:type="dxa" w:w="934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Authors (year)</w:t>
            </w:r>
          </w:p>
        </w:tc>
        <w:tc>
          <w:tcPr>
            <w:tcW w:type="dxa" w:w="1656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Dataset</w:t>
            </w:r>
          </w:p>
        </w:tc>
        <w:tc>
          <w:tcPr>
            <w:tcW w:type="dxa" w:w="140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Models</w:t>
            </w:r>
          </w:p>
        </w:tc>
        <w:tc>
          <w:tcPr>
            <w:tcW w:type="dxa" w:w="97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XAI used</w:t>
            </w:r>
          </w:p>
        </w:tc>
        <w:tc>
          <w:tcPr>
            <w:tcW w:type="dxa" w:w="220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Main conclusion</w:t>
            </w:r>
          </w:p>
        </w:tc>
        <w:tc>
          <w:tcPr>
            <w:tcW w:type="dxa" w:w="178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Gap</w:t>
            </w:r>
          </w:p>
        </w:tc>
      </w:tr>
      <w:tr>
        <w:tc>
          <w:tcPr>
            <w:tcW w:type="dxa" w:w="6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Indra et al. (2025)</w:t>
            </w:r>
          </w:p>
        </w:tc>
        <w:tc>
          <w:tcPr>
            <w:tcW w:type="dxa" w:w="16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 Indonesian stocks, 2016–2025</w:t>
            </w:r>
          </w:p>
        </w:tc>
        <w:tc>
          <w:tcPr>
            <w:tcW w:type="dxa" w:w="140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Linear, Ridge, RF, XGBoost</w:t>
            </w:r>
          </w:p>
        </w:tc>
        <w:tc>
          <w:tcPr>
            <w:tcW w:type="dxa" w:w="9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</w:t>
            </w:r>
          </w:p>
        </w:tc>
        <w:tc>
          <w:tcPr>
            <w:tcW w:type="dxa" w:w="22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Accuracy 49–54%; all strategies lose to buy-and-hold</w:t>
            </w:r>
          </w:p>
        </w:tc>
        <w:tc>
          <w:tcPr>
            <w:tcW w:type="dxa" w:w="17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 stocks; SHAP never validated</w:t>
            </w:r>
          </w:p>
        </w:tc>
      </w:tr>
      <w:tr>
        <w:tc>
          <w:tcPr>
            <w:tcW w:type="dxa" w:w="6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type="dxa" w:w="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Lee &amp; Cai (2025)</w:t>
            </w:r>
          </w:p>
        </w:tc>
        <w:tc>
          <w:tcPr>
            <w:tcW w:type="dxa" w:w="16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22 NASDAQ stocks, 11 sectors, 2019–2024</w:t>
            </w:r>
          </w:p>
        </w:tc>
        <w:tc>
          <w:tcPr>
            <w:tcW w:type="dxa" w:w="140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RF, GB, XGBoost, 5 neural models</w:t>
            </w:r>
          </w:p>
        </w:tc>
        <w:tc>
          <w:tcPr>
            <w:tcW w:type="dxa" w:w="9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SHAP, permutation, Gini</w:t>
            </w:r>
          </w:p>
        </w:tc>
        <w:tc>
          <w:tcPr>
            <w:tcW w:type="dxa" w:w="22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 is the least stable ranking method</w:t>
            </w:r>
          </w:p>
        </w:tc>
        <w:tc>
          <w:tcPr>
            <w:tcW w:type="dxa" w:w="17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Tests agreement, not correctness; no LIME</w:t>
            </w:r>
          </w:p>
        </w:tc>
      </w:tr>
      <w:tr>
        <w:tc>
          <w:tcPr>
            <w:tcW w:type="dxa" w:w="6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type="dxa" w:w="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Manikrao et al. (2025)</w:t>
            </w:r>
          </w:p>
        </w:tc>
        <w:tc>
          <w:tcPr>
            <w:tcW w:type="dxa" w:w="16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Apple only, 2020–2024</w:t>
            </w:r>
          </w:p>
        </w:tc>
        <w:tc>
          <w:tcPr>
            <w:tcW w:type="dxa" w:w="140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LSTM + attention</w:t>
            </w:r>
          </w:p>
        </w:tc>
        <w:tc>
          <w:tcPr>
            <w:tcW w:type="dxa" w:w="9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 and LIME</w:t>
            </w:r>
          </w:p>
        </w:tc>
        <w:tc>
          <w:tcPr>
            <w:tcW w:type="dxa" w:w="22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R² 0.88 with interpretable outputs</w:t>
            </w:r>
          </w:p>
        </w:tc>
        <w:tc>
          <w:tcPr>
            <w:tcW w:type="dxa" w:w="17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 stock; SHAP and LIME never compared</w:t>
            </w:r>
          </w:p>
        </w:tc>
      </w:tr>
      <w:tr>
        <w:tc>
          <w:tcPr>
            <w:tcW w:type="dxa" w:w="6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type="dxa" w:w="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Pagliaro (2026)</w:t>
            </w:r>
          </w:p>
        </w:tc>
        <w:tc>
          <w:tcPr>
            <w:tcW w:type="dxa" w:w="16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 NASDAQ-100 stocks, 2015–2026</w:t>
            </w:r>
          </w:p>
        </w:tc>
        <w:tc>
          <w:tcPr>
            <w:tcW w:type="dxa" w:w="140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LightGBM + HMM regimes</w:t>
            </w:r>
          </w:p>
        </w:tc>
        <w:tc>
          <w:tcPr>
            <w:tcW w:type="dxa" w:w="9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</w:t>
            </w:r>
          </w:p>
        </w:tc>
        <w:tc>
          <w:tcPr>
            <w:tcW w:type="dxa" w:w="22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Model’s reasoning changes by market phase</w:t>
            </w:r>
          </w:p>
        </w:tc>
        <w:tc>
          <w:tcPr>
            <w:tcW w:type="dxa" w:w="17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Descriptive, 1 stock, no significance test</w:t>
            </w:r>
          </w:p>
        </w:tc>
      </w:tr>
      <w:tr>
        <w:tc>
          <w:tcPr>
            <w:tcW w:type="dxa" w:w="679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type="dxa" w:w="934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Song et al. (2026)</w:t>
            </w:r>
          </w:p>
        </w:tc>
        <w:tc>
          <w:tcPr>
            <w:tcW w:type="dxa" w:w="1656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 stocks (CSI 300, S&amp;P 500), 2016–2023</w:t>
            </w:r>
          </w:p>
        </w:tc>
        <w:tc>
          <w:tcPr>
            <w:tcW w:type="dxa" w:w="140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MLP, attention, LSTM, Transformer</w:t>
            </w:r>
          </w:p>
        </w:tc>
        <w:tc>
          <w:tcPr>
            <w:tcW w:type="dxa" w:w="97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Attention weights</w:t>
            </w:r>
          </w:p>
        </w:tc>
        <w:tc>
          <w:tcPr>
            <w:tcW w:type="dxa" w:w="220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Explanations change completely with the random seed</w:t>
            </w:r>
          </w:p>
        </w:tc>
        <w:tc>
          <w:tcPr>
            <w:tcW w:type="dxa" w:w="178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Attention only, not SHAP or LIME on trees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the-research-gap"/>
    <w:p>
      <w:pPr>
        <w:pStyle w:val="Heading1"/>
      </w:pPr>
      <w:r>
        <w:t xml:space="preserve">4. The research gap</w:t>
      </w:r>
    </w:p>
    <w:bookmarkStart w:id="37" w:name="evidence"/>
    <w:p>
      <w:pPr>
        <w:pStyle w:val="Heading2"/>
      </w:pPr>
      <w:r>
        <w:t xml:space="preserve">4.1 Evidence</w:t>
      </w:r>
    </w:p>
    <w:p>
      <w:pPr>
        <w:pStyle w:val="FirstParagraph"/>
      </w:pPr>
      <w:r>
        <w:t xml:space="preserve">The five PDFs were searched directly for the relevant terms: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faithful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0 occurrences.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deletion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0 occurrences.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sanity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0 occurrences</w:t>
      </w:r>
      <w:r>
        <w:t xml:space="preserve">, across all five papers. No paper tests whether removing the features an explanation ranks highest actually changes the prediction.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paper uses a shuffled-label control model.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LIME appears only in paper 3</w:t>
      </w:r>
      <w:r>
        <w:t xml:space="preserve">, where it is never compared with that paper’s own SHAP results.</w:t>
      </w:r>
    </w:p>
    <w:bookmarkEnd w:id="37"/>
    <w:bookmarkStart w:id="38" w:name="what-is-already-covered-and-what-is-not"/>
    <w:p>
      <w:pPr>
        <w:pStyle w:val="Heading2"/>
      </w:pPr>
      <w:r>
        <w:t xml:space="preserve">4.2 What is already covered, and what is not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1823"/>
        <w:gridCol w:w="3907"/>
        <w:gridCol w:w="3907"/>
      </w:tblGrid>
      <w:tr>
        <w:tc>
          <w:tcPr>
            <w:tcW w:type="dxa" w:w="1823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Check</w:t>
            </w:r>
          </w:p>
        </w:tc>
        <w:tc>
          <w:tcPr>
            <w:tcW w:type="dxa" w:w="390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Already done by</w:t>
            </w:r>
          </w:p>
        </w:tc>
        <w:tc>
          <w:tcPr>
            <w:tcW w:type="dxa" w:w="390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Still untested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Comparing explainers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Paper 2 (model-specific vs SHAP vs permutation)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 vs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LIME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 the same forecasts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Stability of explanations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Paper 2 (across stocks, sectors, windows); Paper 5 (across seeds, attention only)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Seeds and retraining 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SHAP on a tree model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LIME run-to-run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Explanations by market phase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Paper 4 (descriptive, 1 stock)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Statistical testing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of the difference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Faithfulness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nobody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Fully open</w:t>
            </w:r>
          </w:p>
        </w:tc>
      </w:tr>
      <w:tr>
        <w:tc>
          <w:tcPr>
            <w:tcW w:type="dxa" w:w="182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No-signal control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nobody</w:t>
            </w:r>
          </w:p>
        </w:tc>
        <w:tc>
          <w:tcPr>
            <w:tcW w:type="dxa" w:w="3907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Fully open</w:t>
            </w:r>
          </w:p>
        </w:tc>
      </w:tr>
    </w:tbl>
    <w:bookmarkEnd w:id="38"/>
    <w:bookmarkStart w:id="39" w:name="gap-statement"/>
    <w:p>
      <w:pPr>
        <w:pStyle w:val="Heading2"/>
      </w:pPr>
      <w:r>
        <w:t xml:space="preserve">4.3 Gap statement</w:t>
      </w:r>
    </w:p>
    <w:p>
      <w:pPr>
        <w:pStyle w:val="BlockText"/>
      </w:pPr>
      <w:r>
        <w:rPr>
          <w:bCs/>
          <w:b/>
        </w:rPr>
        <w:t xml:space="preserve">Recent work has begun to question stock-prediction explanations: Lee and Cai (2025) find SHAP the least stable ranking method, Song et al. (2026) find that neural-network explanations change entirely with the random seed, and Pagliaro (2026) shows a model’s reasoning differs across market regimes. All of this measures whether explanations agree with one another. No paper tests whether an explanation is faithful — whether the features it ranks highest are the ones actually driving the prediction — and none compares against a model trained on meaningless labels. No paper compares SHAP against LIME on the same forecasts. This project adds those missing tests, on 474 S&amp;P 500 stocks, with accuracy benchmarked against a naive forecast.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what-this-project-does"/>
    <w:p>
      <w:pPr>
        <w:pStyle w:val="Heading1"/>
      </w:pPr>
      <w:r>
        <w:t xml:space="preserve">5. What this project does</w:t>
      </w:r>
    </w:p>
    <w:bookmarkStart w:id="41" w:name="scale-compared-with-the-reviewed-papers"/>
    <w:p>
      <w:pPr>
        <w:pStyle w:val="Heading2"/>
      </w:pPr>
      <w:r>
        <w:t xml:space="preserve">5.1 Scale, compared with the reviewed papers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Paper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Stocks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Manikrao et al. (2025)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Indra et al. (2025)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Song et al. (2026)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20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Lee &amp; Cai (2025)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22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Pagliaro (2026)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This project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474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474 S&amp;P 500 stocks</w:t>
      </w:r>
      <w:r>
        <w:t xml:space="preserve">, all 11 GICS sectors (21–67 stocks each), May 2012 – May 2022.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1,097,165 stock-days</w:t>
      </w:r>
      <w:r>
        <w:t xml:space="preserve"> </w:t>
      </w:r>
      <w:r>
        <w:t xml:space="preserve">after cleaning;</w:t>
      </w:r>
      <w:r>
        <w:t xml:space="preserve"> </w:t>
      </w:r>
      <w:r>
        <w:rPr>
          <w:bCs/>
          <w:b/>
        </w:rPr>
        <w:t xml:space="preserve">405,545 forecasts</w:t>
      </w:r>
      <w:r>
        <w:t xml:space="preserve"> </w:t>
      </w:r>
      <w:r>
        <w:t xml:space="preserve">in the test period (2019 – May 2022).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38,183 forecasts explained with SHAP</w:t>
      </w:r>
      <w:r>
        <w:t xml:space="preserve">; 804 forecasts explained with LIME five times each.</w:t>
      </w:r>
    </w:p>
    <w:bookmarkEnd w:id="41"/>
    <w:bookmarkStart w:id="42" w:name="the-model"/>
    <w:p>
      <w:pPr>
        <w:pStyle w:val="Heading2"/>
      </w:pPr>
      <w:r>
        <w:t xml:space="preserve">5.2 The model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 </w:t>
      </w:r>
      <w:r>
        <w:t xml:space="preserve">(300 trees) predicts the next-day return; the price forecast is today’s close × the predicted change.</w:t>
      </w:r>
    </w:p>
    <w:p>
      <w:pPr>
        <w:numPr>
          <w:ilvl w:val="0"/>
          <w:numId w:val="1010"/>
        </w:numPr>
        <w:pStyle w:val="Compact"/>
      </w:pPr>
      <w:r>
        <w:t xml:space="preserve">32 features in 7 families: past returns, trend, oscillators, volatility, volume, candle shape, and market/sector context.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Walk-forward testing:</w:t>
      </w:r>
      <w:r>
        <w:t xml:space="preserve"> </w:t>
      </w:r>
      <w:r>
        <w:t xml:space="preserve">the model is retrained each January on all earlier data, then forecasts that year. The test period is never used for any design decision.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Baselines:</w:t>
      </w:r>
      <w:r>
        <w:t xml:space="preserve"> </w:t>
      </w:r>
      <w:r>
        <w:t xml:space="preserve">naive persistence, historical drift, Ridge regression, a Random Forest trained on raw price levels, and a Random Forest classifier for direction.</w:t>
      </w:r>
    </w:p>
    <w:bookmarkEnd w:id="42"/>
    <w:bookmarkStart w:id="43" w:name="X550dbde9ec8e1d331a6c99af60267c18159f5f7"/>
    <w:p>
      <w:pPr>
        <w:pStyle w:val="Heading2"/>
      </w:pPr>
      <w:r>
        <w:t xml:space="preserve">5.3 How faithfulness is tested (the central new test)</w:t>
      </w:r>
    </w:p>
    <w:p>
      <w:pPr>
        <w:pStyle w:val="FirstParagraph"/>
      </w:pPr>
      <w:r>
        <w:t xml:space="preserve">For one forecast:</w:t>
      </w:r>
    </w:p>
    <w:p>
      <w:pPr>
        <w:numPr>
          <w:ilvl w:val="0"/>
          <w:numId w:val="1011"/>
        </w:numPr>
        <w:pStyle w:val="Compact"/>
      </w:pPr>
      <w:r>
        <w:t xml:space="preserve">Record the model’s prediction.</w:t>
      </w:r>
    </w:p>
    <w:p>
      <w:pPr>
        <w:numPr>
          <w:ilvl w:val="0"/>
          <w:numId w:val="1011"/>
        </w:numPr>
        <w:pStyle w:val="Compact"/>
      </w:pPr>
      <w:r>
        <w:t xml:space="preserve">Ask SHAP which features contributed most</w:t>
      </w:r>
      <w:r>
        <w:t xml:space="preserve"> </w:t>
      </w:r>
      <w:r>
        <w:rPr>
          <w:bCs/>
          <w:b/>
        </w:rPr>
        <w:t xml:space="preserve">to that specific prediction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Replace the top-ranked feature’s value with a value from a random training day, so the model still runs but that feature carries no real information; repeat with 32 different replacement values and average.</w:t>
      </w:r>
    </w:p>
    <w:p>
      <w:pPr>
        <w:numPr>
          <w:ilvl w:val="0"/>
          <w:numId w:val="1011"/>
        </w:numPr>
        <w:pStyle w:val="Compact"/>
      </w:pPr>
      <w:r>
        <w:t xml:space="preserve">Re-run the model and measure how far the forecast moved.</w:t>
      </w:r>
    </w:p>
    <w:p>
      <w:pPr>
        <w:numPr>
          <w:ilvl w:val="0"/>
          <w:numId w:val="1011"/>
        </w:numPr>
        <w:pStyle w:val="Compact"/>
      </w:pPr>
      <w:r>
        <w:t xml:space="preserve">Repeat for the top 2, 4, 8, 16 and all 32 features.</w:t>
      </w:r>
    </w:p>
    <w:p>
      <w:pPr>
        <w:numPr>
          <w:ilvl w:val="0"/>
          <w:numId w:val="1011"/>
        </w:numPr>
        <w:pStyle w:val="Compact"/>
      </w:pPr>
      <w:r>
        <w:t xml:space="preserve">Repeat the whole procedure removing features</w:t>
      </w:r>
      <w:r>
        <w:t xml:space="preserve"> </w:t>
      </w:r>
      <w:r>
        <w:rPr>
          <w:bCs/>
          <w:b/>
        </w:rPr>
        <w:t xml:space="preserve">in random order</w:t>
      </w:r>
      <w:r>
        <w:t xml:space="preserve"> </w:t>
      </w:r>
      <w:r>
        <w:t xml:space="preserve">— the control.</w:t>
      </w:r>
    </w:p>
    <w:p>
      <w:pPr>
        <w:numPr>
          <w:ilvl w:val="0"/>
          <w:numId w:val="1011"/>
        </w:numPr>
        <w:pStyle w:val="Compact"/>
      </w:pPr>
      <w:r>
        <w:t xml:space="preserve">Average over 2,000 stock-days.</w:t>
      </w:r>
    </w:p>
    <w:p>
      <w:pPr>
        <w:pStyle w:val="FirstParagraph"/>
      </w:pPr>
      <w:r>
        <w:rPr>
          <w:bCs/>
          <w:b/>
        </w:rPr>
        <w:t xml:space="preserve">Result: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/>
      <w:tr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Features removed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1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2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4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8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16</w:t>
            </w:r>
          </w:p>
        </w:tc>
        <w:tc>
          <w:tcPr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32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SHAP’s top features removed first (bp)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8.70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8.39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8.36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8.47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8.56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8.59</w:t>
            </w:r>
          </w:p>
        </w:tc>
      </w:tr>
      <w:tr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Random order (bp)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0.65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1.19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2.04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3.65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5.88</w:t>
            </w:r>
          </w:p>
        </w:tc>
        <w:tc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8.59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Removing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SHAP-selected feature moves the forecast</w:t>
      </w:r>
      <w:r>
        <w:t xml:space="preserve"> </w:t>
      </w:r>
      <w:r>
        <w:rPr>
          <w:bCs/>
          <w:b/>
        </w:rPr>
        <w:t xml:space="preserve">13× more</w:t>
      </w:r>
      <w:r>
        <w:t xml:space="preserve"> </w:t>
      </w:r>
      <w:r>
        <w:t xml:space="preserve">than removing one random feature.</w:t>
      </w:r>
    </w:p>
    <w:p>
      <w:pPr>
        <w:numPr>
          <w:ilvl w:val="0"/>
          <w:numId w:val="1012"/>
        </w:numPr>
        <w:pStyle w:val="Compact"/>
      </w:pPr>
      <w:r>
        <w:t xml:space="preserve">Both curves meet at 32 because removing everything gives the same result either way; what matters is how fast each rises.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Fidelity:</w:t>
      </w:r>
      <w:r>
        <w:t xml:space="preserve"> </w:t>
      </w:r>
      <w:r>
        <w:t xml:space="preserve">the SHAP values of removed features predict the actual change with r = 0.98 (at 5% removed) and 0.94 (at 10%).</w:t>
      </w:r>
    </w:p>
    <w:bookmarkEnd w:id="43"/>
    <w:bookmarkStart w:id="44" w:name="the-other-reliability-tests"/>
    <w:p>
      <w:pPr>
        <w:pStyle w:val="Heading2"/>
      </w:pPr>
      <w:r>
        <w:t xml:space="preserve">5.4 The other reliability tests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2991"/>
        <w:gridCol w:w="6646"/>
      </w:tblGrid>
      <w:tr>
        <w:tc>
          <w:tcPr>
            <w:tcW w:type="dxa" w:w="2991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Test</w:t>
            </w:r>
          </w:p>
        </w:tc>
        <w:tc>
          <w:tcPr>
            <w:tcW w:type="dxa" w:w="6647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How it works</w:t>
            </w:r>
          </w:p>
        </w:tc>
      </w:tr>
      <w:tr>
        <w:tc>
          <w:tcPr>
            <w:tcW w:type="dxa" w:w="299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Stability across seeds</w:t>
            </w:r>
          </w:p>
        </w:tc>
        <w:tc>
          <w:tcPr>
            <w:tcW w:type="dxa" w:w="664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Train five Random Forests on identical data with different random seeds; compare their explanations</w:t>
            </w:r>
          </w:p>
        </w:tc>
      </w:tr>
      <w:tr>
        <w:tc>
          <w:tcPr>
            <w:tcW w:type="dxa" w:w="299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Stability across retraining</w:t>
            </w:r>
          </w:p>
        </w:tc>
        <w:tc>
          <w:tcPr>
            <w:tcW w:type="dxa" w:w="664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Compare the 2019, 2020, 2021 and 2022 models explaining the same stock-days</w:t>
            </w:r>
          </w:p>
        </w:tc>
      </w:tr>
      <w:tr>
        <w:tc>
          <w:tcPr>
            <w:tcW w:type="dxa" w:w="299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LIME run-to-run</w:t>
            </w:r>
          </w:p>
        </w:tc>
        <w:tc>
          <w:tcPr>
            <w:tcW w:type="dxa" w:w="664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Explain the same forecast five times with different LIME seeds</w:t>
            </w:r>
          </w:p>
        </w:tc>
      </w:tr>
      <w:tr>
        <w:tc>
          <w:tcPr>
            <w:tcW w:type="dxa" w:w="299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Explainer agreement</w:t>
            </w:r>
          </w:p>
        </w:tc>
        <w:tc>
          <w:tcPr>
            <w:tcW w:type="dxa" w:w="664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Compare SHAP, LIME, permutation importance and the tree’s own importance</w:t>
            </w:r>
          </w:p>
        </w:tc>
      </w:tr>
      <w:tr>
        <w:tc>
          <w:tcPr>
            <w:tcW w:type="dxa" w:w="299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Sanity check</w:t>
            </w:r>
          </w:p>
        </w:tc>
        <w:tc>
          <w:tcPr>
            <w:tcW w:type="dxa" w:w="664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Train models on labels shuffled at random (no signal at all) and on labels shuffled within each day (market timing only), then compare their explanations with the real model’s</w:t>
            </w:r>
          </w:p>
        </w:tc>
      </w:tr>
      <w:tr>
        <w:tc>
          <w:tcPr>
            <w:tcW w:type="dxa" w:w="2991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Regime and sector drift</w:t>
            </w:r>
          </w:p>
        </w:tc>
        <w:tc>
          <w:tcPr>
            <w:tcW w:type="dxa" w:w="6647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Compare feature-family attribution across four market phases and 11 sectors, with a 1,000-run permutation test for significance</w:t>
            </w:r>
          </w:p>
        </w:tc>
      </w:tr>
    </w:tbl>
    <w:bookmarkEnd w:id="44"/>
    <w:bookmarkStart w:id="45" w:name="results"/>
    <w:p>
      <w:pPr>
        <w:pStyle w:val="Heading2"/>
      </w:pPr>
      <w:r>
        <w:t xml:space="preserve">5.5 Results</w:t>
      </w:r>
    </w:p>
    <w:tbl>
      <w:tblPr>
        <w:tblStyle w:val="Table"/>
        <w:jc w:val="center"/>
        <w:tblLook w:firstRow="1" w:lastRow="0" w:firstColumn="0" w:lastColumn="0" w:noHBand="0" w:noVBand="0" w:val="0020"/>
        <w:tblBorders>
          <w:top w:val="single" w:sz="4" w:space="0" w:color="A6B1BF"/>
          <w:left w:val="single" w:sz="4" w:space="0" w:color="A6B1BF"/>
          <w:bottom w:val="single" w:sz="4" w:space="0" w:color="A6B1BF"/>
          <w:right w:val="single" w:sz="4" w:space="0" w:color="A6B1BF"/>
          <w:insideH w:val="single" w:sz="4" w:space="0" w:color="A6B1BF"/>
          <w:insideV w:val="single" w:sz="4" w:space="0" w:color="A6B1BF"/>
        </w:tblBorders>
        <w:tblW w:w="9638" w:type="dxa"/>
        <w:tblLayout w:type="fixed"/>
      </w:tblPr>
      <w:tblGrid>
        <w:gridCol w:w="3419"/>
        <w:gridCol w:w="6217"/>
      </w:tblGrid>
      <w:tr>
        <w:tc>
          <w:tcPr>
            <w:tcW w:type="dxa" w:w="3420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Finding</w:t>
            </w:r>
          </w:p>
        </w:tc>
        <w:tc>
          <w:tcPr>
            <w:tcW w:type="dxa" w:w="6218"/>
            <w:shd w:val="clear" w:color="auto" w:fill="DCE6F1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Result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Price accuracy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MAPE 1.56% (98.44% accuracy), RMSE $6.25, R² 0.9994, 75% of forecasts within 2%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Versus the naive forecast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Identical; the difference is not significant (p = 0.30)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Direction accuracy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51.8%, below the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always predict the majority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rule (52.8%)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Random Forest on raw price levels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R² 0.993 yet significantly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worse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than naive (p &lt; 0.001), showing why unbenchmarked R² misleads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What drives forecasts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72% of attribution goes to market and sector context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Faithfulness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Top-SHAP removal moves forecasts 13× more than random; fidelity r ≥ 0.94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Seed stability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Kendall τ 0.85 (SHAP is stable)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Retraining stability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τ 0.44–0.77; weakest after COVID entered the training data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Explainer agreement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SHAP vs tree importance τ 0.69, but SHAP vs permutation only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τ 0.03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 only 4 of 32 features measurably improve accuracy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SHAP vs LIME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Agree globally (τ 0.73), but on a single forecast LIME is unstable between runs (ρ 0.48) and fits poorly (median R² 0.17)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Regime drift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Significant (p = 0.003): volatility’s share rises from 5.1% pre-COVID to 9.2% in the 2022 bear market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Sector drift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Significant (p = 0.001)</w:t>
            </w:r>
          </w:p>
        </w:tc>
      </w:tr>
      <w:tr>
        <w:tc>
          <w:tcPr>
            <w:tcW w:type="dxa" w:w="3420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Calibri" w:hAnsi="Calibri"/>
                <w:b/>
                <w:sz w:val="18"/>
              </w:rPr>
              <w:t xml:space="preserve">Sanity check</w:t>
            </w:r>
          </w:p>
        </w:tc>
        <w:tc>
          <w:tcPr>
            <w:tcW w:type="dxa" w:w="6218"/>
          </w:tcPr>
          <w:p>
            <w:pPr>
              <w:pStyle w:val="Compact"/>
              <w:spacing w:after="40"/>
              <w:jc w:val="left"/>
            </w:pPr>
            <w:r>
              <w:rPr>
                <w:rFonts w:ascii="Calibri" w:hAnsi="Calibri"/>
                <w:sz w:val="18"/>
              </w:rPr>
              <w:t xml:space="preserve">A no-signal model gives explanations 8× weaker and unrelated (τ 0.13)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short:</w:t>
      </w:r>
      <w:r>
        <w:t xml:space="preserve"> </w:t>
      </w:r>
      <w:r>
        <w:t xml:space="preserve">the explanations are faithful and stable, but they describe</w:t>
      </w:r>
      <w:r>
        <w:t xml:space="preserve"> </w:t>
      </w:r>
      <w:r>
        <w:rPr>
          <w:iCs/>
          <w:i/>
        </w:rPr>
        <w:t xml:space="preserve">what the model does</w:t>
      </w:r>
      <w:r>
        <w:t xml:space="preserve">, not</w:t>
      </w:r>
      <w:r>
        <w:t xml:space="preserve"> </w:t>
      </w:r>
      <w:r>
        <w:rPr>
          <w:iCs/>
          <w:i/>
        </w:rPr>
        <w:t xml:space="preserve">what predicts the market</w:t>
      </w:r>
      <w:r>
        <w:t xml:space="preserve"> </w:t>
      </w:r>
      <w:r>
        <w:t xml:space="preserve">— and they change significantly with the market phase.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anticipated-questions"/>
    <w:p>
      <w:pPr>
        <w:pStyle w:val="Heading1"/>
      </w:pPr>
      <w:r>
        <w:t xml:space="preserve">6. Anticipated questions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Isn’t this already done?</w:t>
      </w:r>
      <w:r>
        <w:rPr>
          <w:bCs/>
          <w:b/>
        </w:rPr>
        <w:t xml:space="preserve">”</w:t>
      </w:r>
      <w:r>
        <w:t xml:space="preserve"> </w:t>
      </w:r>
      <w:r>
        <w:t xml:space="preserve">Partly, and that should be conceded. Papers 2, 4 and 5 each test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property, on 6–51 stocks, in different settings. The contribution here is the</w:t>
      </w:r>
      <w:r>
        <w:t xml:space="preserve"> </w:t>
      </w:r>
      <w:r>
        <w:rPr>
          <w:bCs/>
          <w:b/>
        </w:rPr>
        <w:t xml:space="preserve">validation protocol applied together</w:t>
      </w:r>
      <w:r>
        <w:t xml:space="preserve"> </w:t>
      </w:r>
      <w:r>
        <w:t xml:space="preserve">— faithfulness, stability, agreement, sanity and drift — on 474 stocks, plus the first SHAP-versus-LIME comparison on the same forecasts. It is a validation contribution, not a new XAI method.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Why is 98% accuracy not impressive?</w:t>
      </w:r>
      <w:r>
        <w:rPr>
          <w:bCs/>
          <w:b/>
        </w:rPr>
        <w:t xml:space="preserve">”</w:t>
      </w:r>
      <w:r>
        <w:t xml:space="preserve"> </w:t>
      </w:r>
      <w:r>
        <w:t xml:space="preserve">Because the naive</w:t>
      </w:r>
      <w:r>
        <w:t xml:space="preserve"> </w:t>
      </w:r>
      <w:r>
        <w:t xml:space="preserve">“</w:t>
      </w:r>
      <w:r>
        <w:t xml:space="preserve">tomorrow = today</w:t>
      </w:r>
      <w:r>
        <w:t xml:space="preserve">”</w:t>
      </w:r>
      <w:r>
        <w:t xml:space="preserve"> </w:t>
      </w:r>
      <w:r>
        <w:t xml:space="preserve">forecast scores the same. That is the point of the project, and it is why every accuracy figure is reported next to a benchmark and a significance test.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Isn’t replacing a feature with a random value unrealistic?</w:t>
      </w:r>
      <w:r>
        <w:rPr>
          <w:bCs/>
          <w:b/>
        </w:rPr>
        <w:t xml:space="preserve">”</w:t>
      </w:r>
      <w:r>
        <w:t xml:space="preserve"> </w:t>
      </w:r>
      <w:r>
        <w:t xml:space="preserve">Yes, and this is stated as a limitation: it can create feature combinations that never occur in real markets. It is a known weakness of deletion-based faithfulness testing.</w:t>
      </w:r>
    </w:p>
    <w:p>
      <w:pPr>
        <w:pStyle w:val="BodyText"/>
      </w:pPr>
      <w:r>
        <w:rPr>
          <w:bCs/>
          <w:b/>
        </w:rPr>
        <w:t xml:space="preserve">Honest caveats.</w:t>
      </w:r>
      <w:r>
        <w:t xml:space="preserve"> </w:t>
      </w:r>
      <w:r>
        <w:t xml:space="preserve">Gaps were identified from the papers’ full texts plus direct word searches for</w:t>
      </w:r>
      <w:r>
        <w:t xml:space="preserve"> </w:t>
      </w:r>
      <w:r>
        <w:t xml:space="preserve">“</w:t>
      </w:r>
      <w:r>
        <w:t xml:space="preserve">faithful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deletion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sanity</w:t>
      </w:r>
      <w:r>
        <w:t xml:space="preserve">”</w:t>
      </w:r>
      <w:r>
        <w:t xml:space="preserve">; papers 2 and 5 were read in sections rather than cover to cover. The dataset ends in May 2022 and covers only price and volume data, with no news or fundamentals.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s"/>
    <w:p>
      <w:pPr>
        <w:pStyle w:val="Heading1"/>
      </w:pPr>
      <w:r>
        <w:t xml:space="preserve">7. References</w:t>
      </w:r>
    </w:p>
    <w:p>
      <w:pPr>
        <w:numPr>
          <w:ilvl w:val="0"/>
          <w:numId w:val="1013"/>
        </w:numPr>
        <w:pStyle w:val="Compact"/>
      </w:pPr>
      <w:r>
        <w:t xml:space="preserve">Indra, S., Supian, S., Sukono, Riaman, R., Saputra, M. P. A., Azahra, A. S., &amp; Pirdaus, D. I. (2025). Stock Return Prediction on the LQ45 Market Index in the Indonesia Stock Exchange Using a Machine Learning Algorithm Based on Technical Indicators.</w:t>
      </w:r>
      <w:r>
        <w:t xml:space="preserve"> </w:t>
      </w:r>
      <w:r>
        <w:rPr>
          <w:iCs/>
          <w:i/>
        </w:rPr>
        <w:t xml:space="preserve">Journal of Risk and Financial Management</w:t>
      </w:r>
      <w:r>
        <w:t xml:space="preserve">, 18(12), 714. https://doi.org/10.3390/jrfm18120714</w:t>
      </w:r>
    </w:p>
    <w:p>
      <w:pPr>
        <w:numPr>
          <w:ilvl w:val="0"/>
          <w:numId w:val="1013"/>
        </w:numPr>
        <w:pStyle w:val="Compact"/>
      </w:pPr>
      <w:r>
        <w:t xml:space="preserve">Lee, J., &amp; Cai, L. (2025). Comparing model-specific and model-agnostic features importance methods using machine learning with technical indicators: A NASDAQ sector-based study.</w:t>
      </w:r>
      <w:r>
        <w:t xml:space="preserve"> </w:t>
      </w:r>
      <w:r>
        <w:rPr>
          <w:iCs/>
          <w:i/>
        </w:rPr>
        <w:t xml:space="preserve">Machine Learning with Applications</w:t>
      </w:r>
      <w:r>
        <w:t xml:space="preserve">, 23, 100799. https://doi.org/10.1016/j.mlwa.2025.100799</w:t>
      </w:r>
    </w:p>
    <w:p>
      <w:pPr>
        <w:numPr>
          <w:ilvl w:val="0"/>
          <w:numId w:val="1013"/>
        </w:numPr>
        <w:pStyle w:val="Compact"/>
      </w:pPr>
      <w:r>
        <w:t xml:space="preserve">Manikrao, K. W., Allagi, S., Leong, W. Y., &amp; Laddi, M. (2025). An Explainable AI for Stock Market Prediction: A Machine Learning Approach with XAI and Deep Neural Networks.</w:t>
      </w:r>
      <w:r>
        <w:t xml:space="preserve"> </w:t>
      </w:r>
      <w:r>
        <w:rPr>
          <w:iCs/>
          <w:i/>
        </w:rPr>
        <w:t xml:space="preserve">Journal of Computational and Cognitive Engineering</w:t>
      </w:r>
      <w:r>
        <w:t xml:space="preserve">, 5(3), 410–424. https://doi.org/10.47852/bonviewjcce52026428</w:t>
      </w:r>
    </w:p>
    <w:p>
      <w:pPr>
        <w:numPr>
          <w:ilvl w:val="0"/>
          <w:numId w:val="1013"/>
        </w:numPr>
        <w:pStyle w:val="Compact"/>
      </w:pPr>
      <w:r>
        <w:t xml:space="preserve">Pagliaro, A. (2026). Regime-Aware LightGBM for Stock Market Forecasting: A Validated Walk-Forward Framework with Statistical Rigor and Explainable AI Analysis.</w:t>
      </w:r>
      <w:r>
        <w:t xml:space="preserve"> </w:t>
      </w:r>
      <w:r>
        <w:rPr>
          <w:iCs/>
          <w:i/>
        </w:rPr>
        <w:t xml:space="preserve">Electronics</w:t>
      </w:r>
      <w:r>
        <w:t xml:space="preserve">, 15(6), 1334. https://doi.org/10.3390/electronics15061334</w:t>
      </w:r>
    </w:p>
    <w:p>
      <w:pPr>
        <w:numPr>
          <w:ilvl w:val="0"/>
          <w:numId w:val="1013"/>
        </w:numPr>
        <w:pStyle w:val="Compact"/>
      </w:pPr>
      <w:r>
        <w:t xml:space="preserve">Song, Y., Cho, W., Han, S. I., &amp; Yoo, J. (2026). Attention Integration Strategies in MLP-Based Stock Movement Prediction: Effects on Performance, Stability, and Interpretability.</w:t>
      </w:r>
      <w:r>
        <w:t xml:space="preserve"> </w:t>
      </w:r>
      <w:r>
        <w:rPr>
          <w:iCs/>
          <w:i/>
        </w:rPr>
        <w:t xml:space="preserve">Electronics</w:t>
      </w:r>
      <w:r>
        <w:t xml:space="preserve">, 15(17), 3942. https://doi.org/10.3390/electronics15173942</w:t>
      </w:r>
    </w:p>
    <w:p>
      <w:pPr>
        <w:pStyle w:val="FirstParagraph"/>
      </w:pPr>
      <w:r>
        <w:rPr>
          <w:bCs/>
          <w:b/>
        </w:rPr>
        <w:t xml:space="preserve">Methods and data</w:t>
      </w:r>
    </w:p>
    <w:p>
      <w:pPr>
        <w:numPr>
          <w:ilvl w:val="0"/>
          <w:numId w:val="1014"/>
        </w:numPr>
        <w:pStyle w:val="Compact"/>
      </w:pPr>
      <w:r>
        <w:t xml:space="preserve">Breiman, L. (2001). Random Forests.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 45, 5–32.</w:t>
      </w:r>
    </w:p>
    <w:p>
      <w:pPr>
        <w:numPr>
          <w:ilvl w:val="0"/>
          <w:numId w:val="1014"/>
        </w:numPr>
        <w:pStyle w:val="Compact"/>
      </w:pPr>
      <w:r>
        <w:t xml:space="preserve">Lundberg, S. M., Erion, G., Chen, H., et al. (2020). From local explanations to global understanding with explainable AI for trees.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, 2, 56–67.</w:t>
      </w:r>
    </w:p>
    <w:p>
      <w:pPr>
        <w:numPr>
          <w:ilvl w:val="0"/>
          <w:numId w:val="1014"/>
        </w:numPr>
        <w:pStyle w:val="Compact"/>
      </w:pPr>
      <w:r>
        <w:t xml:space="preserve">Ribeiro, M. T., Singh, S., &amp; Guestrin, C. (2016).</w:t>
      </w:r>
      <w:r>
        <w:t xml:space="preserve"> </w:t>
      </w:r>
      <w:r>
        <w:t xml:space="preserve">“</w:t>
      </w:r>
      <w:r>
        <w:t xml:space="preserve">Why Should I Trust You?</w:t>
      </w:r>
      <w:r>
        <w:t xml:space="preserve">”</w:t>
      </w:r>
      <w:r>
        <w:t xml:space="preserve">: Explaining the Predictions of Any Classifier.</w:t>
      </w:r>
      <w:r>
        <w:t xml:space="preserve"> </w:t>
      </w:r>
      <w:r>
        <w:rPr>
          <w:iCs/>
          <w:i/>
        </w:rPr>
        <w:t xml:space="preserve">KDD 2016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Diebold, F. X., &amp; Mariano, R. S. (1995). Comparing Predictive Accuracy.</w:t>
      </w:r>
      <w:r>
        <w:t xml:space="preserve"> </w:t>
      </w:r>
      <w:r>
        <w:rPr>
          <w:iCs/>
          <w:i/>
        </w:rPr>
        <w:t xml:space="preserve">Journal of Business &amp; Economic Statistics</w:t>
      </w:r>
      <w:r>
        <w:t xml:space="preserve">, 13(3), 253–263.</w:t>
      </w:r>
    </w:p>
    <w:p>
      <w:pPr>
        <w:numPr>
          <w:ilvl w:val="0"/>
          <w:numId w:val="1014"/>
        </w:numPr>
        <w:pStyle w:val="Compact"/>
      </w:pPr>
      <w:r>
        <w:t xml:space="preserve">Huynh, T. T., Nguyen, M. H., Nguyen, T. T., et al. (2023). Efficient Integration of Multi-Order Dynamics and Internal Dynamics in Stock Movement Prediction.</w:t>
      </w:r>
      <w:r>
        <w:t xml:space="preserve"> </w:t>
      </w:r>
      <w:r>
        <w:rPr>
          <w:iCs/>
          <w:i/>
        </w:rPr>
        <w:t xml:space="preserve">WSDM 2023</w:t>
      </w:r>
      <w:r>
        <w:t xml:space="preserve"> </w:t>
      </w:r>
      <w:r>
        <w:t xml:space="preserve">(source of the S&amp;P 500 dataset).</w:t>
      </w:r>
    </w:p>
    <w:bookmarkEnd w:id="48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color w:val="1F3A5F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 and Problem Statement</dc:title>
  <dc:creator/>
  <cp:keywords/>
  <dcterms:created xsi:type="dcterms:W3CDTF">2026-09-16T07:49:44Z</dcterms:created>
  <dcterms:modified xsi:type="dcterms:W3CDTF">2026-09-16T07:49:44Z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Trustworthy Explanations for Random-Forest Stock Price Forecasting — 474 S&amp;P 500 stocks</vt:lpwstr>
  </property>
  <property fmtid="{D5CDD505-2E9C-101B-9397-08002B2CF9AE}" pid="3" name="toc-title">
    <vt:lpwstr>Contents</vt:lpwstr>
  </property>
</Properties>
</file>