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Trustworthy Explanations for Random-Forest Stock Price Forecasting</w:t>
      </w:r>
    </w:p>
    <w:p>
      <w:pPr>
        <w:pStyle w:val="Subtitle"/>
      </w:pPr>
      <w:r>
        <w:t xml:space="preserve">A SHAP and LIME reliability audit on 474 S&amp;P 500 stocks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problem-statement"/>
    <w:p>
      <w:pPr>
        <w:pStyle w:val="Heading1"/>
      </w:pPr>
      <w:r>
        <w:t xml:space="preserve">1. Problem statement</w:t>
      </w:r>
    </w:p>
    <w:bookmarkStart w:id="20" w:name="background"/>
    <w:p>
      <w:pPr>
        <w:pStyle w:val="Heading2"/>
      </w:pPr>
      <w:r>
        <w:t xml:space="preserve">1.1 Background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Adoption.</w:t>
      </w:r>
      <w:r>
        <w:t xml:space="preserve"> </w:t>
      </w:r>
      <w:r>
        <w:t xml:space="preserve">Machine-learning models, Random Forests (RF) especially, are widely used to</w:t>
      </w:r>
      <w:r>
        <w:t xml:space="preserve"> </w:t>
      </w:r>
      <w:r>
        <w:t xml:space="preserve">forecast stock prices from historical price and volume data. They are popular because</w:t>
      </w:r>
      <w:r>
        <w:t xml:space="preserve"> </w:t>
      </w:r>
      <w:r>
        <w:t xml:space="preserve">they:</w:t>
      </w:r>
    </w:p>
    <w:p>
      <w:pPr>
        <w:numPr>
          <w:ilvl w:val="1"/>
          <w:numId w:val="1002"/>
        </w:numPr>
        <w:pStyle w:val="Compact"/>
      </w:pPr>
      <w:r>
        <w:t xml:space="preserve">handle non-linear patterns;</w:t>
      </w:r>
    </w:p>
    <w:p>
      <w:pPr>
        <w:numPr>
          <w:ilvl w:val="1"/>
          <w:numId w:val="1002"/>
        </w:numPr>
        <w:pStyle w:val="Compact"/>
      </w:pPr>
      <w:r>
        <w:t xml:space="preserve">need little tuning;</w:t>
      </w:r>
    </w:p>
    <w:p>
      <w:pPr>
        <w:numPr>
          <w:ilvl w:val="1"/>
          <w:numId w:val="1002"/>
        </w:numPr>
        <w:pStyle w:val="Compact"/>
      </w:pPr>
      <w:r>
        <w:t xml:space="preserve">resist overfitting better than single trees.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Explanations.</w:t>
      </w:r>
      <w:r>
        <w:t xml:space="preserve"> </w:t>
      </w:r>
      <w:r>
        <w:t xml:space="preserve">Because these models are</w:t>
      </w:r>
      <w:r>
        <w:t xml:space="preserve"> </w:t>
      </w:r>
      <w:r>
        <w:t xml:space="preserve">“</w:t>
      </w:r>
      <w:r>
        <w:t xml:space="preserve">black boxes</w:t>
      </w:r>
      <w:r>
        <w:t xml:space="preserve">”</w:t>
      </w:r>
      <w:r>
        <w:t xml:space="preserve">, studies increasingly attach</w:t>
      </w:r>
      <w:r>
        <w:t xml:space="preserve"> </w:t>
      </w:r>
      <w:r>
        <w:t xml:space="preserve">explainable-AI (XAI) methods, mainly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(Shapley additive explanations) and</w:t>
      </w:r>
      <w:r>
        <w:t xml:space="preserve"> </w:t>
      </w:r>
      <w:r>
        <w:rPr>
          <w:bCs/>
          <w:b/>
        </w:rPr>
        <w:t xml:space="preserve">LIME</w:t>
      </w:r>
      <w:r>
        <w:t xml:space="preserve"> </w:t>
      </w:r>
      <w:r>
        <w:t xml:space="preserve">(local interpretable model-agnostic explanations). These show which inputs</w:t>
      </w:r>
      <w:r>
        <w:t xml:space="preserve"> </w:t>
      </w:r>
      <w:r>
        <w:t xml:space="preserve">drove a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In finance, explanations are increasingly expected by investment</w:t>
      </w:r>
      <w:r>
        <w:t xml:space="preserve"> </w:t>
      </w:r>
      <w:r>
        <w:t xml:space="preserve">committees, risk officers and regulators before a model is allowed to inform decisions.</w:t>
      </w:r>
    </w:p>
    <w:bookmarkEnd w:id="20"/>
    <w:bookmarkStart w:id="21" w:name="the-problem"/>
    <w:p>
      <w:pPr>
        <w:pStyle w:val="Heading2"/>
      </w:pPr>
      <w:r>
        <w:t xml:space="preserve">1.2 The problem</w:t>
      </w:r>
    </w:p>
    <w:p>
      <w:pPr>
        <w:pStyle w:val="FirstParagraph"/>
      </w:pPr>
      <w:r>
        <w:t xml:space="preserve">Recent studies (Section 3) share two linked weaknesses.</w:t>
      </w:r>
    </w:p>
    <w:p>
      <w:pPr>
        <w:pStyle w:val="BodyText"/>
      </w:pPr>
      <w:r>
        <w:rPr>
          <w:bCs/>
          <w:b/>
        </w:rPr>
        <w:t xml:space="preserve">Problem 1: accuracy is reported without a meaningful benchmark.</w:t>
      </w:r>
    </w:p>
    <w:p>
      <w:pPr>
        <w:numPr>
          <w:ilvl w:val="0"/>
          <w:numId w:val="1003"/>
        </w:numPr>
        <w:pStyle w:val="Compact"/>
      </w:pPr>
      <w:r>
        <w:t xml:space="preserve">Price forecasts are often judged by price-level accuracy (R²,</w:t>
      </w:r>
      <w:r>
        <w:t xml:space="preserve"> </w:t>
      </w:r>
      <w:r>
        <w:t xml:space="preserve">“</w:t>
      </w:r>
      <w:r>
        <w:t xml:space="preserve">accuracy %</w:t>
      </w:r>
      <w:r>
        <w:t xml:space="preserve">”</w:t>
      </w:r>
      <w:r>
        <w:t xml:space="preserve">). When returns</w:t>
      </w:r>
      <w:r>
        <w:t xml:space="preserve"> </w:t>
      </w:r>
      <w:r>
        <w:t xml:space="preserve">are evaluated properly, the signal is weak: Indra et al. (2025) found near-zero R² and 49–54%</w:t>
      </w:r>
      <w:r>
        <w:t xml:space="preserve"> </w:t>
      </w:r>
      <w:r>
        <w:t xml:space="preserve">directional accuracy.</w:t>
      </w:r>
    </w:p>
    <w:p>
      <w:pPr>
        <w:numPr>
          <w:ilvl w:val="0"/>
          <w:numId w:val="1003"/>
        </w:numPr>
        <w:pStyle w:val="Compact"/>
      </w:pPr>
      <w:r>
        <w:t xml:space="preserve">But a stock’s price tomorrow is almost the same as today. The naive forecast</w:t>
      </w:r>
      <w:r>
        <w:t xml:space="preserve"> </w:t>
      </w:r>
      <w:r>
        <w:t xml:space="preserve">“</w:t>
      </w:r>
      <w:r>
        <w:t xml:space="preserve">tomorrow’s</w:t>
      </w:r>
      <w:r>
        <w:t xml:space="preserve"> </w:t>
      </w:r>
      <w:r>
        <w:t xml:space="preserve">price = today’s price</w:t>
      </w:r>
      <w:r>
        <w:t xml:space="preserve">”</w:t>
      </w:r>
      <w:r>
        <w:t xml:space="preserve"> </w:t>
      </w:r>
      <w:r>
        <w:t xml:space="preserve">already scores R² ≈ 0.999.</w:t>
      </w:r>
    </w:p>
    <w:p>
      <w:pPr>
        <w:numPr>
          <w:ilvl w:val="0"/>
          <w:numId w:val="1003"/>
        </w:numPr>
        <w:pStyle w:val="Compact"/>
      </w:pPr>
      <w:r>
        <w:t xml:space="preserve">Without comparing against that naive forecast and testing the difference, a reader can’t</w:t>
      </w:r>
      <w:r>
        <w:t xml:space="preserve"> </w:t>
      </w:r>
      <w:r>
        <w:t xml:space="preserve">tell whether a model has any real predictive skill.</w:t>
      </w:r>
    </w:p>
    <w:p>
      <w:pPr>
        <w:pStyle w:val="FirstParagraph"/>
      </w:pPr>
      <w:r>
        <w:rPr>
          <w:bCs/>
          <w:b/>
        </w:rPr>
        <w:t xml:space="preserve">Problem 2: explanations are presented as findings, but never tested.</w:t>
      </w:r>
      <w:r>
        <w:t xml:space="preserve"> </w:t>
      </w:r>
      <w:r>
        <w:t xml:space="preserve">Studies report</w:t>
      </w:r>
      <w:r>
        <w:t xml:space="preserve"> </w:t>
      </w:r>
      <w:r>
        <w:t xml:space="preserve">SHAP or LIME outputs (</w:t>
      </w:r>
      <w:r>
        <w:t xml:space="preserve">“</w:t>
      </w:r>
      <w:r>
        <w:t xml:space="preserve">volume is the most important feature</w:t>
      </w:r>
      <w:r>
        <w:t xml:space="preserve">”</w:t>
      </w:r>
      <w:r>
        <w:t xml:space="preserve">) as insight about the market.</w:t>
      </w:r>
      <w:r>
        <w:t xml:space="preserve"> </w:t>
      </w:r>
      <w:r>
        <w:t xml:space="preserve">They do not check whether those explanations are: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823"/>
        <w:gridCol w:w="3907"/>
        <w:gridCol w:w="3907"/>
      </w:tblGrid>
      <w:tr>
        <w:tc>
          <w:tcPr>
            <w:tcW w:type="dxa" w:w="182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Property</w:t>
            </w:r>
          </w:p>
        </w:tc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Question</w:t>
            </w:r>
          </w:p>
        </w:tc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If it fails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Faithful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Does removing the features the explanation ranks highest actually change the forecast most?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explanation describes features the model doesn’t really use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Stable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 explanations stay the same when the model is re-seeded or retrained?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explanation is an artefact of one random seed or one training run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Consistent across explainers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SHAP, LIME and importance measures agree?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Conclusions depend on which XAI tool was picked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Meaningful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they differ from the explanations of a model trained on randomly shuffled labels?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explanation reflects feature structure, not a learned relationship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Context-dependent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they change across market regimes (e.g. the COVID crash) and sectors?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single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“</w:t>
            </w:r>
            <w:r>
              <w:rPr>
                <w:rFonts w:ascii="Calibri" w:hAnsi="Calibri"/>
                <w:sz w:val="18"/>
              </w:rPr>
              <w:t xml:space="preserve">global</w:t>
            </w:r>
            <w:r>
              <w:rPr>
                <w:rFonts w:ascii="Calibri" w:hAnsi="Calibri"/>
                <w:sz w:val="18"/>
              </w:rPr>
              <w:t xml:space="preserve">”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explanation misrepresents specific periods or sectors</w:t>
            </w:r>
          </w:p>
        </w:tc>
      </w:tr>
    </w:tbl>
    <w:p>
      <w:pPr>
        <w:pStyle w:val="BodyText"/>
      </w:pPr>
      <w:r>
        <w:t xml:space="preserve">Without these tests, an explanation may describe noise, one random seed or one market</w:t>
      </w:r>
      <w:r>
        <w:t xml:space="preserve"> </w:t>
      </w:r>
      <w:r>
        <w:t xml:space="preserve">period, and misleading explanations in finance can lead to real financial losses and</w:t>
      </w:r>
      <w:r>
        <w:t xml:space="preserve"> </w:t>
      </w:r>
      <w:r>
        <w:t xml:space="preserve">misplaced trust.</w:t>
      </w:r>
    </w:p>
    <w:bookmarkEnd w:id="21"/>
    <w:bookmarkStart w:id="22" w:name="formal-problem-definition"/>
    <w:p>
      <w:pPr>
        <w:pStyle w:val="Heading2"/>
      </w:pPr>
      <w:r>
        <w:t xml:space="preserve">1.3 Formal problem definition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Element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Definition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Universe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 474 S&amp;P 500 stocks, indexed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i</w:t>
            </w:r>
            <w:r>
              <w:rPr>
                <w:rFonts w:ascii="Calibri" w:hAnsi="Calibri"/>
                <w:sz w:val="18"/>
              </w:rPr>
              <w:t xml:space="preserve">; trading days indexed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Input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feature vector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x</w:t>
            </w:r>
            <w:r>
              <w:rPr>
                <w:rFonts w:ascii="Calibri" w:hAnsi="Calibri"/>
                <w:sz w:val="18"/>
              </w:rPr>
              <w:t xml:space="preserve">ᵢ,ₜ ∈ ℝ³² for stock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day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  <w:r>
              <w:rPr>
                <w:rFonts w:ascii="Calibri" w:hAnsi="Calibri"/>
                <w:sz w:val="18"/>
              </w:rPr>
              <w:t xml:space="preserve">, computed only from prices and volumes up to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  <w:r>
              <w:rPr>
                <w:rFonts w:ascii="Calibri" w:hAnsi="Calibri"/>
                <w:sz w:val="18"/>
              </w:rPr>
              <w:t xml:space="preserve">’s close (7 families: past returns, trend, oscillators, volatility, volume, candle, market &amp; sector)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Output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Forecast of the next-day closing price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P̂</w:t>
            </w:r>
            <w:r>
              <w:rPr>
                <w:rFonts w:ascii="Calibri" w:hAnsi="Calibri"/>
                <w:sz w:val="18"/>
              </w:rPr>
              <w:t xml:space="preserve">ᵢ,ₜ₊₁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Model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Random Forest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predicting the next-day log return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f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bCs/>
                <w:rFonts w:ascii="Calibri" w:hAnsi="Calibri"/>
                <w:b/>
                <w:sz w:val="18"/>
              </w:rPr>
              <w:t xml:space="preserve">x</w:t>
            </w:r>
            <w:r>
              <w:rPr>
                <w:rFonts w:ascii="Calibri" w:hAnsi="Calibri"/>
                <w:sz w:val="18"/>
              </w:rPr>
              <w:t xml:space="preserve">ᵢ,ₜ); price forecast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P̂</w:t>
            </w:r>
            <w:r>
              <w:rPr>
                <w:rFonts w:ascii="Calibri" w:hAnsi="Calibri"/>
                <w:sz w:val="18"/>
              </w:rPr>
              <w:t xml:space="preserve">ᵢ,ₜ₊₁ 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</w:t>
            </w:r>
            <w:r>
              <w:rPr>
                <w:rFonts w:ascii="Calibri" w:hAnsi="Calibri"/>
                <w:sz w:val="18"/>
              </w:rPr>
              <w:t xml:space="preserve">ᵢ,ₜ · exp(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Explanations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SHAP vector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φ</w:t>
            </w:r>
            <w:r>
              <w:rPr>
                <w:rFonts w:ascii="Calibri" w:hAnsi="Calibri"/>
                <w:sz w:val="18"/>
              </w:rPr>
              <w:t xml:space="preserve">ᵢ,ₜ ∈ ℝ³² and a LIME weight vector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λ</w:t>
            </w:r>
            <w:r>
              <w:rPr>
                <w:rFonts w:ascii="Calibri" w:hAnsi="Calibri"/>
                <w:sz w:val="18"/>
              </w:rPr>
              <w:t xml:space="preserve">ᵢ,ₜ ∈ ℝ³² for every explained forecast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Evaluation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Accuracy vs naive persistence (Diebold–Mariano test), plus a reliability audit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φ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λ</w:t>
            </w:r>
            <w:r>
              <w:rPr>
                <w:rFonts w:ascii="Calibri" w:hAnsi="Calibri"/>
                <w:sz w:val="18"/>
              </w:rPr>
              <w:t xml:space="preserve">: faithfulness, stability, agreement, sanity, regime and sector drift</w:t>
            </w:r>
          </w:p>
        </w:tc>
      </w:tr>
    </w:tbl>
    <w:bookmarkEnd w:id="22"/>
    <w:bookmarkStart w:id="23" w:name="problem-statement-1"/>
    <w:p>
      <w:pPr>
        <w:pStyle w:val="Heading2"/>
      </w:pPr>
      <w:r>
        <w:t xml:space="preserve">1.4 Problem statement</w:t>
      </w:r>
    </w:p>
    <w:p>
      <w:pPr>
        <w:pStyle w:val="BlockText"/>
      </w:pPr>
      <w:r>
        <w:rPr>
          <w:bCs/>
          <w:b/>
        </w:rPr>
        <w:t xml:space="preserve">Given daily price and volume data for 474 S&amp;P 500 stocks (2012–2022), this project</w:t>
      </w:r>
      <w:r>
        <w:rPr>
          <w:bCs/>
          <w:b/>
        </w:rPr>
        <w:t xml:space="preserve"> </w:t>
      </w:r>
      <w:r>
        <w:rPr>
          <w:bCs/>
          <w:b/>
        </w:rPr>
        <w:t xml:space="preserve">builds a Random Forest that forecasts each stock’s next-day closing price, measures its</w:t>
      </w:r>
      <w:r>
        <w:rPr>
          <w:bCs/>
          <w:b/>
        </w:rPr>
        <w:t xml:space="preserve"> </w:t>
      </w:r>
      <w:r>
        <w:rPr>
          <w:bCs/>
          <w:b/>
        </w:rPr>
        <w:t xml:space="preserve">accuracy against naive and learned baselines with significance tests, and explains every</w:t>
      </w:r>
      <w:r>
        <w:rPr>
          <w:bCs/>
          <w:b/>
        </w:rPr>
        <w:t xml:space="preserve"> </w:t>
      </w:r>
      <w:r>
        <w:rPr>
          <w:bCs/>
          <w:b/>
        </w:rPr>
        <w:t xml:space="preserve">forecast with SHAP and LIME. It then determines whether those explanations can be</w:t>
      </w:r>
      <w:r>
        <w:rPr>
          <w:bCs/>
          <w:b/>
        </w:rPr>
        <w:t xml:space="preserve"> </w:t>
      </w:r>
      <w:r>
        <w:rPr>
          <w:bCs/>
          <w:b/>
        </w:rPr>
        <w:t xml:space="preserve">trusted, that is, whether they are faithful to the model, stable across random seeds and</w:t>
      </w:r>
      <w:r>
        <w:rPr>
          <w:bCs/>
          <w:b/>
        </w:rPr>
        <w:t xml:space="preserve"> </w:t>
      </w:r>
      <w:r>
        <w:rPr>
          <w:bCs/>
          <w:b/>
        </w:rPr>
        <w:t xml:space="preserve">yearly retraining, consistent with each other and with importance-based explainers,</w:t>
      </w:r>
      <w:r>
        <w:rPr>
          <w:bCs/>
          <w:b/>
        </w:rPr>
        <w:t xml:space="preserve"> </w:t>
      </w:r>
      <w:r>
        <w:rPr>
          <w:bCs/>
          <w:b/>
        </w:rPr>
        <w:t xml:space="preserve">different from the explanations of a model with no real signal, and consistent across</w:t>
      </w:r>
      <w:r>
        <w:rPr>
          <w:bCs/>
          <w:b/>
        </w:rPr>
        <w:t xml:space="preserve"> </w:t>
      </w:r>
      <w:r>
        <w:rPr>
          <w:bCs/>
          <w:b/>
        </w:rPr>
        <w:t xml:space="preserve">market regimes (pre-COVID bull, COVID crash, recovery, 2022 bear) and GICS sectors.</w:t>
      </w:r>
    </w:p>
    <w:bookmarkEnd w:id="23"/>
    <w:bookmarkStart w:id="24" w:name="research-questions"/>
    <w:p>
      <w:pPr>
        <w:pStyle w:val="Heading2"/>
      </w:pPr>
      <w:r>
        <w:t xml:space="preserve">1.5 Research questions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Research question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RQ1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How accurate is the Random Forest’s next-day closing-price forecast (Jan 2019 – May 2022), and how much of that accuracy exceeds naive persistence?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RQ2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Which features and feature families drive the forecasts, globally and for individual stock-days?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RQ3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Are the SHAP explanations faithful to the model, and stable across random seeds and yearly retraining?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RQ4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 explanations change significantly across market regimes and GICS sectors?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RQ5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 explanations differ from those of models trained on shuffled (signal-free) labels?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RQ6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SHAP and LIME agree, and which is more stable and faithful for this model?</w:t>
            </w:r>
          </w:p>
        </w:tc>
      </w:tr>
    </w:tbl>
    <w:bookmarkEnd w:id="24"/>
    <w:bookmarkStart w:id="25" w:name="objectives"/>
    <w:p>
      <w:pPr>
        <w:pStyle w:val="Heading2"/>
      </w:pPr>
      <w:r>
        <w:t xml:space="preserve">1.6 Objectives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Forecaster.</w:t>
      </w:r>
      <w:r>
        <w:t xml:space="preserve"> </w:t>
      </w:r>
      <w:r>
        <w:t xml:space="preserve">Build a leakage-free, walk-forward Random Forest next-day price</w:t>
      </w:r>
      <w:r>
        <w:t xml:space="preserve"> </w:t>
      </w:r>
      <w:r>
        <w:t xml:space="preserve">forecaster for 474 stocks.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Honest accuracy.</w:t>
      </w:r>
      <w:r>
        <w:t xml:space="preserve"> </w:t>
      </w:r>
      <w:r>
        <w:t xml:space="preserve">Benchmark it against naive persistence, historical drift, Ridge</w:t>
      </w:r>
      <w:r>
        <w:t xml:space="preserve"> </w:t>
      </w:r>
      <w:r>
        <w:t xml:space="preserve">regression and a price-level Random Forest, with Diebold–Mariano and binomial tests.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Explanations.</w:t>
      </w:r>
      <w:r>
        <w:t xml:space="preserve"> </w:t>
      </w:r>
      <w:r>
        <w:t xml:space="preserve">Explain every forecast with TreeSHAP and LIME, and compare four</w:t>
      </w:r>
      <w:r>
        <w:t xml:space="preserve"> </w:t>
      </w:r>
      <w:r>
        <w:t xml:space="preserve">explainers (TreeSHAP, LIME, permutation importance, MDI).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Reliability audit.</w:t>
      </w:r>
      <w:r>
        <w:t xml:space="preserve"> </w:t>
      </w:r>
      <w:r>
        <w:t xml:space="preserve">Test the explanations for faithfulness, stability and sanity</w:t>
      </w:r>
      <w:r>
        <w:t xml:space="preserve"> </w:t>
      </w:r>
      <w:r>
        <w:t xml:space="preserve">against shuffled-label models.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Drift tests.</w:t>
      </w:r>
      <w:r>
        <w:t xml:space="preserve"> </w:t>
      </w:r>
      <w:r>
        <w:t xml:space="preserve">Test explanation drift across regimes and sectors with permutation</w:t>
      </w:r>
      <w:r>
        <w:t xml:space="preserve"> </w:t>
      </w:r>
      <w:r>
        <w:t xml:space="preserve">tests.</w:t>
      </w:r>
    </w:p>
    <w:bookmarkEnd w:id="25"/>
    <w:bookmarkStart w:id="26" w:name="scope"/>
    <w:p>
      <w:pPr>
        <w:pStyle w:val="Heading2"/>
      </w:pPr>
      <w:r>
        <w:t xml:space="preserve">1.7 Scope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 scope:</w:t>
      </w:r>
    </w:p>
    <w:p>
      <w:pPr>
        <w:numPr>
          <w:ilvl w:val="1"/>
          <w:numId w:val="1006"/>
        </w:numPr>
        <w:pStyle w:val="Compact"/>
      </w:pPr>
      <w:r>
        <w:t xml:space="preserve">daily data;</w:t>
      </w:r>
    </w:p>
    <w:p>
      <w:pPr>
        <w:numPr>
          <w:ilvl w:val="1"/>
          <w:numId w:val="1006"/>
        </w:numPr>
        <w:pStyle w:val="Compact"/>
      </w:pPr>
      <w:r>
        <w:t xml:space="preserve">price and volume features only;</w:t>
      </w:r>
    </w:p>
    <w:p>
      <w:pPr>
        <w:numPr>
          <w:ilvl w:val="1"/>
          <w:numId w:val="1006"/>
        </w:numPr>
        <w:pStyle w:val="Compact"/>
      </w:pPr>
      <w:r>
        <w:t xml:space="preserve">one-day-ahead forecasts;</w:t>
      </w:r>
    </w:p>
    <w:p>
      <w:pPr>
        <w:numPr>
          <w:ilvl w:val="1"/>
          <w:numId w:val="1006"/>
        </w:numPr>
        <w:pStyle w:val="Compact"/>
      </w:pPr>
      <w:r>
        <w:t xml:space="preserve">S&amp;P 500 constituents;</w:t>
      </w:r>
    </w:p>
    <w:p>
      <w:pPr>
        <w:numPr>
          <w:ilvl w:val="1"/>
          <w:numId w:val="1006"/>
        </w:numPr>
        <w:pStyle w:val="Compact"/>
      </w:pPr>
      <w:r>
        <w:t xml:space="preserve">post-hoc explanations (SHAP, LIME).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Out of scope:</w:t>
      </w:r>
    </w:p>
    <w:p>
      <w:pPr>
        <w:numPr>
          <w:ilvl w:val="1"/>
          <w:numId w:val="1007"/>
        </w:numPr>
        <w:pStyle w:val="Compact"/>
      </w:pPr>
      <w:r>
        <w:t xml:space="preserve">news or sentiment data;</w:t>
      </w:r>
    </w:p>
    <w:p>
      <w:pPr>
        <w:numPr>
          <w:ilvl w:val="1"/>
          <w:numId w:val="1007"/>
        </w:numPr>
        <w:pStyle w:val="Compact"/>
      </w:pPr>
      <w:r>
        <w:t xml:space="preserve">fundamentals;</w:t>
      </w:r>
    </w:p>
    <w:p>
      <w:pPr>
        <w:numPr>
          <w:ilvl w:val="1"/>
          <w:numId w:val="1007"/>
        </w:numPr>
        <w:pStyle w:val="Compact"/>
      </w:pPr>
      <w:r>
        <w:t xml:space="preserve">intraday data;</w:t>
      </w:r>
    </w:p>
    <w:p>
      <w:pPr>
        <w:numPr>
          <w:ilvl w:val="1"/>
          <w:numId w:val="1007"/>
        </w:numPr>
        <w:pStyle w:val="Compact"/>
      </w:pPr>
      <w:r>
        <w:t xml:space="preserve">trading costs;</w:t>
      </w:r>
    </w:p>
    <w:p>
      <w:pPr>
        <w:numPr>
          <w:ilvl w:val="1"/>
          <w:numId w:val="1007"/>
        </w:numPr>
        <w:pStyle w:val="Compact"/>
      </w:pPr>
      <w:r>
        <w:t xml:space="preserve">portfolio optimisation;</w:t>
      </w:r>
    </w:p>
    <w:p>
      <w:pPr>
        <w:numPr>
          <w:ilvl w:val="1"/>
          <w:numId w:val="1007"/>
        </w:numPr>
        <w:pStyle w:val="Compact"/>
      </w:pPr>
      <w:r>
        <w:t xml:space="preserve">deep-learning models.</w:t>
      </w:r>
    </w:p>
    <w:bookmarkEnd w:id="26"/>
    <w:bookmarkStart w:id="27" w:name="contributions"/>
    <w:p>
      <w:pPr>
        <w:pStyle w:val="Heading2"/>
      </w:pPr>
      <w:r>
        <w:t xml:space="preserve">1.8 Contributions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Benchmarked accuracy.</w:t>
      </w:r>
      <w:r>
        <w:t xml:space="preserve"> </w:t>
      </w:r>
      <w:r>
        <w:t xml:space="preserve">Shows that a Random Forest’s 98.4% price accuracy equals naive</w:t>
      </w:r>
      <w:r>
        <w:t xml:space="preserve"> </w:t>
      </w:r>
      <w:r>
        <w:t xml:space="preserve">persistence, and that a price-level Random Forest is significantly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naive</w:t>
      </w:r>
      <w:r>
        <w:t xml:space="preserve"> </w:t>
      </w:r>
      <w:r>
        <w:t xml:space="preserve">despite R² = 0.993.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five-part reliability audit of SHAP and LIME</w:t>
      </w:r>
      <w:r>
        <w:t xml:space="preserve"> </w:t>
      </w:r>
      <w:r>
        <w:t xml:space="preserve">for stock forecasting: faithfulness,</w:t>
      </w:r>
      <w:r>
        <w:t xml:space="preserve"> </w:t>
      </w:r>
      <w:r>
        <w:t xml:space="preserve">stability, explainer agreement, sanity, and regime and sector drift.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direct SHAP-vs-LIME comparison</w:t>
      </w:r>
      <w:r>
        <w:t xml:space="preserve"> </w:t>
      </w:r>
      <w:r>
        <w:t xml:space="preserve">on the same forecasts: agreement, run-to-run</w:t>
      </w:r>
      <w:r>
        <w:t xml:space="preserve"> </w:t>
      </w:r>
      <w:r>
        <w:t xml:space="preserve">stability, local fidelity and faithfulness.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Statistical tests</w:t>
      </w:r>
      <w:r>
        <w:t xml:space="preserve"> </w:t>
      </w:r>
      <w:r>
        <w:t xml:space="preserve">of explanation drift across four market regimes and 11 sectors,</w:t>
      </w:r>
      <w:r>
        <w:t xml:space="preserve"> </w:t>
      </w:r>
      <w:r>
        <w:t xml:space="preserve">on a 474-stock universe.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tech-stack"/>
    <w:p>
      <w:pPr>
        <w:pStyle w:val="Heading1"/>
      </w:pPr>
      <w:r>
        <w:t xml:space="preserve">2. Tech stack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270"/>
        <w:gridCol w:w="3885"/>
        <w:gridCol w:w="4482"/>
      </w:tblGrid>
      <w:tr>
        <w:tc>
          <w:tcPr>
            <w:tcW w:type="dxa" w:w="127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Layer</w:t>
            </w:r>
          </w:p>
        </w:tc>
        <w:tc>
          <w:tcPr>
            <w:tcW w:type="dxa" w:w="388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Tool (version)</w:t>
            </w:r>
          </w:p>
        </w:tc>
        <w:tc>
          <w:tcPr>
            <w:tcW w:type="dxa" w:w="448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Used for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Language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Python 3.11.13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All code (8 scripts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src/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Environment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venv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Isolated, reproducible dependencies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Data handling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pandas 3.0.5, NumPy 2.1.3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Cleaning the panel, feature engineering (wide date × ticker tables), results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Machine learning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scikit-learn 1.9.1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RandomForestRegressor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(main model),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RandomForestClassifier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(direction),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RidgeCV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(baseline),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permutation_importance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XAI: SHAP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0.51.0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TreeExplainer</w:t>
            </w:r>
            <w:r>
              <w:rPr>
                <w:rFonts w:ascii="Calibri" w:hAnsi="Calibri"/>
                <w:sz w:val="18"/>
              </w:rPr>
              <w:t xml:space="preserve">: exact TreeSHAP values, local and global explanations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XAI: LIME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lime 0.2.0.1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LimeTabularExplainer</w:t>
            </w:r>
            <w:r>
              <w:rPr>
                <w:rFonts w:ascii="Calibri" w:hAnsi="Calibri"/>
                <w:sz w:val="18"/>
              </w:rPr>
              <w:t xml:space="preserve">: local surrogate explanations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Statistics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SciPy 1.17.1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Kendall τ, Spearman ρ, binomial test, normal distribution for the Diebold–Mariano test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Visualisation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Matplotlib 3.11.2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All 12 figures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Model storage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joblib 1.6.0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Saved yearly Random Forest models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Supporting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numba 0.67.0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Required by shap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Result formats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JSON, CSV, pickle, PNG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Metrics, importances, explanation samples, figures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Hardware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Apple M3 Pro (12 cores), 18 GB RAM, macOS 14.4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Full pipeline runs in about 30 minutes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Data source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ESTIMATE S&amp;P 500 benchmark (Huynh et al., WSDM 2023)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stocks, daily OHLCV and GICS sectors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Literature search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OpenAlex API, arXiv, publisher websites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Finding and verifying the 5 reviewed papers (2025–2026)</w:t>
            </w:r>
          </w:p>
        </w:tc>
      </w:tr>
    </w:tbl>
    <w:p>
      <w:pPr>
        <w:pStyle w:val="BodyText"/>
      </w:pPr>
      <w:r>
        <w:rPr>
          <w:bCs/>
          <w:b/>
        </w:rPr>
        <w:t xml:space="preserve">Pipeline.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482"/>
        <w:gridCol w:w="1482"/>
        <w:gridCol w:w="3706"/>
        <w:gridCol w:w="2965"/>
      </w:tblGrid>
      <w:tr>
        <w:tc>
          <w:tcPr>
            <w:tcW w:type="dxa" w:w="148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Step</w:t>
            </w:r>
          </w:p>
        </w:tc>
        <w:tc>
          <w:tcPr>
            <w:tcW w:type="dxa" w:w="148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Script</w:t>
            </w:r>
          </w:p>
        </w:tc>
        <w:tc>
          <w:tcPr>
            <w:tcW w:type="dxa" w:w="37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Does</w:t>
            </w:r>
          </w:p>
        </w:tc>
        <w:tc>
          <w:tcPr>
            <w:tcW w:type="dxa" w:w="296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Output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data.py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Clean the raw panel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data/panel_clean.pkl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32 features and next-day targets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data/features.pkl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tune.py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Hyperparameters on 2017–2018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results/tuning.json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train.py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Walk-forward forecasts, 2019–2022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results/predictions.pkl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models/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evaluate.py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Accuracy and significance tests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results/metrics.json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explain.py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explanations and reliability audit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results/xai.json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lime_explain.py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LIME explanations and SHAP-vs-LIME audit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results/lime.json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plots.py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All figures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results/figures/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literature-review"/>
    <w:p>
      <w:pPr>
        <w:pStyle w:val="Heading1"/>
      </w:pPr>
      <w:r>
        <w:t xml:space="preserve">3. Literature review</w:t>
      </w:r>
    </w:p>
    <w:p>
      <w:pPr>
        <w:pStyle w:val="FirstParagraph"/>
      </w:pPr>
      <w:r>
        <w:t xml:space="preserve">Five recent papers (2025–2026) closest to this project: stock prediction with Random Forest</w:t>
      </w:r>
      <w:r>
        <w:t xml:space="preserve"> </w:t>
      </w:r>
      <w:r>
        <w:t xml:space="preserve">or tree-based models, explained with SHAP or LIME, or tested for explanation stability.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602"/>
        <w:gridCol w:w="2258"/>
        <w:gridCol w:w="2258"/>
        <w:gridCol w:w="2258"/>
        <w:gridCol w:w="2258"/>
      </w:tblGrid>
      <w:tr>
        <w:tc>
          <w:tcPr>
            <w:tcW w:type="dxa" w:w="60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Paper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Authors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Methodology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Research gap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Stock Return Prediction on the LQ45 Market Index in the Indonesia Stock Exchange Using a Machine Learning Algorithm Based on Technical Indicators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Journal of Risk and Financial Management, 2025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S. Indra, Sudradjat Supian, Sukono, Riaman Riaman, Moch Panji Agung Saputra, Astrid Sulistya Azahra, Dede Irman Pirdaus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Random Forest, XGBoost, Linear and Ridge regression on technical indicators for 6 Indonesian stocks (5- and 21-day returns); SHAP to find the most important features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Only 6 stocks. SHAP results are reported but never checked to see if they are correct or stable.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Comparing model-specific and model-agnostic features importance methods using machine learning with technical indicators: A NASDAQ sector-based study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Machine Learning with Applications, 2025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Jeonghoe Lee, Lin Cai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Random Forest and neural networks on NASDAQ’s 11 sectors; compares different feature-importance methods for choosing technical indicators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Uses importance methods only to pick features. Does not test whether the explanations are trustworthy or change over time.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An Explainable AI for Stock Market Prediction: A Machine Learning Approach with XAI and Deep Neural Networks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Journal of Computational and Cognitive Engineering, 2025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Kangana Wallapure Manikrao, Shridhar Allagi, Wai Yie Leong, Mahantesh Laddi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LSTM with attention using sentiment and technical indicators; compared with Random Forest and XGBoost; SHAP and LIME for explanations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Uses SHAP and LIME side by side but does not check if they agree, or if LIME gives the same answer when run again.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Regime-Aware LightGBM for Stock Market Forecasting: A Validated Walk-Forward Framework with Statistical Rigor and Explainable AI Analysis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Electronics, 2026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A. Pagliaro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Tree model (LightGBM) on 51 NASDAQ-100 stocks, adjusted for bull and bear markets; explanations show the model behaves differently in each market phase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Says explanations change across market phases but does not test this statistically, and only covers 51 stocks.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Attention Integration Strategies in MLP-Based Stock Movement Prediction: Effects on Performance, Stability, and Interpretability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Electronics, 2026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Yoojeong Song, Woojin Cho, Sang Ik Han, Juhan Yoo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Neural network models trained 1,600 times with different random seeds on 20 stocks (10 CSI 300, 10 S&amp;P 500)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Found that explanations change with the random seed, but only tested neural networks, not Random Forest with SHAP or LIME.</w:t>
            </w:r>
          </w:p>
        </w:tc>
      </w:tr>
    </w:tbl>
    <w:p>
      <w:pPr>
        <w:pStyle w:val="BodyText"/>
      </w:pPr>
      <w:r>
        <w:rPr>
          <w:iCs/>
          <w:i/>
        </w:rPr>
        <w:t xml:space="preserve">Methods and gaps are based on each paper’s abstract and publicly available details;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them against the full texts before submission.</w:t>
      </w:r>
    </w:p>
    <w:p>
      <w:r>
        <w:pict>
          <v:rect style="width:0;height:1.5pt" o:hralign="center" o:hrstd="t" o:hr="t"/>
        </w:pict>
      </w:r>
    </w:p>
    <w:bookmarkEnd w:id="30"/>
    <w:bookmarkStart w:id="33" w:name="research-gap"/>
    <w:p>
      <w:pPr>
        <w:pStyle w:val="Heading1"/>
      </w:pPr>
      <w:r>
        <w:t xml:space="preserve">4. Research gap</w:t>
      </w:r>
    </w:p>
    <w:bookmarkStart w:id="31" w:name="what-is-missing"/>
    <w:p>
      <w:pPr>
        <w:pStyle w:val="Heading2"/>
      </w:pPr>
      <w:r>
        <w:t xml:space="preserve">4.1 What is missing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3907"/>
        <w:gridCol w:w="1823"/>
        <w:gridCol w:w="3907"/>
      </w:tblGrid>
      <w:tr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What is missing</w:t>
            </w:r>
          </w:p>
        </w:tc>
        <w:tc>
          <w:tcPr>
            <w:tcW w:type="dxa" w:w="182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Seen in</w:t>
            </w:r>
          </w:p>
        </w:tc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How this project addresses it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Correctness (faithfulness)</w:t>
            </w:r>
            <w:r>
              <w:rPr>
                <w:rFonts w:ascii="Calibri" w:hAnsi="Calibri"/>
                <w:sz w:val="18"/>
              </w:rPr>
              <w:t xml:space="preserve">: checking that SHAP or LIME point to features the model really uses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1, 3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Deletion tests: removing top-ranked features must change the forecast more than removing random ones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Stability</w:t>
            </w:r>
            <w:r>
              <w:rPr>
                <w:rFonts w:ascii="Calibri" w:hAnsi="Calibri"/>
                <w:sz w:val="18"/>
              </w:rPr>
              <w:t xml:space="preserve">: same explanation when the model is re-seeded or retrained, or LIME is re-run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1, 3, 5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 random seeds, yearly retraining, and 5 LIME runs per forecast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Agreement between explainers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2, 3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vs LIME vs permutation importance vs MDI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Tested changes across market phases and sectors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2, 4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Permutation tests across 4 market regimes and 11 sectors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Broad stock universe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1, 4, 5 (6–51 stocks)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S&amp;P 500 stocks</w:t>
            </w:r>
          </w:p>
        </w:tc>
      </w:tr>
    </w:tbl>
    <w:bookmarkEnd w:id="31"/>
    <w:bookmarkStart w:id="32" w:name="overall-research-gap"/>
    <w:p>
      <w:pPr>
        <w:pStyle w:val="Heading2"/>
      </w:pPr>
      <w:r>
        <w:t xml:space="preserve">4.2 Overall research gap</w:t>
      </w:r>
    </w:p>
    <w:p>
      <w:pPr>
        <w:pStyle w:val="BlockText"/>
      </w:pPr>
      <w:r>
        <w:rPr>
          <w:bCs/>
          <w:b/>
        </w:rPr>
        <w:t xml:space="preserve">These papers either use SHAP or LIME without checking whether the explanations can be</w:t>
      </w:r>
      <w:r>
        <w:rPr>
          <w:bCs/>
          <w:b/>
        </w:rPr>
        <w:t xml:space="preserve"> </w:t>
      </w:r>
      <w:r>
        <w:rPr>
          <w:bCs/>
          <w:b/>
        </w:rPr>
        <w:t xml:space="preserve">trusted, or check only one aspect on a small number of stocks. No paper tests, for a</w:t>
      </w:r>
      <w:r>
        <w:rPr>
          <w:bCs/>
          <w:b/>
        </w:rPr>
        <w:t xml:space="preserve"> </w:t>
      </w:r>
      <w:r>
        <w:rPr>
          <w:bCs/>
          <w:b/>
        </w:rPr>
        <w:t xml:space="preserve">Random Forest stock price model, whether SHAP and LIME explanations are (1) correct</w:t>
      </w:r>
      <w:r>
        <w:rPr>
          <w:bCs/>
          <w:b/>
        </w:rPr>
        <w:t xml:space="preserve"> </w:t>
      </w:r>
      <w:r>
        <w:rPr>
          <w:bCs/>
          <w:b/>
        </w:rPr>
        <w:t xml:space="preserve">(faithful to the model), (2) stable when the model or LIME is re-run, (3) in agreement</w:t>
      </w:r>
      <w:r>
        <w:rPr>
          <w:bCs/>
          <w:b/>
        </w:rPr>
        <w:t xml:space="preserve"> </w:t>
      </w:r>
      <w:r>
        <w:rPr>
          <w:bCs/>
          <w:b/>
        </w:rPr>
        <w:t xml:space="preserve">with each other, and (4) consistent across market phases such as the COVID crash and</w:t>
      </w:r>
      <w:r>
        <w:rPr>
          <w:bCs/>
          <w:b/>
        </w:rPr>
        <w:t xml:space="preserve"> </w:t>
      </w:r>
      <w:r>
        <w:rPr>
          <w:bCs/>
          <w:b/>
        </w:rPr>
        <w:t xml:space="preserve">across sectors. This project fills that gap on 474 S&amp;P 500 stocks, with price accuracy</w:t>
      </w:r>
      <w:r>
        <w:rPr>
          <w:bCs/>
          <w:b/>
        </w:rPr>
        <w:t xml:space="preserve"> </w:t>
      </w:r>
      <w:r>
        <w:rPr>
          <w:bCs/>
          <w:b/>
        </w:rPr>
        <w:t xml:space="preserve">benchmarked against a naive forecast.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ata"/>
    <w:p>
      <w:pPr>
        <w:pStyle w:val="Heading1"/>
      </w:pPr>
      <w:r>
        <w:t xml:space="preserve">5. Data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127"/>
        <w:gridCol w:w="7509"/>
      </w:tblGrid>
      <w:tr>
        <w:tc>
          <w:tcPr>
            <w:tcW w:type="dxa" w:w="212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Item</w:t>
            </w:r>
          </w:p>
        </w:tc>
        <w:tc>
          <w:tcPr>
            <w:tcW w:type="dxa" w:w="751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Detail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Source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Public S&amp;P 500 benchmark released with ESTIMATE (Huynh et al., WSDM 2023), also used by StockMixer (Fan &amp; Shen, AAAI 2024)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Universe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S&amp;P 500 constituents, 11 GICS sectors (21–67 stocks each)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Fields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Daily open, high, low, close, adjusted close, volume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Period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14 May 2012 – 25 May 2022 (2,526 trading days), including the COVID crash and the 2022 bear market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Usable stock-days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1,097,165 (after a 200-day feature warm-up and cleaning)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Test stock-days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405,545 (856 trading days, Jan 2019 – May 2022)</w:t>
            </w:r>
          </w:p>
        </w:tc>
      </w:tr>
    </w:tbl>
    <w:p>
      <w:pPr>
        <w:pStyle w:val="BodyText"/>
      </w:pPr>
      <w:r>
        <w:rPr>
          <w:bCs/>
          <w:b/>
        </w:rPr>
        <w:t xml:space="preserve">Cleaning (</w:t>
      </w:r>
      <w:r>
        <w:rPr>
          <w:rStyle w:val="VerbatimChar"/>
          <w:bCs/>
          <w:b/>
        </w:rPr>
        <w:t xml:space="preserve">data.py</w:t>
      </w:r>
      <w:r>
        <w:rPr>
          <w:bCs/>
          <w:b/>
        </w:rPr>
        <w:t xml:space="preserve">).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4251"/>
        <w:gridCol w:w="1133"/>
        <w:gridCol w:w="4251"/>
      </w:tblGrid>
      <w:tr>
        <w:tc>
          <w:tcPr>
            <w:tcW w:type="dxa" w:w="425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Issue found</w:t>
            </w:r>
          </w:p>
        </w:tc>
        <w:tc>
          <w:tcPr>
            <w:tcW w:type="dxa" w:w="11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Rows affected</w:t>
            </w:r>
          </w:p>
        </w:tc>
        <w:tc>
          <w:tcPr>
            <w:tcW w:type="dxa" w:w="425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Fix</w:t>
            </w:r>
          </w:p>
        </w:tc>
      </w:tr>
      <w:tr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Adjusted close missing before a stock was listed (e.g. PAYC, HLT)</w:t>
            </w:r>
          </w:p>
        </w:tc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3,450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Dropped</w:t>
            </w:r>
          </w:p>
        </w:tc>
      </w:tr>
      <w:tr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For 12 tickers, open/high/low were already dividend-adjusted while close was not, so high/low didn’t bracket the close</w:t>
            </w:r>
          </w:p>
        </w:tc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~27,000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Convention detected per ticker; OHLC put on one adjusted basis</w:t>
            </w:r>
          </w:p>
        </w:tc>
      </w:tr>
      <w:tr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GOOG before 27 March 2014: a different, unadjusted share-class series (a −300% jump)</w:t>
            </w:r>
          </w:p>
        </w:tc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Dropped</w:t>
            </w:r>
          </w:p>
        </w:tc>
      </w:tr>
    </w:tbl>
    <w:p>
      <w:pPr>
        <w:pStyle w:val="BodyText"/>
      </w:pPr>
      <w:r>
        <w:t xml:space="preserve">Real extreme moves are kept, e.g. the 9 March 2020 oil crash (APA −54%).</w:t>
      </w:r>
    </w:p>
    <w:p>
      <w:r>
        <w:pict>
          <v:rect style="width:0;height:1.5pt" o:hralign="center" o:hrstd="t" o:hr="t"/>
        </w:pict>
      </w:r>
    </w:p>
    <w:bookmarkEnd w:id="34"/>
    <w:bookmarkStart w:id="40" w:name="methodology"/>
    <w:p>
      <w:pPr>
        <w:pStyle w:val="Heading1"/>
      </w:pPr>
      <w:r>
        <w:t xml:space="preserve">6. Methodology</w:t>
      </w:r>
    </w:p>
    <w:bookmarkStart w:id="35" w:name="target-and-model"/>
    <w:p>
      <w:pPr>
        <w:pStyle w:val="Heading2"/>
      </w:pPr>
      <w:r>
        <w:t xml:space="preserve">6.1 Target and model</w:t>
      </w:r>
    </w:p>
    <w:p>
      <w:pPr>
        <w:pStyle w:val="FirstParagraph"/>
      </w:pPr>
      <w:r>
        <w:rPr>
          <w:bCs/>
          <w:b/>
        </w:rPr>
        <w:t xml:space="preserve">Target.</w:t>
      </w:r>
      <w:r>
        <w:t xml:space="preserve"> </w:t>
      </w:r>
      <w:r>
        <w:t xml:space="preserve">For stock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on day</w:t>
      </w:r>
      <w:r>
        <w:t xml:space="preserve"> </w:t>
      </w:r>
      <w:r>
        <w:rPr>
          <w:iCs/>
          <w:i/>
        </w:rPr>
        <w:t xml:space="preserve">t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the model predicts the next-day log return</w:t>
      </w:r>
      <w:r>
        <w:t xml:space="preserve"> </w:t>
      </w:r>
      <w:r>
        <w:rPr>
          <w:iCs/>
          <w:i/>
        </w:rPr>
        <w:t xml:space="preserve">r̂</w:t>
      </w:r>
      <w:r>
        <w:t xml:space="preserve">ᵢ,ₜ₊₁;</w:t>
      </w:r>
    </w:p>
    <w:p>
      <w:pPr>
        <w:numPr>
          <w:ilvl w:val="0"/>
          <w:numId w:val="1009"/>
        </w:numPr>
        <w:pStyle w:val="Compact"/>
      </w:pPr>
      <w:r>
        <w:t xml:space="preserve">the price forecast is</w:t>
      </w:r>
      <w:r>
        <w:t xml:space="preserve"> </w:t>
      </w:r>
      <w:r>
        <w:rPr>
          <w:iCs/>
          <w:i/>
        </w:rPr>
        <w:t xml:space="preserve">P̂</w:t>
      </w:r>
      <w:r>
        <w:t xml:space="preserve">ᵢ,ₜ₊₁ =</w:t>
      </w:r>
      <w:r>
        <w:t xml:space="preserve"> </w:t>
      </w:r>
      <w:r>
        <w:rPr>
          <w:iCs/>
          <w:i/>
        </w:rPr>
        <w:t xml:space="preserve">P</w:t>
      </w:r>
      <w:r>
        <w:t xml:space="preserve">ᵢ,ₜ · exp(</w:t>
      </w:r>
      <w:r>
        <w:rPr>
          <w:iCs/>
          <w:i/>
        </w:rPr>
        <w:t xml:space="preserve">r̂</w:t>
      </w:r>
      <w:r>
        <w:t xml:space="preserve">ᵢ,ₜ₊₁).</w:t>
      </w:r>
    </w:p>
    <w:p>
      <w:pPr>
        <w:pStyle w:val="FirstParagraph"/>
      </w:pPr>
      <w:r>
        <w:t xml:space="preserve">Forecasting returns rather than price levels lets one model serve stocks priced from $10</w:t>
      </w:r>
      <w:r>
        <w:t xml:space="preserve"> </w:t>
      </w:r>
      <w:r>
        <w:t xml:space="preserve">to $3,000, and avoids a tree’s inability to predict beyond the price range seen in training</w:t>
      </w:r>
      <w:r>
        <w:t xml:space="preserve"> </w:t>
      </w:r>
      <w:r>
        <w:t xml:space="preserve">(§7.1).</w:t>
      </w:r>
    </w:p>
    <w:p>
      <w:pPr>
        <w:pStyle w:val="BodyText"/>
      </w:pPr>
      <w:r>
        <w:rPr>
          <w:bCs/>
          <w:b/>
        </w:rPr>
        <w:t xml:space="preserve">Random Forest (scikit-learn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RandomForestRegressor</w:t>
      </w:r>
      <w:r>
        <w:rPr>
          <w:bCs/>
          <w:b/>
        </w:rP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Fixed settings:</w:t>
      </w:r>
      <w:r>
        <w:t xml:space="preserve"> </w:t>
      </w:r>
      <w:r>
        <w:t xml:space="preserve">300 trees, each on a 25% bootstrap sample.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Tuned settings: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∈ {200, 1000, 5000},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∈ {0.3, 0.6}.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Tuning:</w:t>
      </w:r>
      <w:r>
        <w:t xml:space="preserve"> </w:t>
      </w:r>
      <w:r>
        <w:t xml:space="preserve">by validation MSE averaged over 2017 and 2018, each validated with a model</w:t>
      </w:r>
      <w:r>
        <w:t xml:space="preserve"> </w:t>
      </w:r>
      <w:r>
        <w:t xml:space="preserve">trained on all earlier data.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Selected:</w:t>
      </w:r>
      <w:r>
        <w:t xml:space="preserve"> </w:t>
      </w:r>
      <w:r>
        <w:rPr>
          <w:rStyle w:val="VerbatimChar"/>
        </w:rPr>
        <w:t xml:space="preserve">min_samples_leaf = 5000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 = 0.3</w:t>
      </w:r>
      <w:r>
        <w:t xml:space="preserve">, the most regularised</w:t>
      </w:r>
      <w:r>
        <w:t xml:space="preserve"> </w:t>
      </w:r>
      <w:r>
        <w:t xml:space="preserve">option. That is itself a sign of a low signal-to-noise problem.</w:t>
      </w:r>
    </w:p>
    <w:bookmarkEnd w:id="35"/>
    <w:bookmarkStart w:id="36" w:name="features"/>
    <w:p>
      <w:pPr>
        <w:pStyle w:val="Heading2"/>
      </w:pPr>
      <w:r>
        <w:t xml:space="preserve">6.2 Features</w:t>
      </w:r>
    </w:p>
    <w:p>
      <w:pPr>
        <w:pStyle w:val="FirstParagraph"/>
      </w:pPr>
      <w:r>
        <w:t xml:space="preserve">32 features, each computed only from data up to day</w:t>
      </w:r>
      <w:r>
        <w:t xml:space="preserve"> </w:t>
      </w:r>
      <w:r>
        <w:rPr>
          <w:iCs/>
          <w:i/>
        </w:rPr>
        <w:t xml:space="preserve">t</w:t>
      </w:r>
      <w:r>
        <w:t xml:space="preserve">’s close: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Family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Features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Past returns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Log returns over 1, 2, 5, 10, 20, 60 days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Trend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Distance from 5/20/50/200-day moving average; MACD histogram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Oscillators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RSI(14), stochastic %K(14), Bollinger %B(20)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Volatility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Realised volatility (5, 20, 60 days), ATR(14), day range, Bollinger width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 vs 20-day average, 5 vs 20-day volume trend, log dollar volume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Candle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Overnight gap, open-to-close body, close position in the day range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Equal-weighted market return (1 day, 5 days) and 20-day volatility, sector 5-day return, 20-day relative strength, 60-day beta</w:t>
            </w:r>
          </w:p>
        </w:tc>
      </w:tr>
    </w:tbl>
    <w:bookmarkEnd w:id="36"/>
    <w:bookmarkStart w:id="37" w:name="evaluation-design"/>
    <w:p>
      <w:pPr>
        <w:pStyle w:val="Heading2"/>
      </w:pPr>
      <w:r>
        <w:t xml:space="preserve">6.3 Evaluation design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Walk-forward test.</w:t>
      </w:r>
      <w:r>
        <w:t xml:space="preserve"> </w:t>
      </w:r>
      <w:r>
        <w:t xml:space="preserve">At the start of 2019, 2020, 2021 and 2022, the model is retrained</w:t>
      </w:r>
      <w:r>
        <w:t xml:space="preserve"> </w:t>
      </w:r>
      <w:r>
        <w:t xml:space="preserve">on all stock-days from March 2013 up to the previous 31 December, then forecasts every</w:t>
      </w:r>
      <w:r>
        <w:t xml:space="preserve"> </w:t>
      </w:r>
      <w:r>
        <w:t xml:space="preserve">stock-day of that year. The test period is never used for tuning or design.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Baselines:</w:t>
      </w:r>
    </w:p>
    <w:p>
      <w:pPr>
        <w:numPr>
          <w:ilvl w:val="1"/>
          <w:numId w:val="1012"/>
        </w:numPr>
        <w:pStyle w:val="Compact"/>
      </w:pPr>
      <w:r>
        <w:t xml:space="preserve">naive persistence (</w:t>
      </w:r>
      <w:r>
        <w:rPr>
          <w:iCs/>
          <w:i/>
        </w:rPr>
        <w:t xml:space="preserve">P̂</w:t>
      </w:r>
      <w:r>
        <w:t xml:space="preserve">ₜ₊₁ =</w:t>
      </w:r>
      <w:r>
        <w:t xml:space="preserve"> </w:t>
      </w:r>
      <w:r>
        <w:rPr>
          <w:iCs/>
          <w:i/>
        </w:rPr>
        <w:t xml:space="preserve">P</w:t>
      </w:r>
      <w:r>
        <w:t xml:space="preserve">ₜ);</w:t>
      </w:r>
    </w:p>
    <w:p>
      <w:pPr>
        <w:numPr>
          <w:ilvl w:val="1"/>
          <w:numId w:val="1012"/>
        </w:numPr>
        <w:pStyle w:val="Compact"/>
      </w:pPr>
      <w:r>
        <w:t xml:space="preserve">historical drift (mean training return);</w:t>
      </w:r>
    </w:p>
    <w:p>
      <w:pPr>
        <w:numPr>
          <w:ilvl w:val="1"/>
          <w:numId w:val="1012"/>
        </w:numPr>
        <w:pStyle w:val="Compact"/>
      </w:pPr>
      <w:r>
        <w:t xml:space="preserve">Ridge regression on the same features;</w:t>
      </w:r>
    </w:p>
    <w:p>
      <w:pPr>
        <w:numPr>
          <w:ilvl w:val="1"/>
          <w:numId w:val="1012"/>
        </w:numPr>
        <w:pStyle w:val="Compact"/>
      </w:pPr>
      <w:r>
        <w:t xml:space="preserve">RF on raw price levels (close, 4 lags, open/high/low, moving averages in $);</w:t>
      </w:r>
    </w:p>
    <w:p>
      <w:pPr>
        <w:numPr>
          <w:ilvl w:val="1"/>
          <w:numId w:val="1012"/>
        </w:numPr>
        <w:pStyle w:val="Compact"/>
      </w:pPr>
      <w:r>
        <w:t xml:space="preserve">RF classifier for next-day direction.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Metrics:</w:t>
      </w:r>
    </w:p>
    <w:p>
      <w:pPr>
        <w:numPr>
          <w:ilvl w:val="1"/>
          <w:numId w:val="1013"/>
        </w:numPr>
        <w:pStyle w:val="Compact"/>
      </w:pPr>
      <w:r>
        <w:t xml:space="preserve">price: MAE, RMSE, MAPE, R², share within 1% and 2%;</w:t>
      </w:r>
    </w:p>
    <w:p>
      <w:pPr>
        <w:numPr>
          <w:ilvl w:val="1"/>
          <w:numId w:val="1013"/>
        </w:numPr>
        <w:pStyle w:val="Compact"/>
      </w:pPr>
      <w:r>
        <w:t xml:space="preserve">return skill: out-of-sample R² vs a zero forecast, daily IC and Rank IC, directional</w:t>
      </w:r>
      <w:r>
        <w:t xml:space="preserve"> </w:t>
      </w:r>
      <w:r>
        <w:t xml:space="preserve">accuracy, AUC;</w:t>
      </w:r>
    </w:p>
    <w:p>
      <w:pPr>
        <w:numPr>
          <w:ilvl w:val="1"/>
          <w:numId w:val="1013"/>
        </w:numPr>
        <w:pStyle w:val="Compact"/>
      </w:pPr>
      <w:r>
        <w:t xml:space="preserve">economic: top-minus-bottom decile next-day return.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Significance tests:</w:t>
      </w:r>
    </w:p>
    <w:p>
      <w:pPr>
        <w:numPr>
          <w:ilvl w:val="1"/>
          <w:numId w:val="1014"/>
        </w:numPr>
        <w:pStyle w:val="Compact"/>
      </w:pPr>
      <w:r>
        <w:t xml:space="preserve">Diebold–Mariano test (Newey–West, 5 lags) on daily mean squared percentage error vs</w:t>
      </w:r>
      <w:r>
        <w:t xml:space="preserve"> </w:t>
      </w:r>
      <w:r>
        <w:t xml:space="preserve">naive;</w:t>
      </w:r>
    </w:p>
    <w:p>
      <w:pPr>
        <w:numPr>
          <w:ilvl w:val="1"/>
          <w:numId w:val="1014"/>
        </w:numPr>
        <w:pStyle w:val="Compact"/>
      </w:pPr>
      <w:r>
        <w:t xml:space="preserve">binomial test of directional accuracy vs</w:t>
      </w:r>
      <w:r>
        <w:t xml:space="preserve"> </w:t>
      </w:r>
      <w:r>
        <w:t xml:space="preserve">“</w:t>
      </w:r>
      <w:r>
        <w:t xml:space="preserve">always predict the majority direction</w:t>
      </w:r>
      <w:r>
        <w:t xml:space="preserve">”</w:t>
      </w:r>
      <w:r>
        <w:t xml:space="preserve">.</w:t>
      </w:r>
    </w:p>
    <w:bookmarkEnd w:id="37"/>
    <w:bookmarkStart w:id="38" w:name="explanation-methods"/>
    <w:p>
      <w:pPr>
        <w:pStyle w:val="Heading2"/>
      </w:pPr>
      <w:r>
        <w:t xml:space="preserve">6.4 Explanation methods</w:t>
      </w:r>
    </w:p>
    <w:p>
      <w:pPr>
        <w:pStyle w:val="FirstParagraph"/>
      </w:pPr>
      <w:r>
        <w:rPr>
          <w:bCs/>
          <w:b/>
        </w:rPr>
        <w:t xml:space="preserve">TreeSHAP (</w:t>
      </w:r>
      <w:r>
        <w:rPr>
          <w:rStyle w:val="VerbatimChar"/>
          <w:bCs/>
          <w:b/>
        </w:rPr>
        <w:t xml:space="preserve">shap.TreeExplainer</w:t>
      </w:r>
      <w:r>
        <w:rPr>
          <w:bCs/>
          <w:b/>
        </w:rP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 it computes:</w:t>
      </w:r>
      <w:r>
        <w:t xml:space="preserve"> </w:t>
      </w:r>
      <w:r>
        <w:t xml:space="preserve">exact Shapley values for tree ensembles. For every forecast,</w:t>
      </w:r>
      <w:r>
        <w:t xml:space="preserve"> </w:t>
      </w:r>
      <w:r>
        <w:rPr>
          <w:iCs/>
          <w:i/>
        </w:rPr>
        <w:t xml:space="preserve">base value</w:t>
      </w:r>
      <w:r>
        <w:t xml:space="preserve"> </w:t>
      </w:r>
      <w:r>
        <w:t xml:space="preserve">+ Σ SHAP = prediction (verified: additivity error &lt; 3×10⁻¹⁷).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Sample:</w:t>
      </w:r>
      <w:r>
        <w:t xml:space="preserve"> </w:t>
      </w:r>
      <w:r>
        <w:t xml:space="preserve">40 random stocks per test day plus AAPL, MSFT, JPM, XOM and PFE on every</w:t>
      </w:r>
      <w:r>
        <w:t xml:space="preserve"> </w:t>
      </w:r>
      <w:r>
        <w:t xml:space="preserve">day, giving</w:t>
      </w:r>
      <w:r>
        <w:t xml:space="preserve"> </w:t>
      </w:r>
      <w:r>
        <w:rPr>
          <w:bCs/>
          <w:b/>
        </w:rPr>
        <w:t xml:space="preserve">38,183 stock-days</w:t>
      </w:r>
      <w:r>
        <w:t xml:space="preserve">, each explained by its own year’s model.</w:t>
      </w:r>
    </w:p>
    <w:p>
      <w:pPr>
        <w:pStyle w:val="FirstParagraph"/>
      </w:pPr>
      <w:r>
        <w:rPr>
          <w:bCs/>
          <w:b/>
        </w:rPr>
        <w:t xml:space="preserve">LIME (</w:t>
      </w:r>
      <w:r>
        <w:rPr>
          <w:rStyle w:val="VerbatimChar"/>
          <w:bCs/>
          <w:b/>
        </w:rPr>
        <w:t xml:space="preserve">lime.lime_tabular.LimeTabularExplainer</w:t>
      </w:r>
      <w:r>
        <w:rPr>
          <w:bCs/>
          <w:b/>
        </w:rP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for one forecast, it samples 5,000 perturbed inputs, weights them by</w:t>
      </w:r>
      <w:r>
        <w:t xml:space="preserve"> </w:t>
      </w:r>
      <w:r>
        <w:t xml:space="preserve">proximity, and fits a linear surrogate model whose weights form the explanation.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Settings:</w:t>
      </w:r>
      <w:r>
        <w:t xml:space="preserve"> </w:t>
      </w:r>
      <w:r>
        <w:t xml:space="preserve">default quartile discretisation; 5,000 training rows as the reference</w:t>
      </w:r>
      <w:r>
        <w:t xml:space="preserve"> </w:t>
      </w:r>
      <w:r>
        <w:t xml:space="preserve">distribution.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Sample:</w:t>
      </w:r>
      <w:r>
        <w:t xml:space="preserve"> </w:t>
      </w:r>
      <w:r>
        <w:rPr>
          <w:bCs/>
          <w:b/>
        </w:rPr>
        <w:t xml:space="preserve">804 stock-days</w:t>
      </w:r>
      <w:r>
        <w:t xml:space="preserve"> </w:t>
      </w:r>
      <w:r>
        <w:t xml:space="preserve">(200 per test year plus the local cases), each explained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5 different random seeds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Comparison explainers.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Permutation importance:</w:t>
      </w:r>
      <w:r>
        <w:t xml:space="preserve"> </w:t>
      </w:r>
      <w:r>
        <w:t xml:space="preserve">increase in test MSE when a feature is shuffled; 3 repeats.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MDI:</w:t>
      </w:r>
      <w:r>
        <w:t xml:space="preserve"> </w:t>
      </w:r>
      <w:r>
        <w:t xml:space="preserve">the Random Forest’s built-in impurity importance.</w:t>
      </w:r>
    </w:p>
    <w:p>
      <w:pPr>
        <w:pStyle w:val="FirstParagraph"/>
      </w:pPr>
      <w:r>
        <w:rPr>
          <w:bCs/>
          <w:b/>
        </w:rPr>
        <w:t xml:space="preserve">Derived explanations.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Global:</w:t>
      </w:r>
      <w:r>
        <w:t xml:space="preserve"> </w:t>
      </w:r>
      <w:r>
        <w:t xml:space="preserve">mean |SHAP| and mean |LIME weight| per feature.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Feature-family shares:</w:t>
      </w:r>
      <w:r>
        <w:t xml:space="preserve"> </w:t>
      </w:r>
      <w:r>
        <w:t xml:space="preserve">each family’s share of total |SHAP|.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Local, in dollars:</w:t>
      </w:r>
      <w:r>
        <w:t xml:space="preserve"> </w:t>
      </w:r>
      <w:r>
        <w:t xml:space="preserve">attribution × close price ≈ each feature’s dollar contribution to</w:t>
      </w:r>
      <w:r>
        <w:t xml:space="preserve"> </w:t>
      </w:r>
      <w:r>
        <w:t xml:space="preserve">the next-day price forecast.</w:t>
      </w:r>
    </w:p>
    <w:bookmarkEnd w:id="38"/>
    <w:bookmarkStart w:id="39" w:name="reliability-audit"/>
    <w:p>
      <w:pPr>
        <w:pStyle w:val="Heading2"/>
      </w:pPr>
      <w:r>
        <w:t xml:space="preserve">6.5 Reliability audit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770"/>
        <w:gridCol w:w="3933"/>
        <w:gridCol w:w="3933"/>
      </w:tblGrid>
      <w:tr>
        <w:tc>
          <w:tcPr>
            <w:tcW w:type="dxa" w:w="177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Check</w:t>
            </w:r>
          </w:p>
        </w:tc>
        <w:tc>
          <w:tcPr>
            <w:tcW w:type="dxa" w:w="39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SHAP</w:t>
            </w:r>
          </w:p>
        </w:tc>
        <w:tc>
          <w:tcPr>
            <w:tcW w:type="dxa" w:w="39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LIME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Faithfulness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Replace the top-</w:t>
            </w:r>
            <w:r>
              <w:rPr>
                <w:iCs/>
                <w:rFonts w:ascii="Calibri" w:hAnsi="Calibri"/>
                <w:i/>
                <w:sz w:val="18"/>
              </w:rPr>
              <w:t xml:space="preserve">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features (by |SHAP|) with values from 32 random training rows,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∈ {1, 2, 4, 8, 16, 32}; compare with random order; AOPC; fidelity = corr(SHAP mass removed, actual change)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Same deletion test, ordered by |LIME weight|, on the LIME sample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Stability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 random seeds on identical 2013–2019 data (4,000 stock-days from 2020); consecutive yearly retrains (4,000 stock-days from 2022); global Kendall τ and per-row Spearman ρ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Same stock-day explained with 5 LIME seeds: median ρ, top-5 overlap, identical top feature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Local fit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Exact by construction (additivity)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R² of LIME’s surrogate model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Agreement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Global Kendall τ among TreeSHAP, LIME, permutation and MDI; per-row SHAP vs LIME: Spearman ρ, top-5 overlap, same top feature, sign agreement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(same)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Sanity (data randomisation)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RFs trained on fully shuffled labels (no signal) and on labels shuffled within each day (keeps market-wide timing only)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Regime and sector drift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Mean pairwise total-variation distance (TVD) between family-share vectors; null distribution from 1,000 permutations that shuffle whole days (regimes) or whole stocks (sectors)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Regimes</w:t>
      </w:r>
      <w:r>
        <w:t xml:space="preserve"> </w:t>
      </w:r>
      <w:r>
        <w:t xml:space="preserve">(fixed in advance from market events):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Pre-COVID bull:</w:t>
      </w:r>
      <w:r>
        <w:t xml:space="preserve"> </w:t>
      </w:r>
      <w:r>
        <w:t xml:space="preserve">2019-01-01 → 2020-02-19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COVID crash:</w:t>
      </w:r>
      <w:r>
        <w:t xml:space="preserve"> </w:t>
      </w:r>
      <w:r>
        <w:t xml:space="preserve">2020-02-20 → 2020-03-23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Recovery:</w:t>
      </w:r>
      <w:r>
        <w:t xml:space="preserve"> </w:t>
      </w:r>
      <w:r>
        <w:t xml:space="preserve">2020-03-24 → 2021-12-31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2022 bear:</w:t>
      </w:r>
      <w:r>
        <w:t xml:space="preserve"> </w:t>
      </w:r>
      <w:r>
        <w:t xml:space="preserve">2022-01-01 → 2022-05-24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9" w:name="results"/>
    <w:p>
      <w:pPr>
        <w:pStyle w:val="Heading1"/>
      </w:pPr>
      <w:r>
        <w:t xml:space="preserve">7. Results</w:t>
      </w:r>
    </w:p>
    <w:bookmarkStart w:id="43" w:name="rq1-price-accuracy"/>
    <w:p>
      <w:pPr>
        <w:pStyle w:val="Heading2"/>
      </w:pPr>
      <w:r>
        <w:t xml:space="preserve">7.1 RQ1: price accuracy</w:t>
      </w:r>
    </w:p>
    <w:p>
      <w:pPr>
        <w:pStyle w:val="FirstParagraph"/>
      </w:pPr>
      <w:r>
        <w:rPr>
          <w:bCs/>
          <w:b/>
        </w:rPr>
        <w:t xml:space="preserve">Overall test performance</w:t>
      </w:r>
      <w:r>
        <w:t xml:space="preserve"> </w:t>
      </w:r>
      <w:r>
        <w:t xml:space="preserve">(405,545 stock-days, Jan 2019 – May 2022):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585"/>
        <w:gridCol w:w="1014"/>
        <w:gridCol w:w="1838"/>
        <w:gridCol w:w="1014"/>
        <w:gridCol w:w="1014"/>
        <w:gridCol w:w="1014"/>
        <w:gridCol w:w="1141"/>
        <w:gridCol w:w="1014"/>
      </w:tblGrid>
      <w:tr>
        <w:tc>
          <w:tcPr>
            <w:tcW w:type="dxa" w:w="158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Model</w:t>
            </w:r>
          </w:p>
        </w:tc>
        <w:tc>
          <w:tcPr>
            <w:tcW w:type="dxa" w:w="101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MAPE</w:t>
            </w:r>
          </w:p>
        </w:tc>
        <w:tc>
          <w:tcPr>
            <w:tcW w:type="dxa" w:w="183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“</w:t>
            </w:r>
            <w:r>
              <w:rPr>
                <w:rFonts w:ascii="Calibri" w:hAnsi="Calibri"/>
                <w:b/>
                <w:sz w:val="18"/>
              </w:rPr>
              <w:t xml:space="preserve">Price accuracy</w:t>
            </w:r>
            <w:r>
              <w:rPr>
                <w:rFonts w:ascii="Calibri" w:hAnsi="Calibri"/>
                <w:b/>
                <w:sz w:val="18"/>
              </w:rPr>
              <w:t xml:space="preserve">”</w:t>
            </w:r>
            <w:r>
              <w:rPr>
                <w:rFonts w:ascii="Calibri" w:hAnsi="Calibri"/>
                <w:b/>
                <w:sz w:val="18"/>
              </w:rPr>
              <w:t xml:space="preserve"> </w:t>
            </w:r>
            <w:r>
              <w:rPr>
                <w:rFonts w:ascii="Calibri" w:hAnsi="Calibri"/>
                <w:b/>
                <w:sz w:val="18"/>
              </w:rPr>
              <w:t xml:space="preserve">(100 − MAPE)</w:t>
            </w:r>
          </w:p>
        </w:tc>
        <w:tc>
          <w:tcPr>
            <w:tcW w:type="dxa" w:w="101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RMSE</w:t>
            </w:r>
          </w:p>
        </w:tc>
        <w:tc>
          <w:tcPr>
            <w:tcW w:type="dxa" w:w="101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 (price)</w:t>
            </w:r>
          </w:p>
        </w:tc>
        <w:tc>
          <w:tcPr>
            <w:tcW w:type="dxa" w:w="101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Within 2%</w:t>
            </w:r>
          </w:p>
        </w:tc>
        <w:tc>
          <w:tcPr>
            <w:tcW w:type="dxa" w:w="114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Direction accuracy</w:t>
            </w:r>
          </w:p>
        </w:tc>
        <w:tc>
          <w:tcPr>
            <w:tcW w:type="dxa" w:w="101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DM vs naive (p)</w:t>
            </w:r>
          </w:p>
        </w:tc>
      </w:tr>
      <w:tr>
        <w:tc>
          <w:tcPr>
            <w:tcW w:type="dxa" w:w="15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Naive (tomorrow = today)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1.561%</w:t>
            </w:r>
          </w:p>
        </w:tc>
        <w:tc>
          <w:tcPr>
            <w:tcW w:type="dxa" w:w="18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98.44%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$6.25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0.99938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75.3%</w:t>
            </w:r>
          </w:p>
        </w:tc>
        <w:tc>
          <w:tcPr>
            <w:tcW w:type="dxa" w:w="11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5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Historical drift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1.560%</w:t>
            </w:r>
          </w:p>
        </w:tc>
        <w:tc>
          <w:tcPr>
            <w:tcW w:type="dxa" w:w="18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98.44%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$6.25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0.99938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75.4%</w:t>
            </w:r>
          </w:p>
        </w:tc>
        <w:tc>
          <w:tcPr>
            <w:tcW w:type="dxa" w:w="11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52.8%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0.25</w:t>
            </w:r>
          </w:p>
        </w:tc>
      </w:tr>
      <w:tr>
        <w:tc>
          <w:tcPr>
            <w:tcW w:type="dxa" w:w="15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Ridge regression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1.567%</w:t>
            </w:r>
          </w:p>
        </w:tc>
        <w:tc>
          <w:tcPr>
            <w:tcW w:type="dxa" w:w="18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98.43%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$6.27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0.99937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75.3%</w:t>
            </w:r>
          </w:p>
        </w:tc>
        <w:tc>
          <w:tcPr>
            <w:tcW w:type="dxa" w:w="11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51.7%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0.17</w:t>
            </w:r>
          </w:p>
        </w:tc>
      </w:tr>
      <w:tr>
        <w:tc>
          <w:tcPr>
            <w:tcW w:type="dxa" w:w="15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on price levels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1.583%</w:t>
            </w:r>
          </w:p>
        </w:tc>
        <w:tc>
          <w:tcPr>
            <w:tcW w:type="dxa" w:w="18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98.42%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$21.56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0.99261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75.0%</w:t>
            </w:r>
          </w:p>
        </w:tc>
        <w:tc>
          <w:tcPr>
            <w:tcW w:type="dxa" w:w="11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50.8%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&lt; 0.001 (worse)</w:t>
            </w:r>
          </w:p>
        </w:tc>
      </w:tr>
      <w:tr>
        <w:tc>
          <w:tcPr>
            <w:tcW w:type="dxa" w:w="158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Random Forest (proposed)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1.560%</w:t>
            </w:r>
          </w:p>
        </w:tc>
        <w:tc>
          <w:tcPr>
            <w:tcW w:type="dxa" w:w="183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98.44%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$6.25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0.99938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75.4%</w:t>
            </w:r>
          </w:p>
        </w:tc>
        <w:tc>
          <w:tcPr>
            <w:tcW w:type="dxa" w:w="114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51.8%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0.30</w:t>
            </w:r>
          </w:p>
        </w:tc>
      </w:tr>
      <w:tr>
        <w:tc>
          <w:tcPr>
            <w:tcW w:type="dxa" w:w="15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classifier (direction)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83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51.9% (AUC 0.505)</w:t>
            </w:r>
          </w:p>
        </w:tc>
        <w:tc>
          <w:tcPr>
            <w:tcW w:type="dxa" w:w="101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this shows.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Accurate as a price forecast.</w:t>
      </w:r>
      <w:r>
        <w:t xml:space="preserve"> </w:t>
      </w:r>
      <w:r>
        <w:t xml:space="preserve">The Random Forest is within 1.56% of the actual next-day</w:t>
      </w:r>
      <w:r>
        <w:t xml:space="preserve"> </w:t>
      </w:r>
      <w:r>
        <w:t xml:space="preserve">close on average (98.44% price accuracy, R² 0.9994), and within 2% on 75% of stock-days.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But no better than naive.</w:t>
      </w:r>
      <w:r>
        <w:t xml:space="preserve"> </w:t>
      </w:r>
      <w:r>
        <w:t xml:space="preserve">Naive persistence scores the same; the difference is not</w:t>
      </w:r>
      <w:r>
        <w:t xml:space="preserve"> </w:t>
      </w:r>
      <w:r>
        <w:t xml:space="preserve">significant (Diebold–Mariano p = 0.30).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Almost no skill beyond persistence:</w:t>
      </w:r>
    </w:p>
    <w:p>
      <w:pPr>
        <w:numPr>
          <w:ilvl w:val="1"/>
          <w:numId w:val="1021"/>
        </w:numPr>
        <w:pStyle w:val="Compact"/>
      </w:pPr>
      <w:r>
        <w:t xml:space="preserve">out-of-sample return R² = +0.0001;</w:t>
      </w:r>
    </w:p>
    <w:p>
      <w:pPr>
        <w:numPr>
          <w:ilvl w:val="1"/>
          <w:numId w:val="1021"/>
        </w:numPr>
        <w:pStyle w:val="Compact"/>
      </w:pPr>
      <w:r>
        <w:t xml:space="preserve">daily IC = +0.009 (t = 1.39, not significant);</w:t>
      </w:r>
    </w:p>
    <w:p>
      <w:pPr>
        <w:numPr>
          <w:ilvl w:val="1"/>
          <w:numId w:val="1021"/>
        </w:numPr>
        <w:pStyle w:val="Compact"/>
      </w:pPr>
      <w:r>
        <w:t xml:space="preserve">direction accuracy 51.8%, below</w:t>
      </w:r>
      <w:r>
        <w:t xml:space="preserve"> </w:t>
      </w:r>
      <w:r>
        <w:t xml:space="preserve">“</w:t>
      </w:r>
      <w:r>
        <w:t xml:space="preserve">always predict the majority direction</w:t>
      </w:r>
      <w:r>
        <w:t xml:space="preserve">”</w:t>
      </w:r>
      <w:r>
        <w:t xml:space="preserve"> </w:t>
      </w:r>
      <w:r>
        <w:t xml:space="preserve">(52.8%).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 small, non-significant economic signal:</w:t>
      </w:r>
      <w:r>
        <w:t xml:space="preserve"> </w:t>
      </w:r>
      <w:r>
        <w:t xml:space="preserve">the top-minus-bottom decile of predicted</w:t>
      </w:r>
      <w:r>
        <w:t xml:space="preserve"> </w:t>
      </w:r>
      <w:r>
        <w:t xml:space="preserve">returns earned +8.0 bp/day (t = 1.50).</w:t>
      </w:r>
    </w:p>
    <w:p>
      <w:pPr>
        <w:pStyle w:val="FirstParagraph"/>
      </w:pPr>
      <w:r>
        <w:rPr>
          <w:bCs/>
          <w:b/>
        </w:rPr>
        <w:t xml:space="preserve">The price-level Random Forest shows why unbenchmarked accuracy misleads.</w:t>
      </w:r>
    </w:p>
    <w:p>
      <w:pPr>
        <w:numPr>
          <w:ilvl w:val="0"/>
          <w:numId w:val="1022"/>
        </w:numPr>
        <w:pStyle w:val="Compact"/>
      </w:pPr>
      <w:r>
        <w:t xml:space="preserve">It reports R² 0.993 and 98.4%</w:t>
      </w:r>
      <w:r>
        <w:t xml:space="preserve"> </w:t>
      </w:r>
      <w:r>
        <w:t xml:space="preserve">“</w:t>
      </w:r>
      <w:r>
        <w:t xml:space="preserve">accuracy</w:t>
      </w:r>
      <w:r>
        <w:t xml:space="preserve">”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Yet its RMSE is 3.4× naive, and it is significantly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naive (DM p &lt; 0.001).</w:t>
      </w:r>
    </w:p>
    <w:p>
      <w:pPr>
        <w:numPr>
          <w:ilvl w:val="0"/>
          <w:numId w:val="1022"/>
        </w:numPr>
        <w:pStyle w:val="Compact"/>
      </w:pPr>
      <w:r>
        <w:t xml:space="preserve">Its RMSE grows from $6 (2019) to $36 (2021) as prices trend to new highs, because trees</w:t>
      </w:r>
      <w:r>
        <w:t xml:space="preserve"> </w:t>
      </w:r>
      <w:r>
        <w:t xml:space="preserve">can’t predict above the training range.</w:t>
      </w:r>
    </w:p>
    <w:p>
      <w:pPr>
        <w:pStyle w:val="FirstParagraph"/>
      </w:pPr>
      <w:r>
        <w:rPr>
          <w:bCs/>
          <w:b/>
        </w:rPr>
        <w:t xml:space="preserve">By year and regime.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427"/>
        <w:gridCol w:w="1427"/>
        <w:gridCol w:w="1427"/>
        <w:gridCol w:w="1874"/>
        <w:gridCol w:w="2052"/>
        <w:gridCol w:w="1427"/>
      </w:tblGrid>
      <w:tr>
        <w:tc>
          <w:tcPr>
            <w:tcW w:type="dxa" w:w="142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Period</w:t>
            </w:r>
          </w:p>
        </w:tc>
        <w:tc>
          <w:tcPr>
            <w:tcW w:type="dxa" w:w="142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RF MAPE</w:t>
            </w:r>
          </w:p>
        </w:tc>
        <w:tc>
          <w:tcPr>
            <w:tcW w:type="dxa" w:w="142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Naive MAPE</w:t>
            </w:r>
          </w:p>
        </w:tc>
        <w:tc>
          <w:tcPr>
            <w:tcW w:type="dxa" w:w="187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RF direction accuracy</w:t>
            </w:r>
          </w:p>
        </w:tc>
        <w:tc>
          <w:tcPr>
            <w:tcW w:type="dxa" w:w="205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Majority-direction rule</w:t>
            </w:r>
          </w:p>
        </w:tc>
        <w:tc>
          <w:tcPr>
            <w:tcW w:type="dxa" w:w="142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RF daily IC</w:t>
            </w:r>
          </w:p>
        </w:tc>
      </w:tr>
      <w:tr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2019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1.11%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1.12%</w:t>
            </w:r>
          </w:p>
        </w:tc>
        <w:tc>
          <w:tcPr>
            <w:tcW w:type="dxa" w:w="187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53.5%</w:t>
            </w:r>
          </w:p>
        </w:tc>
        <w:tc>
          <w:tcPr>
            <w:tcW w:type="dxa" w:w="20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55.3%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+0.014</w:t>
            </w:r>
          </w:p>
        </w:tc>
      </w:tr>
      <w:tr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2020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2.20%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2.20%</w:t>
            </w:r>
          </w:p>
        </w:tc>
        <w:tc>
          <w:tcPr>
            <w:tcW w:type="dxa" w:w="187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51.0%</w:t>
            </w:r>
          </w:p>
        </w:tc>
        <w:tc>
          <w:tcPr>
            <w:tcW w:type="dxa" w:w="20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51.8%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</w:tr>
      <w:tr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2021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1.29%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1.29%</w:t>
            </w:r>
          </w:p>
        </w:tc>
        <w:tc>
          <w:tcPr>
            <w:tcW w:type="dxa" w:w="187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50.4%</w:t>
            </w:r>
          </w:p>
        </w:tc>
        <w:tc>
          <w:tcPr>
            <w:tcW w:type="dxa" w:w="20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53.2%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−0.008</w:t>
            </w:r>
          </w:p>
        </w:tc>
      </w:tr>
      <w:tr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2022 (Jan–May)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1.74%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1.74%</w:t>
            </w:r>
          </w:p>
        </w:tc>
        <w:tc>
          <w:tcPr>
            <w:tcW w:type="dxa" w:w="187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52.7%</w:t>
            </w:r>
          </w:p>
        </w:tc>
        <w:tc>
          <w:tcPr>
            <w:tcW w:type="dxa" w:w="20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51.5%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</w:tr>
      <w:tr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COVID crash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5.78%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5.72%</w:t>
            </w:r>
          </w:p>
        </w:tc>
        <w:tc>
          <w:tcPr>
            <w:tcW w:type="dxa" w:w="187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34.7%</w:t>
            </w:r>
          </w:p>
        </w:tc>
        <w:tc>
          <w:tcPr>
            <w:tcW w:type="dxa" w:w="20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65.8% (down)</w:t>
            </w:r>
          </w:p>
        </w:tc>
        <w:tc>
          <w:tcPr>
            <w:tcW w:type="dxa" w:w="142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−0.073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COVID crash:</w:t>
      </w:r>
      <w:r>
        <w:t xml:space="preserve"> </w:t>
      </w:r>
      <w:r>
        <w:t xml:space="preserve">the RF was significantly worse than naive (DM p = 0.04), because it kept</w:t>
      </w:r>
      <w:r>
        <w:t xml:space="preserve"> </w:t>
      </w:r>
      <w:r>
        <w:t xml:space="preserve">forecasting small rebounds while 66% of stock-days fell.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By sector:</w:t>
      </w:r>
      <w:r>
        <w:t xml:space="preserve"> </w:t>
      </w:r>
      <w:r>
        <w:t xml:space="preserve">MAPE ranges from 1.13% (Utilities) to 2.24% (Energy), and the RF equals</w:t>
      </w:r>
      <w:r>
        <w:t xml:space="preserve"> </w:t>
      </w:r>
      <w:r>
        <w:t xml:space="preserve">naive within 0.004 percentage points in every sector.</w:t>
      </w:r>
    </w:p>
    <w:p>
      <w:pPr>
        <w:pStyle w:val="CaptionedFigure"/>
      </w:pPr>
      <w:r>
        <w:drawing>
          <wp:inline>
            <wp:extent cx="6120000" cy="1850507"/>
            <wp:effectExtent b="0" l="0" r="0" t="0"/>
            <wp:docPr descr="Figure 1. Next-day price error and share of forecasts within 2%, by model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price_accurac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850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Next-day price error and share of forecasts within 2%, by model</w:t>
      </w:r>
    </w:p>
    <w:p>
      <w:pPr>
        <w:pStyle w:val="CaptionedFigure"/>
      </w:pPr>
      <w:r>
        <w:drawing>
          <wp:inline>
            <wp:extent cx="6120000" cy="3706627"/>
            <wp:effectExtent b="0" l="0" r="0" t="0"/>
            <wp:docPr descr="Figure 2. AAPL one-day-ahead forecasts vs actual closing price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price_paths_AAP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70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AAPL one-day-ahead forecasts vs actual closing prices</w:t>
      </w:r>
    </w:p>
    <w:bookmarkEnd w:id="43"/>
    <w:bookmarkStart w:id="47" w:name="rq2-what-drives-the-forecasts-shap"/>
    <w:p>
      <w:pPr>
        <w:pStyle w:val="Heading2"/>
      </w:pPr>
      <w:r>
        <w:t xml:space="preserve">7.2 RQ2: what drives the forecasts (SHAP)</w:t>
      </w:r>
    </w:p>
    <w:p>
      <w:pPr>
        <w:pStyle w:val="FirstParagraph"/>
      </w:pPr>
      <w:r>
        <w:rPr>
          <w:bCs/>
          <w:b/>
        </w:rPr>
        <w:t xml:space="preserve">Global importance</w:t>
      </w:r>
      <w:r>
        <w:t xml:space="preserve"> </w:t>
      </w:r>
      <w:r>
        <w:t xml:space="preserve">(mean |SHAP|, basis points of predicted return):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Rank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Feature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Family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Mean |SHAP| (bp)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20-day volatility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5.37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5-day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3.33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1-day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3.28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Overnight gap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Candle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Own 1-day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Past returns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0.57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Sector 5-day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0.53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ATR(14)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Volatility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0.43</w:t>
            </w:r>
          </w:p>
        </w:tc>
      </w:tr>
    </w:tbl>
    <w:p>
      <w:pPr>
        <w:pStyle w:val="BodyText"/>
      </w:pPr>
      <w:r>
        <w:rPr>
          <w:bCs/>
          <w:b/>
        </w:rPr>
        <w:t xml:space="preserve">Family shares.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Market &amp; sector context:</w:t>
      </w:r>
      <w:r>
        <w:t xml:space="preserve"> </w:t>
      </w:r>
      <w:r>
        <w:t xml:space="preserve">72.2%.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Other families:</w:t>
      </w:r>
      <w:r>
        <w:t xml:space="preserve"> </w:t>
      </w:r>
      <w:r>
        <w:t xml:space="preserve">volatility 7.6%, past returns 7.0%, candle 5.9%, trend 3.8%,</w:t>
      </w:r>
      <w:r>
        <w:t xml:space="preserve"> </w:t>
      </w:r>
      <w:r>
        <w:t xml:space="preserve">oscillators 2.0%, volume 1.5%.</w:t>
      </w:r>
    </w:p>
    <w:p>
      <w:pPr>
        <w:pStyle w:val="FirstParagraph"/>
      </w:pPr>
      <w:r>
        <w:rPr>
          <w:bCs/>
          <w:b/>
        </w:rPr>
        <w:t xml:space="preserve">What the features do</w:t>
      </w:r>
      <w:r>
        <w:t xml:space="preserve"> </w:t>
      </w:r>
      <w:r>
        <w:t xml:space="preserve">(dependence plots):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High market volatility</w:t>
      </w:r>
      <w:r>
        <w:t xml:space="preserve"> </w:t>
      </w:r>
      <w:r>
        <w:t xml:space="preserve">raises the forecast by +10–15 bp.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falling 5-day market</w:t>
      </w:r>
      <w:r>
        <w:t xml:space="preserve"> </w:t>
      </w:r>
      <w:r>
        <w:t xml:space="preserve">raises it by up to +25 bp.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strong up-day</w:t>
      </w:r>
      <w:r>
        <w:t xml:space="preserve"> </w:t>
      </w:r>
      <w:r>
        <w:t xml:space="preserve">for the market lowers it.</w:t>
      </w:r>
    </w:p>
    <w:p>
      <w:pPr>
        <w:pStyle w:val="FirstParagraph"/>
      </w:pPr>
      <w:r>
        <w:t xml:space="preserve">The model mainly learned</w:t>
      </w:r>
      <w:r>
        <w:t xml:space="preserve"> </w:t>
      </w:r>
      <w:r>
        <w:rPr>
          <w:bCs/>
          <w:b/>
        </w:rPr>
        <w:t xml:space="preserve">market-wide short-term reversal after volatile sell-offs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Local example: AAPL on 16 March 2020</w:t>
      </w:r>
      <w:r>
        <w:t xml:space="preserve"> </w:t>
      </w:r>
      <w:r>
        <w:t xml:space="preserve">(worst day of the COVID crash):</w:t>
      </w:r>
    </w:p>
    <w:p>
      <w:pPr>
        <w:numPr>
          <w:ilvl w:val="0"/>
          <w:numId w:val="1026"/>
        </w:numPr>
        <w:pStyle w:val="Compact"/>
      </w:pPr>
      <w:r>
        <w:t xml:space="preserve">close $59.64 → forecast $59.82; actual next close $62.27;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pushing the forecast up:</w:t>
      </w:r>
      <w:r>
        <w:t xml:space="preserve"> </w:t>
      </w:r>
      <w:r>
        <w:t xml:space="preserve">market volatility (+$0.08), the −17.8% 5-day market fall</w:t>
      </w:r>
      <w:r>
        <w:t xml:space="preserve"> </w:t>
      </w:r>
      <w:r>
        <w:t xml:space="preserve">(+$0.04);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pushing it down:</w:t>
      </w:r>
      <w:r>
        <w:t xml:space="preserve"> </w:t>
      </w:r>
      <w:r>
        <w:t xml:space="preserve">the −13.7% market day (−$0.01) and the overnight gap (−$0.01).</w:t>
      </w:r>
    </w:p>
    <w:p>
      <w:pPr>
        <w:pStyle w:val="CaptionedFigure"/>
      </w:pPr>
      <w:r>
        <w:drawing>
          <wp:inline>
            <wp:extent cx="6120000" cy="4258785"/>
            <wp:effectExtent b="0" l="0" r="0" t="0"/>
            <wp:docPr descr="Figure 3. Top 15 features by mean |SHAP|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hap_glob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258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Top 15 features by mean |SHAP|</w:t>
      </w:r>
    </w:p>
    <w:p>
      <w:pPr>
        <w:pStyle w:val="CaptionedFigure"/>
      </w:pPr>
      <w:r>
        <w:drawing>
          <wp:inline>
            <wp:extent cx="6120000" cy="2082689"/>
            <wp:effectExtent b="0" l="0" r="0" t="0"/>
            <wp:docPr descr="Figure 4. How the top features move the forecast (SHAP dependence)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hap_depend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082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How the top features move the forecast (SHAP dependence)</w:t>
      </w:r>
    </w:p>
    <w:p>
      <w:pPr>
        <w:pStyle w:val="CaptionedFigure"/>
      </w:pPr>
      <w:r>
        <w:drawing>
          <wp:inline>
            <wp:extent cx="6120000" cy="1981315"/>
            <wp:effectExtent b="0" l="0" r="0" t="0"/>
            <wp:docPr descr="Figure 5. Local SHAP explanations in dollars for individual stock-day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local_explan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98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Local SHAP explanations in dollars for individual stock-days</w:t>
      </w:r>
    </w:p>
    <w:bookmarkEnd w:id="47"/>
    <w:bookmarkStart w:id="50" w:name="Xdf9f32c9c79d6e2fbab815beb450110b5e161ac"/>
    <w:p>
      <w:pPr>
        <w:pStyle w:val="Heading2"/>
      </w:pPr>
      <w:r>
        <w:t xml:space="preserve">7.3 RQ3: are the SHAP explanations faithful and stable?</w:t>
      </w:r>
    </w:p>
    <w:p>
      <w:pPr>
        <w:pStyle w:val="FirstParagraph"/>
      </w:pPr>
      <w:r>
        <w:rPr>
          <w:bCs/>
          <w:b/>
        </w:rPr>
        <w:t xml:space="preserve">Faithfulness.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Features removed (k)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2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4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8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16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32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|Δ forecast|, top-SHAP first (bp)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8.70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8.39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8.36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8.47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8.56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8.59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|Δ forecast|, random order (bp)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1.19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2.04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3.65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5.88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8.59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Fidelity: corr(SHAP mass removed, actual Δ)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</w:tr>
    </w:tbl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Faithful.</w:t>
      </w:r>
      <w:r>
        <w:t xml:space="preserve"> </w:t>
      </w:r>
      <w:r>
        <w:t xml:space="preserve">Removing the single top-SHAP feature changes a forecast</w:t>
      </w:r>
      <w:r>
        <w:t xml:space="preserve"> </w:t>
      </w:r>
      <w:r>
        <w:rPr>
          <w:bCs/>
          <w:b/>
        </w:rPr>
        <w:t xml:space="preserve">13×</w:t>
      </w:r>
      <w:r>
        <w:t xml:space="preserve"> </w:t>
      </w:r>
      <w:r>
        <w:t xml:space="preserve">more than</w:t>
      </w:r>
      <w:r>
        <w:t xml:space="preserve"> </w:t>
      </w:r>
      <w:r>
        <w:t xml:space="preserve">removing a random one (AOPC 8.51 vs 3.67 bp), and fidelity is ≥ 0.98.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One feature does almost all the work:</w:t>
      </w:r>
      <w:r>
        <w:t xml:space="preserve"> </w:t>
      </w:r>
      <w:r>
        <w:t xml:space="preserve">removing it moves the forecast as much as</w:t>
      </w:r>
      <w:r>
        <w:t xml:space="preserve"> </w:t>
      </w:r>
      <w:r>
        <w:t xml:space="preserve">removing all 32.</w:t>
      </w:r>
    </w:p>
    <w:p>
      <w:pPr>
        <w:pStyle w:val="FirstParagraph"/>
      </w:pPr>
      <w:r>
        <w:rPr>
          <w:bCs/>
          <w:b/>
        </w:rPr>
        <w:t xml:space="preserve">Stability.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Comparison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Global ranking τ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Top-5 overlap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Per-stock-day ρ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 random seeds, same data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0.86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2019 vs 2020 model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80%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2020 vs 2021 model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0.44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100%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0.57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2021 vs 2022 model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0.77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80%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0.77</w:t>
            </w:r>
          </w:p>
        </w:tc>
      </w:tr>
    </w:tbl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Stable to the random seed</w:t>
      </w:r>
      <w:r>
        <w:t xml:space="preserve"> </w:t>
      </w:r>
      <w:r>
        <w:t xml:space="preserve">(forecast correlation between seeds 0.99).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Less stable to retraining:</w:t>
      </w:r>
      <w:r>
        <w:t xml:space="preserve"> </w:t>
      </w:r>
      <w:r>
        <w:t xml:space="preserve">once 2020 (COVID) enters the training data, agreement</w:t>
      </w:r>
      <w:r>
        <w:t xml:space="preserve"> </w:t>
      </w:r>
      <w:r>
        <w:t xml:space="preserve">drops to τ = 0.44. The top 5 stay the same, but the other 27 features reorder.</w:t>
      </w:r>
    </w:p>
    <w:p>
      <w:pPr>
        <w:pStyle w:val="CaptionedFigure"/>
      </w:pPr>
      <w:r>
        <w:drawing>
          <wp:inline>
            <wp:extent cx="6120000" cy="3406506"/>
            <wp:effectExtent b="0" l="0" r="0" t="0"/>
            <wp:docPr descr="Figure 6. Faithfulness: forecast change when top-SHAP vs random features are removed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faithfuln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06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Faithfulness: forecast change when top-SHAP vs random features are removed</w:t>
      </w:r>
    </w:p>
    <w:p>
      <w:pPr>
        <w:pStyle w:val="CaptionedFigure"/>
      </w:pPr>
      <w:r>
        <w:drawing>
          <wp:inline>
            <wp:extent cx="6120000" cy="2418873"/>
            <wp:effectExtent b="0" l="0" r="0" t="0"/>
            <wp:docPr descr="Figure 7. Stability across seeds and retraining, and comparison with no-signal model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tability_san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418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Stability across seeds and retraining, and comparison with no-signal models</w:t>
      </w:r>
    </w:p>
    <w:bookmarkEnd w:id="50"/>
    <w:bookmarkStart w:id="53" w:name="rq4-regime-and-sector-drift"/>
    <w:p>
      <w:pPr>
        <w:pStyle w:val="Heading2"/>
      </w:pPr>
      <w:r>
        <w:t xml:space="preserve">7.4 RQ4: regime and sector drift</w:t>
      </w:r>
    </w:p>
    <w:p>
      <w:pPr>
        <w:pStyle w:val="FirstParagraph"/>
      </w:pPr>
      <w:r>
        <w:rPr>
          <w:bCs/>
          <w:b/>
        </w:rPr>
        <w:t xml:space="preserve">Regimes: significant drift</w:t>
      </w:r>
      <w:r>
        <w:t xml:space="preserve"> </w:t>
      </w:r>
      <w:r>
        <w:t xml:space="preserve">(TVD 0.054 vs null 0.017,</w:t>
      </w:r>
      <w:r>
        <w:t xml:space="preserve"> </w:t>
      </w:r>
      <w:r>
        <w:rPr>
          <w:bCs/>
          <w:b/>
        </w:rPr>
        <w:t xml:space="preserve">p = 0.003</w:t>
      </w:r>
      <w:r>
        <w:t xml:space="preserve">).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Family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Pre-COVID bull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COVID crash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Recovery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2022 bear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71.2%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74.7%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71.7%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74.7%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Volatility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5.1%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5.9%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8.3%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9.2%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Past returns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8.7%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7.2%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6.5%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6.0%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Trend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4.6%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5.9%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2.3%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Candle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6.3%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4.1%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4.9%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Oscillators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2.4%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2.1%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1.2%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1.4%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1.7%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Volatility nearly doubles</w:t>
      </w:r>
      <w:r>
        <w:t xml:space="preserve"> </w:t>
      </w:r>
      <w:r>
        <w:t xml:space="preserve">(5.1% → 9.2%);</w:t>
      </w:r>
      <w:r>
        <w:t xml:space="preserve"> </w:t>
      </w:r>
      <w:r>
        <w:rPr>
          <w:bCs/>
          <w:b/>
        </w:rPr>
        <w:t xml:space="preserve">past returns fade</w:t>
      </w:r>
      <w:r>
        <w:t xml:space="preserve">;</w:t>
      </w:r>
      <w:r>
        <w:t xml:space="preserve"> </w:t>
      </w:r>
      <w:r>
        <w:rPr>
          <w:bCs/>
          <w:b/>
        </w:rPr>
        <w:t xml:space="preserve">trend peaks in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feature ranking reorders:</w:t>
      </w:r>
      <w:r>
        <w:t xml:space="preserve"> </w:t>
      </w:r>
      <w:r>
        <w:t xml:space="preserve">rank correlation falls to 0.46 between the COVID crash</w:t>
      </w:r>
      <w:r>
        <w:t xml:space="preserve"> </w:t>
      </w:r>
      <w:r>
        <w:t xml:space="preserve">and the 2022 bear, against 0.84 between the pre-COVID bull and the crash.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top-3 market features never change.</w:t>
      </w:r>
    </w:p>
    <w:p>
      <w:pPr>
        <w:pStyle w:val="FirstParagraph"/>
      </w:pPr>
      <w:r>
        <w:rPr>
          <w:bCs/>
          <w:b/>
        </w:rPr>
        <w:t xml:space="preserve">Sectors: significant, but a smaller effect</w:t>
      </w:r>
      <w:r>
        <w:t xml:space="preserve"> </w:t>
      </w:r>
      <w:r>
        <w:t xml:space="preserve">(TVD 0.036 vs null 0.011,</w:t>
      </w:r>
      <w:r>
        <w:t xml:space="preserve"> </w:t>
      </w:r>
      <w:r>
        <w:rPr>
          <w:bCs/>
          <w:b/>
        </w:rPr>
        <w:t xml:space="preserve">p = 0.001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Volatile sectors use more volatility features:</w:t>
      </w:r>
      <w:r>
        <w:t xml:space="preserve"> </w:t>
      </w:r>
      <w:r>
        <w:t xml:space="preserve">Energy 10.4%, Consumer Discretionary</w:t>
      </w:r>
      <w:r>
        <w:t xml:space="preserve"> </w:t>
      </w:r>
      <w:r>
        <w:t xml:space="preserve">9.5%, Communication Services 9.4%.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Defensive sectors rely more on market context:</w:t>
      </w:r>
      <w:r>
        <w:t xml:space="preserve"> </w:t>
      </w:r>
      <w:r>
        <w:t xml:space="preserve">Utilities 76.1%, Consumer Staples</w:t>
      </w:r>
      <w:r>
        <w:t xml:space="preserve"> </w:t>
      </w:r>
      <w:r>
        <w:t xml:space="preserve">76.4%, against Energy 66.8%.</w:t>
      </w:r>
    </w:p>
    <w:p>
      <w:pPr>
        <w:pStyle w:val="CaptionedFigure"/>
      </w:pPr>
      <w:r>
        <w:drawing>
          <wp:inline>
            <wp:extent cx="6120000" cy="2319083"/>
            <wp:effectExtent b="0" l="0" r="0" t="0"/>
            <wp:docPr descr="Figure 8. Share of SHAP attribution by feature family across market regime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regime_family_sha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319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Share of SHAP attribution by feature family across market regimes</w:t>
      </w:r>
    </w:p>
    <w:p>
      <w:pPr>
        <w:pStyle w:val="CaptionedFigure"/>
      </w:pPr>
      <w:r>
        <w:drawing>
          <wp:inline>
            <wp:extent cx="6120000" cy="3273568"/>
            <wp:effectExtent b="0" l="0" r="0" t="0"/>
            <wp:docPr descr="Figure 9. Share of SHAP attribution by feature family and GICS sector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ector_family_sha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273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Share of SHAP attribution by feature family and GICS sector</w:t>
      </w:r>
    </w:p>
    <w:bookmarkEnd w:id="53"/>
    <w:bookmarkStart w:id="54" w:name="X3345dc99066252a5e56ae0d7ca240222d91f50d"/>
    <w:p>
      <w:pPr>
        <w:pStyle w:val="Heading2"/>
      </w:pPr>
      <w:r>
        <w:t xml:space="preserve">7.5 RQ5: sanity check against no-signal models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3480"/>
        <w:gridCol w:w="1070"/>
        <w:gridCol w:w="1472"/>
        <w:gridCol w:w="1405"/>
        <w:gridCol w:w="1070"/>
        <w:gridCol w:w="1137"/>
      </w:tblGrid>
      <w:tr>
        <w:tc>
          <w:tcPr>
            <w:tcW w:type="dxa" w:w="348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Model trained on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Test IC</w:t>
            </w:r>
          </w:p>
        </w:tc>
        <w:tc>
          <w:tcPr>
            <w:tcW w:type="dxa" w:w="147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Total mean |SHAP| (bp)</w:t>
            </w:r>
          </w:p>
        </w:tc>
        <w:tc>
          <w:tcPr>
            <w:tcW w:type="dxa" w:w="1406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Market &amp; sector share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τ vs real model</w:t>
            </w:r>
          </w:p>
        </w:tc>
        <w:tc>
          <w:tcPr>
            <w:tcW w:type="dxa" w:w="113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Per-row ρ vs real</w:t>
            </w:r>
          </w:p>
        </w:tc>
      </w:tr>
      <w:tr>
        <w:tc>
          <w:tcPr>
            <w:tcW w:type="dxa" w:w="34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Real labels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  <w:tc>
          <w:tcPr>
            <w:tcW w:type="dxa" w:w="14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20.8</w:t>
            </w:r>
          </w:p>
        </w:tc>
        <w:tc>
          <w:tcPr>
            <w:tcW w:type="dxa" w:w="1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77.3%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3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34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Fully shuffled labels (no signal)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−0.023</w:t>
            </w:r>
          </w:p>
        </w:tc>
        <w:tc>
          <w:tcPr>
            <w:tcW w:type="dxa" w:w="14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2.6</w:t>
            </w:r>
          </w:p>
        </w:tc>
        <w:tc>
          <w:tcPr>
            <w:tcW w:type="dxa" w:w="1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19.6%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0.13</w:t>
            </w:r>
          </w:p>
        </w:tc>
        <w:tc>
          <w:tcPr>
            <w:tcW w:type="dxa" w:w="113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0.13</w:t>
            </w:r>
          </w:p>
        </w:tc>
      </w:tr>
      <w:tr>
        <w:tc>
          <w:tcPr>
            <w:tcW w:type="dxa" w:w="34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Labels shuffled within each day (market timing only)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+0.011</w:t>
            </w:r>
          </w:p>
        </w:tc>
        <w:tc>
          <w:tcPr>
            <w:tcW w:type="dxa" w:w="14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19.5</w:t>
            </w:r>
          </w:p>
        </w:tc>
        <w:tc>
          <w:tcPr>
            <w:tcW w:type="dxa" w:w="1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84.5%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0.56</w:t>
            </w:r>
          </w:p>
        </w:tc>
        <w:tc>
          <w:tcPr>
            <w:tcW w:type="dxa" w:w="113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0.60</w:t>
            </w:r>
          </w:p>
        </w:tc>
      </w:tr>
    </w:tbl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explanations pass the sanity check.</w:t>
      </w:r>
      <w:r>
        <w:t xml:space="preserve"> </w:t>
      </w:r>
      <w:r>
        <w:t xml:space="preserve">A no-signal model gives explanations 8×</w:t>
      </w:r>
      <w:r>
        <w:t xml:space="preserve"> </w:t>
      </w:r>
      <w:r>
        <w:t xml:space="preserve">weaker and unrelated to the real ones.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But they are mostly about market-wide timing.</w:t>
      </w:r>
      <w:r>
        <w:t xml:space="preserve"> </w:t>
      </w:r>
      <w:r>
        <w:t xml:space="preserve">A model that can only learn market-wide</w:t>
      </w:r>
      <w:r>
        <w:t xml:space="preserve"> </w:t>
      </w:r>
      <w:r>
        <w:t xml:space="preserve">timing reproduces 94% of the explanation magnitude and τ = 0.56 of the ranking.</w:t>
      </w:r>
    </w:p>
    <w:bookmarkEnd w:id="54"/>
    <w:bookmarkStart w:id="58" w:name="rq6-shap-vs-lime"/>
    <w:p>
      <w:pPr>
        <w:pStyle w:val="Heading2"/>
      </w:pPr>
      <w:r>
        <w:t xml:space="preserve">7.6 RQ6: SHAP vs LIME</w:t>
      </w:r>
    </w:p>
    <w:p>
      <w:pPr>
        <w:pStyle w:val="FirstParagraph"/>
      </w:pPr>
      <w:r>
        <w:rPr>
          <w:bCs/>
          <w:b/>
        </w:rPr>
        <w:t xml:space="preserve">Global agreement between four explainers</w:t>
      </w:r>
      <w:r>
        <w:t xml:space="preserve"> </w:t>
      </w:r>
      <w:r>
        <w:t xml:space="preserve">(Kendall τ; top-5 overlap in brackets):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spacing w:after="40"/>
            </w:pP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LIME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Permutation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MDI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TreeSHAP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0.73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(4/5)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0.03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(3/5)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0.69 (4/5)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LIME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0.07 (3/5)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0.69 (4/5)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Permutation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0.15 (4/5)</w:t>
            </w:r>
          </w:p>
        </w:tc>
      </w:tr>
    </w:tbl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Globally, SHAP and LIME agree well</w:t>
      </w:r>
      <w:r>
        <w:t xml:space="preserve"> </w:t>
      </w:r>
      <w:r>
        <w:t xml:space="preserve">(τ = 0.73), and both agree with MDI.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All three disagree with permutation importance</w:t>
      </w:r>
      <w:r>
        <w:t xml:space="preserve"> </w:t>
      </w:r>
      <w:r>
        <w:t xml:space="preserve">(τ ≤ 0.15). Only 4 of 32 features</w:t>
      </w:r>
      <w:r>
        <w:t xml:space="preserve"> </w:t>
      </w:r>
      <w:r>
        <w:t xml:space="preserve">measurably improve accuracy (permutation importance &gt; 2 SD): market volatility, sector</w:t>
      </w:r>
      <w:r>
        <w:t xml:space="preserve"> </w:t>
      </w:r>
      <w:r>
        <w:t xml:space="preserve">5-day return, Bollinger width and volume trend; 15 have negative permutation importance.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Meaning:</w:t>
      </w:r>
      <w:r>
        <w:t xml:space="preserve"> </w:t>
      </w:r>
      <w:r>
        <w:t xml:space="preserve">SHAP and LIME describe</w:t>
      </w:r>
      <w:r>
        <w:t xml:space="preserve"> </w:t>
      </w:r>
      <w:r>
        <w:rPr>
          <w:iCs/>
          <w:i/>
        </w:rPr>
        <w:t xml:space="preserve">what the model uses</w:t>
      </w:r>
      <w:r>
        <w:t xml:space="preserve">, not</w:t>
      </w:r>
      <w:r>
        <w:t xml:space="preserve"> </w:t>
      </w:r>
      <w:r>
        <w:rPr>
          <w:iCs/>
          <w:i/>
        </w:rPr>
        <w:t xml:space="preserve">what improves accuracy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Reliability for individual forecasts</w:t>
      </w:r>
      <w:r>
        <w:t xml:space="preserve"> </w:t>
      </w:r>
      <w:r>
        <w:t xml:space="preserve">(804 stock-days, 5 LIME seeds each):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4739"/>
        <w:gridCol w:w="1579"/>
        <w:gridCol w:w="3317"/>
      </w:tblGrid>
      <w:tr>
        <w:tc>
          <w:tcPr>
            <w:tcW w:type="dxa" w:w="474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Measure</w:t>
            </w:r>
          </w:p>
        </w:tc>
        <w:tc>
          <w:tcPr>
            <w:tcW w:type="dxa" w:w="158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TreeSHAP</w:t>
            </w:r>
          </w:p>
        </w:tc>
        <w:tc>
          <w:tcPr>
            <w:tcW w:type="dxa" w:w="331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LIME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 with the other method: median Spearman ρ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0.45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Agreement: top-5 feature overlap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66%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Agreement: same top feature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59%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Agreement: sign matches SHAP on SHAP’s top-5 features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81%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Run-to-run stability: median ρ between runs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1.00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(deterministic)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0.48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Run-to-run stability: top-5 overlap between runs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80%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Run-to-run stability: same top feature in all 5 runs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100%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92%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Local fit (surrogate R²)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exact (additive)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median 0.17</w:t>
            </w:r>
            <w:r>
              <w:rPr>
                <w:rFonts w:ascii="Calibri" w:hAnsi="Calibri"/>
                <w:sz w:val="18"/>
              </w:rPr>
              <w:t xml:space="preserve">; 67% of explanations below 0.3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Faithfulness AOPC (bp; random order = 3.71)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8.70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8.15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Faithfulness: |Δ forecast| after removing top-1 feature (random = 0.56 bp)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8.89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6.50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Time per explanation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~0.001 s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~0.08 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this shows.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LIME is less reliable than SHAP for individual forecasts:</w:t>
      </w:r>
    </w:p>
    <w:p>
      <w:pPr>
        <w:numPr>
          <w:ilvl w:val="1"/>
          <w:numId w:val="1034"/>
        </w:numPr>
        <w:pStyle w:val="Compact"/>
      </w:pPr>
      <w:r>
        <w:t xml:space="preserve">explaining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forecast twice with different seeds gives a feature ranking that</w:t>
      </w:r>
      <w:r>
        <w:t xml:space="preserve"> </w:t>
      </w:r>
      <w:r>
        <w:t xml:space="preserve">correlates only 0.48;</w:t>
      </w:r>
    </w:p>
    <w:p>
      <w:pPr>
        <w:numPr>
          <w:ilvl w:val="1"/>
          <w:numId w:val="1034"/>
        </w:numPr>
        <w:pStyle w:val="Compact"/>
      </w:pPr>
      <w:r>
        <w:t xml:space="preserve">LIME’s linear surrogate explains a median of just</w:t>
      </w:r>
      <w:r>
        <w:t xml:space="preserve"> </w:t>
      </w:r>
      <w:r>
        <w:rPr>
          <w:bCs/>
          <w:b/>
        </w:rPr>
        <w:t xml:space="preserve">17%</w:t>
      </w:r>
      <w:r>
        <w:t xml:space="preserve"> </w:t>
      </w:r>
      <w:r>
        <w:t xml:space="preserve">of the model’s local</w:t>
      </w:r>
      <w:r>
        <w:t xml:space="preserve"> </w:t>
      </w:r>
      <w:r>
        <w:t xml:space="preserve">behaviour;</w:t>
      </w:r>
    </w:p>
    <w:p>
      <w:pPr>
        <w:numPr>
          <w:ilvl w:val="1"/>
          <w:numId w:val="1034"/>
        </w:numPr>
        <w:pStyle w:val="Compact"/>
      </w:pPr>
      <w:r>
        <w:t xml:space="preserve">on a typical forecast, LIME and SHAP share only 3 of their top 5 features.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Both are faithful, SHAP more so.</w:t>
      </w:r>
      <w:r>
        <w:t xml:space="preserve"> </w:t>
      </w:r>
      <w:r>
        <w:t xml:space="preserve">Both beat random ordering, but removing LIME’s top</w:t>
      </w:r>
      <w:r>
        <w:t xml:space="preserve"> </w:t>
      </w:r>
      <w:r>
        <w:t xml:space="preserve">feature changes the forecast 27% less than removing SHAP’s.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They can contradict each other on the same forecast.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AAPL, 16 March 2020:</w:t>
      </w:r>
      <w:r>
        <w:t xml:space="preserve"> </w:t>
      </w:r>
      <w:r>
        <w:t xml:space="preserve">they agree on the two main drivers (market volatility +$0.077</w:t>
      </w:r>
      <w:r>
        <w:t xml:space="preserve"> </w:t>
      </w:r>
      <w:r>
        <w:t xml:space="preserve">SHAP vs +$0.074 LIME; 5-day market return +$0.044 vs +$0.041), ρ = 0.53, LIME R² 0.49.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JPM, 18 May 2022:</w:t>
      </w:r>
      <w:r>
        <w:t xml:space="preserve"> </w:t>
      </w:r>
      <w:r>
        <w:t xml:space="preserve">they disagree on the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of the top feature. Market</w:t>
      </w:r>
      <w:r>
        <w:t xml:space="preserve"> </w:t>
      </w:r>
      <w:r>
        <w:t xml:space="preserve">volatility pushes the forecast down by $0.056 per SHAP but up by $0.050 per LIME</w:t>
      </w:r>
      <w:r>
        <w:t xml:space="preserve"> </w:t>
      </w:r>
      <w:r>
        <w:t xml:space="preserve">(ρ = 0.19, LIME R² 0.11).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LIME’s discretised bins (</w:t>
      </w:r>
      <w:r>
        <w:t xml:space="preserve">“</w:t>
      </w:r>
      <w:r>
        <w:t xml:space="preserve">market volatility &gt; 0.01</w:t>
      </w:r>
      <w:r>
        <w:t xml:space="preserve">”</w:t>
      </w:r>
      <w:r>
        <w:t xml:space="preserve">) compare against the whole</w:t>
      </w:r>
      <w:r>
        <w:t xml:space="preserve"> </w:t>
      </w:r>
      <w:r>
        <w:t xml:space="preserve">training distribution, while SHAP attributes along the model’s own decision paths.</w:t>
      </w:r>
    </w:p>
    <w:p>
      <w:pPr>
        <w:pStyle w:val="CaptionedFigure"/>
      </w:pPr>
      <w:r>
        <w:drawing>
          <wp:inline>
            <wp:extent cx="6120000" cy="2253076"/>
            <wp:effectExtent b="0" l="0" r="0" t="0"/>
            <wp:docPr descr="Figure 10. SHAP vs LIME explanations for the same forecast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lime_vs_shap_loc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25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SHAP vs LIME explanations for the same forecasts</w:t>
      </w:r>
    </w:p>
    <w:p>
      <w:pPr>
        <w:pStyle w:val="CaptionedFigure"/>
      </w:pPr>
      <w:r>
        <w:drawing>
          <wp:inline>
            <wp:extent cx="6120000" cy="2374831"/>
            <wp:effectExtent b="0" l="0" r="0" t="0"/>
            <wp:docPr descr="Figure 11. LIME vs SHAP: run-to-run stability, faithfulness and local fit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lime_reli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37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LIME vs SHAP: run-to-run stability, faithfulness and local fit</w:t>
      </w:r>
    </w:p>
    <w:p>
      <w:pPr>
        <w:pStyle w:val="CaptionedFigure"/>
      </w:pPr>
      <w:r>
        <w:drawing>
          <wp:inline>
            <wp:extent cx="6120000" cy="4577680"/>
            <wp:effectExtent b="0" l="0" r="0" t="0"/>
            <wp:docPr descr="Figure 12. Feature importance ranks from TreeSHAP, LIME, permutation importance and MDI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explainer_agree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577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Feature importance ranks from TreeSHAP, LIME, permutation importance and MDI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discussion"/>
    <w:p>
      <w:pPr>
        <w:pStyle w:val="Heading1"/>
      </w:pPr>
      <w:r>
        <w:t xml:space="preserve">8. Discussion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High price accuracy needs a benchmark to mean anything.</w:t>
      </w:r>
    </w:p>
    <w:p>
      <w:pPr>
        <w:numPr>
          <w:ilvl w:val="1"/>
          <w:numId w:val="1037"/>
        </w:numPr>
        <w:pStyle w:val="Compact"/>
      </w:pPr>
      <w:r>
        <w:t xml:space="preserve">The Random Forest’s 98.44% price accuracy is real, but naive persistence scores exactly</w:t>
      </w:r>
      <w:r>
        <w:t xml:space="preserve"> </w:t>
      </w:r>
      <w:r>
        <w:t xml:space="preserve">the same, and a price-level Random Forest with R² 0.993 is significantly worse than</w:t>
      </w:r>
      <w:r>
        <w:t xml:space="preserve"> </w:t>
      </w:r>
      <w:r>
        <w:t xml:space="preserve">naive.</w:t>
      </w:r>
    </w:p>
    <w:p>
      <w:pPr>
        <w:numPr>
          <w:ilvl w:val="1"/>
          <w:numId w:val="1037"/>
        </w:numPr>
        <w:pStyle w:val="Compact"/>
      </w:pPr>
      <w:r>
        <w:t xml:space="preserve">Accuracy claims without a persistence baseline cannot be interpreted. This matches</w:t>
      </w:r>
      <w:r>
        <w:t xml:space="preserve"> </w:t>
      </w:r>
      <w:r>
        <w:t xml:space="preserve">the weak signal Indra et al. (2025) found once returns were evaluated properly.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Faithful does not mean the market insight is real.</w:t>
      </w:r>
    </w:p>
    <w:p>
      <w:pPr>
        <w:numPr>
          <w:ilvl w:val="1"/>
          <w:numId w:val="1038"/>
        </w:numPr>
        <w:pStyle w:val="Compact"/>
      </w:pPr>
      <w:r>
        <w:t xml:space="preserve">SHAP is faithful (fidelity ≥ 0.98), seed-stable (τ = 0.85) and passes the sanity check.</w:t>
      </w:r>
    </w:p>
    <w:p>
      <w:pPr>
        <w:numPr>
          <w:ilvl w:val="1"/>
          <w:numId w:val="1038"/>
        </w:numPr>
        <w:pStyle w:val="Compact"/>
      </w:pPr>
      <w:r>
        <w:t xml:space="preserve">Yet SHAP, LIME and MDI all disagree with permutation importance (τ ≤ 0.15).</w:t>
      </w:r>
    </w:p>
    <w:p>
      <w:pPr>
        <w:numPr>
          <w:ilvl w:val="1"/>
          <w:numId w:val="1038"/>
        </w:numPr>
        <w:pStyle w:val="Compact"/>
      </w:pPr>
      <w:r>
        <w:t xml:space="preserve">Explanations describe how the model computes its forecast, not which relationships</w:t>
      </w:r>
      <w:r>
        <w:t xml:space="preserve"> </w:t>
      </w:r>
      <w:r>
        <w:t xml:space="preserve">actually predict prices. Presenting SHAP or LIME rankings as market insight, as in</w:t>
      </w:r>
      <w:r>
        <w:t xml:space="preserve"> </w:t>
      </w:r>
      <w:r>
        <w:t xml:space="preserve">papers 1 and 3, conflates the two.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For tree models, SHAP should be preferred over LIME for individual explanations.</w:t>
      </w:r>
    </w:p>
    <w:p>
      <w:pPr>
        <w:numPr>
          <w:ilvl w:val="1"/>
          <w:numId w:val="1039"/>
        </w:numPr>
        <w:pStyle w:val="Compact"/>
      </w:pPr>
      <w:r>
        <w:t xml:space="preserve">LIME agrees with SHAP globally (τ 0.73) but is unstable for individual forecasts (ρ</w:t>
      </w:r>
      <w:r>
        <w:t xml:space="preserve"> </w:t>
      </w:r>
      <w:r>
        <w:t xml:space="preserve">0.48 between runs), fits poorly (median R² 0.17), and can flip a feature’s sign.</w:t>
      </w:r>
    </w:p>
    <w:p>
      <w:pPr>
        <w:numPr>
          <w:ilvl w:val="1"/>
          <w:numId w:val="1039"/>
        </w:numPr>
        <w:pStyle w:val="Compact"/>
      </w:pPr>
      <w:r>
        <w:t xml:space="preserve">Studies reporting a single LIME explanation per case (paper 3) risk reporting noise.</w:t>
      </w:r>
      <w:r>
        <w:t xml:space="preserve"> </w:t>
      </w:r>
      <w:r>
        <w:t xml:space="preserve">Like Song et al. (2026) for neural networks, this shows explanations must be</w:t>
      </w:r>
      <w:r>
        <w:t xml:space="preserve"> </w:t>
      </w:r>
      <w:r>
        <w:t xml:space="preserve">re-run before they are trusted.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Explanations are period- and sector-specific.</w:t>
      </w:r>
    </w:p>
    <w:p>
      <w:pPr>
        <w:numPr>
          <w:ilvl w:val="1"/>
          <w:numId w:val="1040"/>
        </w:numPr>
        <w:pStyle w:val="Compact"/>
      </w:pPr>
      <w:r>
        <w:t xml:space="preserve">Regime drift (p = 0.003), sector drift (p = 0.001) and the drop in agreement after</w:t>
      </w:r>
      <w:r>
        <w:t xml:space="preserve"> </w:t>
      </w:r>
      <w:r>
        <w:t xml:space="preserve">retraining on COVID data (τ 0.44) mean an explanation from one period shouldn’t be</w:t>
      </w:r>
      <w:r>
        <w:t xml:space="preserve"> </w:t>
      </w:r>
      <w:r>
        <w:t xml:space="preserve">generalised.</w:t>
      </w:r>
    </w:p>
    <w:p>
      <w:pPr>
        <w:numPr>
          <w:ilvl w:val="1"/>
          <w:numId w:val="1040"/>
        </w:numPr>
        <w:pStyle w:val="Compact"/>
      </w:pPr>
      <w:r>
        <w:t xml:space="preserve">This turns Pagliaro’s (2026) qualitative regime observation into formal tests on 474</w:t>
      </w:r>
      <w:r>
        <w:t xml:space="preserve"> </w:t>
      </w:r>
      <w:r>
        <w:t xml:space="preserve">stocks.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What the model learned.</w:t>
      </w:r>
    </w:p>
    <w:p>
      <w:pPr>
        <w:numPr>
          <w:ilvl w:val="1"/>
          <w:numId w:val="1041"/>
        </w:numPr>
        <w:pStyle w:val="Compact"/>
      </w:pPr>
      <w:r>
        <w:t xml:space="preserve">Mainly one market-wide rule: expect a small rebound after volatile sell-offs.</w:t>
      </w:r>
    </w:p>
    <w:p>
      <w:pPr>
        <w:numPr>
          <w:ilvl w:val="1"/>
          <w:numId w:val="1041"/>
        </w:numPr>
        <w:pStyle w:val="Compact"/>
      </w:pPr>
      <w:r>
        <w:t xml:space="preserve">It failed in the COVID crash (35% direction accuracy), which is exactly when a user</w:t>
      </w:r>
      <w:r>
        <w:t xml:space="preserve"> </w:t>
      </w:r>
      <w:r>
        <w:t xml:space="preserve">would most rely on it.</w:t>
      </w:r>
    </w:p>
    <w:p>
      <w:r>
        <w:pict>
          <v:rect style="width:0;height:1.5pt" o:hralign="center" o:hrstd="t" o:hr="t"/>
        </w:pict>
      </w:r>
    </w:p>
    <w:bookmarkEnd w:id="60"/>
    <w:bookmarkStart w:id="61" w:name="limitations"/>
    <w:p>
      <w:pPr>
        <w:pStyle w:val="Heading1"/>
      </w:pPr>
      <w:r>
        <w:t xml:space="preserve">9. Limitations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Data:</w:t>
      </w:r>
    </w:p>
    <w:p>
      <w:pPr>
        <w:numPr>
          <w:ilvl w:val="1"/>
          <w:numId w:val="1043"/>
        </w:numPr>
        <w:pStyle w:val="Compact"/>
      </w:pPr>
      <w:r>
        <w:t xml:space="preserve">price and volume only (no news, fundamentals or macroeconomic data);</w:t>
      </w:r>
    </w:p>
    <w:p>
      <w:pPr>
        <w:numPr>
          <w:ilvl w:val="1"/>
          <w:numId w:val="1043"/>
        </w:numPr>
        <w:pStyle w:val="Compact"/>
      </w:pPr>
      <w:r>
        <w:t xml:space="preserve">the data ends May 2022;</w:t>
      </w:r>
    </w:p>
    <w:p>
      <w:pPr>
        <w:numPr>
          <w:ilvl w:val="1"/>
          <w:numId w:val="1043"/>
        </w:numPr>
        <w:pStyle w:val="Compact"/>
      </w:pPr>
      <w:r>
        <w:t xml:space="preserve">the 474 stocks were constituents when the dataset was built (survivorship bias).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Explanation methods:</w:t>
      </w:r>
    </w:p>
    <w:p>
      <w:pPr>
        <w:numPr>
          <w:ilvl w:val="1"/>
          <w:numId w:val="1044"/>
        </w:numPr>
        <w:pStyle w:val="Compact"/>
      </w:pPr>
      <w:r>
        <w:t xml:space="preserve">TreeSHAP uses the path-dependent algorithm; interventional SHAP could differ when</w:t>
      </w:r>
      <w:r>
        <w:t xml:space="preserve"> </w:t>
      </w:r>
      <w:r>
        <w:t xml:space="preserve">features are correlated;</w:t>
      </w:r>
    </w:p>
    <w:p>
      <w:pPr>
        <w:numPr>
          <w:ilvl w:val="1"/>
          <w:numId w:val="1044"/>
        </w:numPr>
        <w:pStyle w:val="Compact"/>
      </w:pPr>
      <w:r>
        <w:t xml:space="preserve">LIME uses its default quartile discretisation and 5,000 samples; other settings could</w:t>
      </w:r>
      <w:r>
        <w:t xml:space="preserve"> </w:t>
      </w:r>
      <w:r>
        <w:t xml:space="preserve">change its stability.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Faithfulness test:</w:t>
      </w:r>
      <w:r>
        <w:t xml:space="preserve"> </w:t>
      </w:r>
      <w:r>
        <w:t xml:space="preserve">it replaces features with values from random training rows, which</w:t>
      </w:r>
      <w:r>
        <w:t xml:space="preserve"> </w:t>
      </w:r>
      <w:r>
        <w:t xml:space="preserve">can create unrealistic feature combinations.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Regimes and costs:</w:t>
      </w:r>
      <w:r>
        <w:t xml:space="preserve"> </w:t>
      </w:r>
      <w:r>
        <w:t xml:space="preserve">regimes are calendar-defined; the COVID crash has only 23 trading</w:t>
      </w:r>
      <w:r>
        <w:t xml:space="preserve"> </w:t>
      </w:r>
      <w:r>
        <w:t xml:space="preserve">days. Transaction costs are not modelled.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Literature gaps:</w:t>
      </w:r>
      <w:r>
        <w:t xml:space="preserve"> </w:t>
      </w:r>
      <w:r>
        <w:t xml:space="preserve">stated from abstracts and public details; verify against full</w:t>
      </w:r>
      <w:r>
        <w:t xml:space="preserve"> </w:t>
      </w:r>
      <w:r>
        <w:t xml:space="preserve">texts before submission.</w:t>
      </w:r>
    </w:p>
    <w:p>
      <w:r>
        <w:pict>
          <v:rect style="width:0;height:1.5pt" o:hralign="center" o:hrstd="t" o:hr="t"/>
        </w:pict>
      </w:r>
    </w:p>
    <w:bookmarkEnd w:id="61"/>
    <w:bookmarkStart w:id="62" w:name="conclusion"/>
    <w:p>
      <w:pPr>
        <w:pStyle w:val="Heading1"/>
      </w:pPr>
      <w:r>
        <w:t xml:space="preserve">10. Conclusion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Accuracy.</w:t>
      </w:r>
      <w:r>
        <w:t xml:space="preserve"> </w:t>
      </w:r>
      <w:r>
        <w:t xml:space="preserve">A walk-forward Random Forest forecasts next-day closing prices for 474</w:t>
      </w:r>
      <w:r>
        <w:t xml:space="preserve"> </w:t>
      </w:r>
      <w:r>
        <w:t xml:space="preserve">S&amp;P 500 stocks with 98.44% price accuracy (MAPE 1.56%, R² 0.9994). That is statistically</w:t>
      </w:r>
      <w:r>
        <w:t xml:space="preserve"> </w:t>
      </w:r>
      <w:r>
        <w:t xml:space="preserve">identical to naive persistence, with 51.8% directional accuracy.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SHAP explanations</w:t>
      </w:r>
      <w:r>
        <w:t xml:space="preserve"> </w:t>
      </w:r>
      <w:r>
        <w:t xml:space="preserve">are:</w:t>
      </w:r>
    </w:p>
    <w:p>
      <w:pPr>
        <w:numPr>
          <w:ilvl w:val="1"/>
          <w:numId w:val="1046"/>
        </w:numPr>
        <w:pStyle w:val="Compact"/>
      </w:pPr>
      <w:r>
        <w:t xml:space="preserve">faithful and seed-stable;</w:t>
      </w:r>
    </w:p>
    <w:p>
      <w:pPr>
        <w:numPr>
          <w:ilvl w:val="1"/>
          <w:numId w:val="1046"/>
        </w:numPr>
        <w:pStyle w:val="Compact"/>
      </w:pPr>
      <w:r>
        <w:t xml:space="preserve">clearly different from a no-signal model;</w:t>
      </w:r>
    </w:p>
    <w:p>
      <w:pPr>
        <w:numPr>
          <w:ilvl w:val="1"/>
          <w:numId w:val="1046"/>
        </w:numPr>
        <w:pStyle w:val="Compact"/>
      </w:pPr>
      <w:r>
        <w:t xml:space="preserve">mostly about market-wide timing;</w:t>
      </w:r>
    </w:p>
    <w:p>
      <w:pPr>
        <w:numPr>
          <w:ilvl w:val="1"/>
          <w:numId w:val="1046"/>
        </w:numPr>
        <w:pStyle w:val="Compact"/>
      </w:pPr>
      <w:r>
        <w:t xml:space="preserve">significantly different across market regimes and sectors, and after retraining.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LIME explanations</w:t>
      </w:r>
      <w:r>
        <w:t xml:space="preserve"> </w:t>
      </w:r>
      <w:r>
        <w:t xml:space="preserve">agree with SHAP globally, but are unstable between runs, fit the</w:t>
      </w:r>
      <w:r>
        <w:t xml:space="preserve"> </w:t>
      </w:r>
      <w:r>
        <w:t xml:space="preserve">model poorly, and can contradict SHAP on individual forecasts.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Neither</w:t>
      </w:r>
      <w:r>
        <w:t xml:space="preserve"> </w:t>
      </w:r>
      <w:r>
        <w:t xml:space="preserve">SHAP nor LIME identifies the features that actually improve accuracy.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Recommendations for stock-forecasting studies:</w:t>
      </w:r>
    </w:p>
    <w:p>
      <w:pPr>
        <w:numPr>
          <w:ilvl w:val="1"/>
          <w:numId w:val="1047"/>
        </w:numPr>
        <w:pStyle w:val="Compact"/>
      </w:pPr>
      <w:r>
        <w:t xml:space="preserve">benchmark accuracy against persistence;</w:t>
      </w:r>
    </w:p>
    <w:p>
      <w:pPr>
        <w:numPr>
          <w:ilvl w:val="1"/>
          <w:numId w:val="1047"/>
        </w:numPr>
        <w:pStyle w:val="Compact"/>
      </w:pPr>
      <w:r>
        <w:t xml:space="preserve">prefer TreeSHAP to single LIME runs for tree models;</w:t>
      </w:r>
    </w:p>
    <w:p>
      <w:pPr>
        <w:numPr>
          <w:ilvl w:val="1"/>
          <w:numId w:val="1047"/>
        </w:numPr>
        <w:pStyle w:val="Compact"/>
      </w:pPr>
      <w:r>
        <w:t xml:space="preserve">test explanations for faithfulness, stability, sanity and regime drift before</w:t>
      </w:r>
      <w:r>
        <w:t xml:space="preserve"> </w:t>
      </w:r>
      <w:r>
        <w:t xml:space="preserve">reading them as market insight.</w:t>
      </w:r>
    </w:p>
    <w:p>
      <w:r>
        <w:pict>
          <v:rect style="width:0;height:1.5pt" o:hralign="center" o:hrstd="t" o:hr="t"/>
        </w:pict>
      </w:r>
    </w:p>
    <w:bookmarkEnd w:id="62"/>
    <w:bookmarkStart w:id="63" w:name="references"/>
    <w:p>
      <w:pPr>
        <w:pStyle w:val="Heading1"/>
      </w:pPr>
      <w:r>
        <w:t xml:space="preserve">11. References</w:t>
      </w:r>
    </w:p>
    <w:p>
      <w:pPr>
        <w:pStyle w:val="FirstParagraph"/>
      </w:pPr>
      <w:r>
        <w:rPr>
          <w:bCs/>
          <w:b/>
        </w:rPr>
        <w:t xml:space="preserve">Literature review</w:t>
      </w:r>
    </w:p>
    <w:p>
      <w:pPr>
        <w:numPr>
          <w:ilvl w:val="0"/>
          <w:numId w:val="1048"/>
        </w:numPr>
        <w:pStyle w:val="Compact"/>
      </w:pPr>
      <w:r>
        <w:t xml:space="preserve">Indra, S., Supian, S., Sukono, Riaman, R., Saputra, M. P. A., Azahra, A. S., &amp; Pirdaus, D. I. (2025). Stock Return Prediction on the LQ45 Market Index in the Indonesia Stock Exchange Using a Machine Learning Algorithm Based on Technical Indicators.</w:t>
      </w:r>
      <w:r>
        <w:t xml:space="preserve"> </w:t>
      </w:r>
      <w:r>
        <w:rPr>
          <w:iCs/>
          <w:i/>
        </w:rPr>
        <w:t xml:space="preserve">Journal of Risk and Financial Management</w:t>
      </w:r>
      <w:r>
        <w:t xml:space="preserve">. https://doi.org/10.3390/jrfm18120714</w:t>
      </w:r>
    </w:p>
    <w:p>
      <w:pPr>
        <w:numPr>
          <w:ilvl w:val="0"/>
          <w:numId w:val="1048"/>
        </w:numPr>
        <w:pStyle w:val="Compact"/>
      </w:pPr>
      <w:r>
        <w:t xml:space="preserve">Lee, J., &amp; Cai, L. (2025). Comparing model-specific and model-agnostic features importance methods using machine learning with technical indicators: A NASDAQ sector-based study.</w:t>
      </w:r>
      <w:r>
        <w:t xml:space="preserve"> </w:t>
      </w:r>
      <w:r>
        <w:rPr>
          <w:iCs/>
          <w:i/>
        </w:rPr>
        <w:t xml:space="preserve">Machine Learning with Applications</w:t>
      </w:r>
      <w:r>
        <w:t xml:space="preserve">. https://doi.org/10.1016/j.mlwa.2025.100799</w:t>
      </w:r>
    </w:p>
    <w:p>
      <w:pPr>
        <w:numPr>
          <w:ilvl w:val="0"/>
          <w:numId w:val="1048"/>
        </w:numPr>
        <w:pStyle w:val="Compact"/>
      </w:pPr>
      <w:r>
        <w:t xml:space="preserve">Manikrao, K. W., Allagi, S., Leong, W. Y., &amp; Laddi, M. (2025). An Explainable AI for Stock Market Prediction: A Machine Learning Approach with XAI and Deep Neural Networks.</w:t>
      </w:r>
      <w:r>
        <w:t xml:space="preserve"> </w:t>
      </w:r>
      <w:r>
        <w:rPr>
          <w:iCs/>
          <w:i/>
        </w:rPr>
        <w:t xml:space="preserve">Journal of Computational and Cognitive Engineering</w:t>
      </w:r>
      <w:r>
        <w:t xml:space="preserve">. https://doi.org/10.47852/bonviewjcce52026428</w:t>
      </w:r>
    </w:p>
    <w:p>
      <w:pPr>
        <w:numPr>
          <w:ilvl w:val="0"/>
          <w:numId w:val="1048"/>
        </w:numPr>
        <w:pStyle w:val="Compact"/>
      </w:pPr>
      <w:r>
        <w:t xml:space="preserve">Pagliaro, A. (2026). Regime-Aware LightGBM for Stock Market Forecasting: A Validated Walk-Forward Framework with Statistical Rigor and Explainable AI Analysis.</w:t>
      </w:r>
      <w:r>
        <w:t xml:space="preserve"> </w:t>
      </w:r>
      <w:r>
        <w:rPr>
          <w:iCs/>
          <w:i/>
        </w:rPr>
        <w:t xml:space="preserve">Electronics</w:t>
      </w:r>
      <w:r>
        <w:t xml:space="preserve">, 15(6), 1334. https://doi.org/10.3390/electronics15061334</w:t>
      </w:r>
    </w:p>
    <w:p>
      <w:pPr>
        <w:numPr>
          <w:ilvl w:val="0"/>
          <w:numId w:val="1048"/>
        </w:numPr>
        <w:pStyle w:val="Compact"/>
      </w:pPr>
      <w:r>
        <w:t xml:space="preserve">Song, Y., Cho, W., Han, S. I., &amp; Yoo, J. (2026). Attention Integration Strategies in MLP-Based Stock Movement Prediction: Effects on Performance, Stability, and Interpretability.</w:t>
      </w:r>
      <w:r>
        <w:t xml:space="preserve"> </w:t>
      </w:r>
      <w:r>
        <w:rPr>
          <w:iCs/>
          <w:i/>
        </w:rPr>
        <w:t xml:space="preserve">Electronics</w:t>
      </w:r>
      <w:r>
        <w:t xml:space="preserve">, 15(17), 3942. https://doi.org/10.3390/electronics15173942</w:t>
      </w:r>
    </w:p>
    <w:p>
      <w:pPr>
        <w:pStyle w:val="FirstParagraph"/>
      </w:pPr>
      <w:r>
        <w:rPr>
          <w:bCs/>
          <w:b/>
        </w:rPr>
        <w:t xml:space="preserve">Methods and data</w:t>
      </w:r>
    </w:p>
    <w:p>
      <w:pPr>
        <w:numPr>
          <w:ilvl w:val="0"/>
          <w:numId w:val="1049"/>
        </w:numPr>
        <w:pStyle w:val="Compact"/>
      </w:pPr>
      <w:r>
        <w:t xml:space="preserve">Breiman, L. (2001). Random Forests.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45, 5–32.</w:t>
      </w:r>
    </w:p>
    <w:p>
      <w:pPr>
        <w:numPr>
          <w:ilvl w:val="0"/>
          <w:numId w:val="1049"/>
        </w:numPr>
        <w:pStyle w:val="Compact"/>
      </w:pPr>
      <w:r>
        <w:t xml:space="preserve">Lundberg, S. M., Erion, G., Chen, H., et al. (2020). From local explanations to global understanding with explainable AI for trees.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2, 56–67.</w:t>
      </w:r>
    </w:p>
    <w:p>
      <w:pPr>
        <w:numPr>
          <w:ilvl w:val="0"/>
          <w:numId w:val="1049"/>
        </w:numPr>
        <w:pStyle w:val="Compact"/>
      </w:pPr>
      <w:r>
        <w:t xml:space="preserve">Ribeiro, M. T., Singh, S., &amp; Guestrin, C. (2016).</w:t>
      </w:r>
      <w:r>
        <w:t xml:space="preserve"> </w:t>
      </w:r>
      <w:r>
        <w:t xml:space="preserve">“</w:t>
      </w:r>
      <w:r>
        <w:t xml:space="preserve">Why Should I Trust You?</w:t>
      </w:r>
      <w:r>
        <w:t xml:space="preserve">”</w:t>
      </w:r>
      <w:r>
        <w:t xml:space="preserve">: Explaining the Predictions of Any Classifier.</w:t>
      </w:r>
      <w:r>
        <w:t xml:space="preserve"> </w:t>
      </w:r>
      <w:r>
        <w:rPr>
          <w:iCs/>
          <w:i/>
        </w:rPr>
        <w:t xml:space="preserve">KDD 2016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Diebold, F. X., &amp; Mariano, R. S. (1995). Comparing Predictive Accuracy.</w:t>
      </w:r>
      <w:r>
        <w:t xml:space="preserve"> </w:t>
      </w:r>
      <w:r>
        <w:rPr>
          <w:iCs/>
          <w:i/>
        </w:rPr>
        <w:t xml:space="preserve">Journal of Business &amp; Economic Statistics</w:t>
      </w:r>
      <w:r>
        <w:t xml:space="preserve">, 13(3), 253–263.</w:t>
      </w:r>
    </w:p>
    <w:p>
      <w:pPr>
        <w:numPr>
          <w:ilvl w:val="0"/>
          <w:numId w:val="1049"/>
        </w:numPr>
        <w:pStyle w:val="Compact"/>
      </w:pPr>
      <w:r>
        <w:t xml:space="preserve">Adebayo, J., Gilmer, J., Muelly, M., Goodfellow, I., Hardt, M., &amp; Kim, B. (2018). Sanity Checks for Saliency Maps.</w:t>
      </w:r>
      <w:r>
        <w:t xml:space="preserve"> </w:t>
      </w:r>
      <w:r>
        <w:rPr>
          <w:iCs/>
          <w:i/>
        </w:rPr>
        <w:t xml:space="preserve">NeurIPS 2018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Huynh, T. T., Nguyen, M. H., Nguyen, T. T., et al. (2023). Efficient Integration of Multi-Order Dynamics and Internal Dynamics in Stock Movement Prediction.</w:t>
      </w:r>
      <w:r>
        <w:t xml:space="preserve"> </w:t>
      </w:r>
      <w:r>
        <w:rPr>
          <w:iCs/>
          <w:i/>
        </w:rPr>
        <w:t xml:space="preserve">WSDM 2023</w:t>
      </w:r>
      <w:r>
        <w:t xml:space="preserve"> </w:t>
      </w:r>
      <w:r>
        <w:t xml:space="preserve">(source of the S&amp;P 500 dataset).</w:t>
      </w:r>
    </w:p>
    <w:bookmarkEnd w:id="63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47261bad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color w:val="1F3A5F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7" Type="http://schemas.openxmlformats.org/officeDocument/2006/relationships/image" Target="media/rId57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55" Type="http://schemas.openxmlformats.org/officeDocument/2006/relationships/image" Target="media/rId55.png"/><Relationship Id="rId46" Type="http://schemas.openxmlformats.org/officeDocument/2006/relationships/image" Target="media/rId46.png"/><Relationship Id="rId41" Type="http://schemas.openxmlformats.org/officeDocument/2006/relationships/image" Target="media/rId41.png"/><Relationship Id="rId42" Type="http://schemas.openxmlformats.org/officeDocument/2006/relationships/image" Target="media/rId42.png"/><Relationship Id="rId51" Type="http://schemas.openxmlformats.org/officeDocument/2006/relationships/image" Target="media/rId51.png"/><Relationship Id="rId52" Type="http://schemas.openxmlformats.org/officeDocument/2006/relationships/image" Target="media/rId52.png"/><Relationship Id="rId45" Type="http://schemas.openxmlformats.org/officeDocument/2006/relationships/image" Target="media/rId45.png"/><Relationship Id="rId44" Type="http://schemas.openxmlformats.org/officeDocument/2006/relationships/image" Target="media/rId44.png"/><Relationship Id="rId49" Type="http://schemas.openxmlformats.org/officeDocument/2006/relationships/image" Target="media/rId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Trustworthy Explanations for Random-Forest Stock Price Forecasting</dc:title>
  <dc:creator/>
  <cp:keywords/>
  <dcterms:created xsi:type="dcterms:W3CDTF">2026-09-16T07:49:44Z</dcterms:created>
  <dcterms:modified xsi:type="dcterms:W3CDTF">2026-09-16T07:49:44Z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 SHAP and LIME reliability audit on 474 S&amp;P 500 stocks</vt:lpwstr>
  </property>
  <property fmtid="{D5CDD505-2E9C-101B-9397-08002B2CF9AE}" pid="3" name="toc-title">
    <vt:lpwstr>Contents</vt:lpwstr>
  </property>
</Properties>
</file>