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after="520"/>
        <w:jc w:val="center"/>
      </w:pPr>
      <w:r>
        <w:rPr>
          <w:rFonts w:ascii="Times New Roman" w:hAnsi="Times New Roman"/>
          <w:b/>
          <w:i w:val="0"/>
          <w:sz w:val="28"/>
        </w:rPr>
        <w:t>BCSE418L - Explainable AI</w:t>
      </w:r>
    </w:p>
    <w:p>
      <w:pPr>
        <w:keepNext w:val="0"/>
        <w:spacing w:line="360" w:lineRule="auto" w:after="520"/>
        <w:jc w:val="center"/>
      </w:pPr>
      <w:r>
        <w:rPr>
          <w:rFonts w:ascii="Times New Roman" w:hAnsi="Times New Roman"/>
          <w:b/>
          <w:i w:val="0"/>
          <w:sz w:val="36"/>
        </w:rPr>
        <w:t>TRUSTWORTHY EXPLANATIONS FOR RANDOM-FOREST STOCK PRICE FORECASTING</w:t>
      </w:r>
    </w:p>
    <w:p>
      <w:pPr>
        <w:keepNext w:val="0"/>
        <w:spacing w:line="276" w:lineRule="auto" w:after="240"/>
        <w:jc w:val="center"/>
      </w:pPr>
      <w:r>
        <w:rPr>
          <w:rFonts w:ascii="Times New Roman" w:hAnsi="Times New Roman"/>
          <w:b w:val="0"/>
          <w:i w:val="0"/>
          <w:sz w:val="24"/>
        </w:rPr>
        <w:t>Submitted in partial fulfillment of the requirements for the degree of</w:t>
      </w:r>
    </w:p>
    <w:p>
      <w:pPr>
        <w:keepNext w:val="0"/>
        <w:spacing w:line="276" w:lineRule="auto" w:after="200"/>
        <w:jc w:val="center"/>
      </w:pPr>
      <w:r>
        <w:rPr>
          <w:rFonts w:ascii="Times New Roman" w:hAnsi="Times New Roman"/>
          <w:b/>
          <w:i w:val="0"/>
          <w:sz w:val="28"/>
        </w:rPr>
        <w:t>Bachelor of Technology</w:t>
      </w:r>
    </w:p>
    <w:p>
      <w:pPr>
        <w:keepNext w:val="0"/>
        <w:spacing w:line="276" w:lineRule="auto" w:after="200"/>
        <w:jc w:val="center"/>
      </w:pPr>
      <w:r>
        <w:rPr>
          <w:rFonts w:ascii="Times New Roman" w:hAnsi="Times New Roman"/>
          <w:b w:val="0"/>
          <w:i w:val="0"/>
          <w:sz w:val="24"/>
        </w:rPr>
        <w:t>in</w:t>
      </w:r>
    </w:p>
    <w:p>
      <w:pPr>
        <w:keepNext w:val="0"/>
        <w:spacing w:line="276" w:lineRule="auto" w:after="400"/>
        <w:jc w:val="center"/>
      </w:pPr>
      <w:r>
        <w:rPr>
          <w:rFonts w:ascii="Times New Roman" w:hAnsi="Times New Roman"/>
          <w:b/>
          <w:i w:val="0"/>
          <w:sz w:val="28"/>
        </w:rPr>
        <w:t>Computer Science and Engineering</w:t>
      </w:r>
    </w:p>
    <w:p>
      <w:pPr>
        <w:keepNext w:val="0"/>
        <w:spacing w:line="276" w:lineRule="auto" w:after="240"/>
        <w:jc w:val="center"/>
      </w:pPr>
      <w:r>
        <w:rPr>
          <w:rFonts w:ascii="Times New Roman" w:hAnsi="Times New Roman"/>
          <w:b w:val="0"/>
          <w:i w:val="0"/>
          <w:sz w:val="24"/>
        </w:rPr>
        <w:t>by</w:t>
      </w:r>
    </w:p>
    <w:tbl>
      <w:tblPr>
        <w:tblW w:type="auto" w:w="0"/>
        <w:jc w:val="center"/>
        <w:tblLook w:firstColumn="1" w:firstRow="1" w:lastColumn="0" w:lastRow="0" w:noHBand="0" w:noVBand="1" w:val="04A0"/>
      </w:tblPr>
      <w:tblGrid>
        <w:gridCol w:w="4453"/>
        <w:gridCol w:w="4453"/>
      </w:tblGrid>
      <w:tr>
        <w:tc>
          <w:tcPr>
            <w:tcW w:type="dxa" w:w="2551"/>
          </w:tcPr>
          <w:p>
            <w:pPr>
              <w:spacing w:after="40"/>
              <w:jc w:val="center"/>
            </w:pPr>
            <w:r/>
            <w:r>
              <w:rPr>
                <w:rFonts w:ascii="Times New Roman" w:hAnsi="Times New Roman"/>
                <w:b/>
                <w:sz w:val="26"/>
              </w:rPr>
              <w:t>23BAI0190</w:t>
            </w:r>
          </w:p>
        </w:tc>
        <w:tc>
          <w:tcPr>
            <w:tcW w:type="dxa" w:w="4252"/>
          </w:tcPr>
          <w:p>
            <w:pPr>
              <w:spacing w:after="40"/>
              <w:jc w:val="center"/>
            </w:pPr>
            <w:r/>
            <w:r>
              <w:rPr>
                <w:rFonts w:ascii="Times New Roman" w:hAnsi="Times New Roman"/>
                <w:b/>
                <w:sz w:val="26"/>
              </w:rPr>
              <w:t>ANTONY ABISHA</w:t>
            </w:r>
          </w:p>
        </w:tc>
      </w:tr>
      <w:tr>
        <w:tc>
          <w:tcPr>
            <w:tcW w:type="dxa" w:w="2551"/>
          </w:tcPr>
          <w:p>
            <w:pPr>
              <w:spacing w:after="40"/>
              <w:jc w:val="center"/>
            </w:pPr>
            <w:r/>
            <w:r>
              <w:rPr>
                <w:rFonts w:ascii="Times New Roman" w:hAnsi="Times New Roman"/>
                <w:b/>
                <w:sz w:val="26"/>
              </w:rPr>
              <w:t>23BAI0201</w:t>
            </w:r>
          </w:p>
        </w:tc>
        <w:tc>
          <w:tcPr>
            <w:tcW w:type="dxa" w:w="4252"/>
          </w:tcPr>
          <w:p>
            <w:pPr>
              <w:spacing w:after="40"/>
              <w:jc w:val="center"/>
            </w:pPr>
            <w:r/>
            <w:r>
              <w:rPr>
                <w:rFonts w:ascii="Times New Roman" w:hAnsi="Times New Roman"/>
                <w:b/>
                <w:sz w:val="26"/>
              </w:rPr>
              <w:t>AKAKSHAR SHARMA</w:t>
            </w:r>
          </w:p>
        </w:tc>
      </w:tr>
      <w:tr>
        <w:tc>
          <w:tcPr>
            <w:tcW w:type="dxa" w:w="2551"/>
          </w:tcPr>
          <w:p>
            <w:pPr>
              <w:spacing w:after="40"/>
              <w:jc w:val="center"/>
            </w:pPr>
            <w:r/>
            <w:r>
              <w:rPr>
                <w:rFonts w:ascii="Times New Roman" w:hAnsi="Times New Roman"/>
                <w:b/>
                <w:sz w:val="26"/>
              </w:rPr>
              <w:t>23BAI0213</w:t>
            </w:r>
          </w:p>
        </w:tc>
        <w:tc>
          <w:tcPr>
            <w:tcW w:type="dxa" w:w="4252"/>
          </w:tcPr>
          <w:p>
            <w:pPr>
              <w:spacing w:after="40"/>
              <w:jc w:val="center"/>
            </w:pPr>
            <w:r/>
            <w:r>
              <w:rPr>
                <w:rFonts w:ascii="Times New Roman" w:hAnsi="Times New Roman"/>
                <w:b/>
                <w:sz w:val="26"/>
              </w:rPr>
              <w:t>ARCHITA KHARE</w:t>
            </w:r>
          </w:p>
        </w:tc>
      </w:tr>
    </w:tbl>
    <w:p>
      <w:pPr>
        <w:keepNext w:val="0"/>
        <w:spacing w:line="276" w:lineRule="auto" w:after="360"/>
        <w:jc w:val="both"/>
      </w:pPr>
    </w:p>
    <w:p>
      <w:pPr>
        <w:keepNext w:val="0"/>
        <w:spacing w:line="276" w:lineRule="auto" w:after="200"/>
        <w:jc w:val="center"/>
      </w:pPr>
      <w:r>
        <w:rPr>
          <w:rFonts w:ascii="Times New Roman" w:hAnsi="Times New Roman"/>
          <w:b w:val="0"/>
          <w:i w:val="0"/>
          <w:sz w:val="24"/>
        </w:rPr>
        <w:t>Under the Supervision of</w:t>
      </w:r>
    </w:p>
    <w:p>
      <w:pPr>
        <w:keepNext w:val="0"/>
        <w:spacing w:line="276" w:lineRule="auto" w:after="80"/>
        <w:jc w:val="center"/>
      </w:pPr>
      <w:r>
        <w:rPr>
          <w:rFonts w:ascii="Times New Roman" w:hAnsi="Times New Roman"/>
          <w:b/>
          <w:i w:val="0"/>
          <w:sz w:val="28"/>
        </w:rPr>
        <w:t>Dr. Abdul Gaffar</w:t>
      </w:r>
    </w:p>
    <w:p>
      <w:pPr>
        <w:keepNext w:val="0"/>
        <w:spacing w:line="276" w:lineRule="auto" w:after="80"/>
        <w:jc w:val="center"/>
      </w:pPr>
      <w:r>
        <w:rPr>
          <w:rFonts w:ascii="Times New Roman" w:hAnsi="Times New Roman"/>
          <w:b w:val="0"/>
          <w:i w:val="0"/>
          <w:sz w:val="24"/>
        </w:rPr>
        <w:t>Associate Professor</w:t>
      </w:r>
    </w:p>
    <w:p>
      <w:pPr>
        <w:keepNext w:val="0"/>
        <w:spacing w:line="276" w:lineRule="auto" w:after="440"/>
        <w:jc w:val="center"/>
      </w:pPr>
      <w:r>
        <w:rPr>
          <w:rFonts w:ascii="Times New Roman" w:hAnsi="Times New Roman"/>
          <w:b w:val="0"/>
          <w:i w:val="0"/>
          <w:sz w:val="24"/>
        </w:rPr>
        <w:t>School of Computer Science and Engineering</w:t>
      </w:r>
    </w:p>
    <w:p>
      <w:pPr>
        <w:spacing w:after="120"/>
        <w:jc w:val="center"/>
      </w:pPr>
      <w:r>
        <w:drawing>
          <wp:inline xmlns:a="http://schemas.openxmlformats.org/drawingml/2006/main" xmlns:pic="http://schemas.openxmlformats.org/drawingml/2006/picture">
            <wp:extent cx="1944000" cy="537866"/>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1944000" cy="537866"/>
                    </a:xfrm>
                    <a:prstGeom prst="rect"/>
                  </pic:spPr>
                </pic:pic>
              </a:graphicData>
            </a:graphic>
          </wp:inline>
        </w:drawing>
      </w:r>
    </w:p>
    <w:p>
      <w:pPr>
        <w:keepNext w:val="0"/>
        <w:spacing w:line="276" w:lineRule="auto" w:after="320"/>
        <w:jc w:val="center"/>
      </w:pPr>
      <w:r>
        <w:rPr>
          <w:rFonts w:ascii="Times New Roman" w:hAnsi="Times New Roman"/>
          <w:b w:val="0"/>
          <w:i w:val="0"/>
          <w:sz w:val="24"/>
        </w:rPr>
        <w:t>Vellore Institute of Technology, Vellore - 632 014</w:t>
      </w:r>
    </w:p>
    <w:p>
      <w:pPr>
        <w:keepNext w:val="0"/>
        <w:spacing w:line="276" w:lineRule="auto" w:after="0"/>
        <w:jc w:val="center"/>
      </w:pPr>
      <w:r>
        <w:rPr>
          <w:rFonts w:ascii="Times New Roman" w:hAnsi="Times New Roman"/>
          <w:b/>
          <w:i w:val="0"/>
          <w:sz w:val="26"/>
        </w:rPr>
        <w:t>November 2026</w:t>
      </w:r>
    </w:p>
    <w:p>
      <w:r>
        <w:br w:type="page"/>
      </w:r>
    </w:p>
    <w:p>
      <w:pPr>
        <w:keepNext w:val="0"/>
        <w:spacing w:line="360" w:lineRule="auto" w:after="440"/>
        <w:jc w:val="center"/>
      </w:pPr>
      <w:r>
        <w:rPr>
          <w:rFonts w:ascii="Times New Roman" w:hAnsi="Times New Roman"/>
          <w:b/>
          <w:i w:val="0"/>
          <w:sz w:val="32"/>
        </w:rPr>
        <w:t>DECLARATION</w:t>
      </w:r>
    </w:p>
    <w:p>
      <w:pPr>
        <w:keepNext w:val="0"/>
        <w:spacing w:line="360" w:lineRule="auto" w:after="280"/>
        <w:jc w:val="both"/>
      </w:pPr>
      <w:r>
        <w:rPr>
          <w:rFonts w:ascii="Times New Roman" w:hAnsi="Times New Roman"/>
          <w:b w:val="0"/>
          <w:i w:val="0"/>
          <w:sz w:val="24"/>
        </w:rPr>
        <w:t>We hereby declare that the project entitled “Trustworthy Explanations for Random-Forest Stock Price Forecasting” submitted by us, for the award of the degree of Bachelor of Technology in Computer Science and Engineering to Vellore Institute of Technology, is a record of bonafide work carried out by us under the supervision of Dr. Abdul Gaffar.</w:t>
      </w:r>
    </w:p>
    <w:p>
      <w:pPr>
        <w:keepNext w:val="0"/>
        <w:spacing w:line="360" w:lineRule="auto" w:after="600"/>
        <w:jc w:val="both"/>
      </w:pPr>
      <w:r>
        <w:rPr>
          <w:rFonts w:ascii="Times New Roman" w:hAnsi="Times New Roman"/>
          <w:b w:val="0"/>
          <w:i w:val="0"/>
          <w:sz w:val="24"/>
        </w:rPr>
        <w:t>We further declare that the work reported in this project has not been submitted and will not be submitted, either in part or in full, for the award of any other degree or diploma in this institute or any other institute or university.</w:t>
      </w:r>
    </w:p>
    <w:p>
      <w:pPr>
        <w:keepNext w:val="0"/>
        <w:spacing w:line="276" w:lineRule="auto" w:after="80"/>
        <w:jc w:val="left"/>
      </w:pPr>
      <w:r>
        <w:rPr>
          <w:rFonts w:ascii="Times New Roman" w:hAnsi="Times New Roman"/>
          <w:b w:val="0"/>
          <w:i w:val="0"/>
          <w:sz w:val="24"/>
        </w:rPr>
        <w:t>Place : Vellore</w:t>
      </w:r>
    </w:p>
    <w:p>
      <w:pPr>
        <w:keepNext w:val="0"/>
        <w:spacing w:line="276" w:lineRule="auto" w:after="800"/>
        <w:jc w:val="left"/>
      </w:pPr>
      <w:r>
        <w:rPr>
          <w:rFonts w:ascii="Times New Roman" w:hAnsi="Times New Roman"/>
          <w:b w:val="0"/>
          <w:i w:val="0"/>
          <w:sz w:val="24"/>
        </w:rPr>
        <w:t>Date  :</w:t>
      </w:r>
    </w:p>
    <w:p>
      <w:pPr>
        <w:keepNext w:val="0"/>
        <w:spacing w:line="276" w:lineRule="auto" w:after="120"/>
        <w:jc w:val="left"/>
      </w:pPr>
      <w:r>
        <w:rPr>
          <w:rFonts w:ascii="Times New Roman" w:hAnsi="Times New Roman"/>
          <w:b w:val="0"/>
          <w:i w:val="0"/>
          <w:sz w:val="22"/>
        </w:rPr>
        <w:t>ANTONY ABISHA (23BAI0190), AKAKSHAR SHARMA (23BAI0201), ARCHITA KHARE (23BAI0213)</w:t>
      </w:r>
    </w:p>
    <w:p>
      <w:pPr>
        <w:keepNext w:val="0"/>
        <w:spacing w:line="276" w:lineRule="auto" w:after="0"/>
        <w:jc w:val="left"/>
      </w:pPr>
      <w:r>
        <w:rPr>
          <w:rFonts w:ascii="Times New Roman" w:hAnsi="Times New Roman"/>
          <w:b w:val="0"/>
          <w:i w:val="0"/>
          <w:sz w:val="24"/>
        </w:rPr>
        <w:t>Signature of the Candidates</w:t>
      </w:r>
    </w:p>
    <w:p>
      <w:r>
        <w:br w:type="page"/>
      </w:r>
    </w:p>
    <w:p>
      <w:pPr>
        <w:keepNext w:val="0"/>
        <w:spacing w:line="360" w:lineRule="auto" w:after="440"/>
        <w:jc w:val="center"/>
      </w:pPr>
      <w:r>
        <w:rPr>
          <w:rFonts w:ascii="Times New Roman" w:hAnsi="Times New Roman"/>
          <w:b/>
          <w:i w:val="0"/>
          <w:sz w:val="32"/>
        </w:rPr>
        <w:t>CERTIFICATE</w:t>
      </w:r>
    </w:p>
    <w:p>
      <w:pPr>
        <w:keepNext w:val="0"/>
        <w:spacing w:line="360" w:lineRule="auto" w:after="280"/>
        <w:jc w:val="both"/>
      </w:pPr>
      <w:r>
        <w:rPr>
          <w:rFonts w:ascii="Times New Roman" w:hAnsi="Times New Roman"/>
          <w:b w:val="0"/>
          <w:i w:val="0"/>
          <w:sz w:val="24"/>
        </w:rPr>
        <w:t>This is to certify that the project entitled “Trustworthy Explanations for Random-Forest Stock Price Forecasting” submitted by ANTONY ABISHA (23BAI0190), AKAKSHAR SHARMA (23BAI0201), ARCHITA KHARE (23BAI0213), School of Computer Science and Engineering, Vellore Institute of Technology, for the award of the degree of Bachelor of Technology in Computer Science and Engineering, is a record of bonafide work carried out by them under my supervision during Fall Semester 2026-2027, as per the VIT code of academic and research ethics.</w:t>
      </w:r>
    </w:p>
    <w:p>
      <w:pPr>
        <w:keepNext w:val="0"/>
        <w:spacing w:line="360" w:lineRule="auto" w:after="720"/>
        <w:jc w:val="both"/>
      </w:pPr>
      <w:r>
        <w:rPr>
          <w:rFonts w:ascii="Times New Roman" w:hAnsi="Times New Roman"/>
          <w:b w:val="0"/>
          <w:i w:val="0"/>
          <w:sz w:val="24"/>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p>
      <w:pPr>
        <w:keepNext w:val="0"/>
        <w:spacing w:line="276" w:lineRule="auto" w:after="80"/>
        <w:jc w:val="left"/>
      </w:pPr>
      <w:r>
        <w:rPr>
          <w:rFonts w:ascii="Times New Roman" w:hAnsi="Times New Roman"/>
          <w:b w:val="0"/>
          <w:i w:val="0"/>
          <w:sz w:val="24"/>
        </w:rPr>
        <w:t>Place : Vellore</w:t>
      </w:r>
    </w:p>
    <w:p>
      <w:pPr>
        <w:keepNext w:val="0"/>
        <w:spacing w:line="276" w:lineRule="auto" w:after="720"/>
        <w:jc w:val="left"/>
      </w:pPr>
      <w:r>
        <w:rPr>
          <w:rFonts w:ascii="Times New Roman" w:hAnsi="Times New Roman"/>
          <w:b w:val="0"/>
          <w:i w:val="0"/>
          <w:sz w:val="24"/>
        </w:rPr>
        <w:t>Date  :</w:t>
      </w:r>
    </w:p>
    <w:p>
      <w:pPr>
        <w:keepNext w:val="0"/>
        <w:spacing w:line="276" w:lineRule="auto" w:after="40"/>
        <w:jc w:val="left"/>
      </w:pPr>
      <w:r>
        <w:rPr>
          <w:rFonts w:ascii="Times New Roman" w:hAnsi="Times New Roman"/>
          <w:b w:val="0"/>
          <w:i w:val="0"/>
          <w:sz w:val="24"/>
        </w:rPr>
        <w:t>Dr. Abdul Gaffar</w:t>
      </w:r>
    </w:p>
    <w:p>
      <w:pPr>
        <w:keepNext w:val="0"/>
        <w:spacing w:line="276" w:lineRule="auto" w:after="800"/>
        <w:jc w:val="left"/>
      </w:pPr>
      <w:r>
        <w:rPr>
          <w:rFonts w:ascii="Times New Roman" w:hAnsi="Times New Roman"/>
          <w:b w:val="0"/>
          <w:i w:val="0"/>
          <w:sz w:val="24"/>
        </w:rPr>
        <w:t>Signature of the Guide</w:t>
      </w:r>
    </w:p>
    <w:p>
      <w:pPr>
        <w:keepNext w:val="0"/>
        <w:spacing w:line="276" w:lineRule="auto" w:after="600"/>
        <w:jc w:val="right"/>
      </w:pPr>
      <w:r>
        <w:rPr>
          <w:rFonts w:ascii="Times New Roman" w:hAnsi="Times New Roman"/>
          <w:b w:val="0"/>
          <w:i w:val="0"/>
          <w:sz w:val="24"/>
        </w:rPr>
        <w:t>Examiner(s)</w:t>
      </w:r>
    </w:p>
    <w:p>
      <w:pPr>
        <w:keepNext w:val="0"/>
        <w:spacing w:line="276" w:lineRule="auto" w:after="40"/>
        <w:jc w:val="center"/>
      </w:pPr>
      <w:r>
        <w:rPr>
          <w:rFonts w:ascii="Times New Roman" w:hAnsi="Times New Roman"/>
          <w:b w:val="0"/>
          <w:i w:val="0"/>
          <w:sz w:val="24"/>
        </w:rPr>
        <w:t>Head of the Department</w:t>
      </w:r>
    </w:p>
    <w:p>
      <w:pPr>
        <w:keepNext w:val="0"/>
        <w:spacing w:line="276" w:lineRule="auto" w:after="0"/>
        <w:jc w:val="center"/>
      </w:pPr>
      <w:r>
        <w:rPr>
          <w:rFonts w:ascii="Times New Roman" w:hAnsi="Times New Roman"/>
          <w:b w:val="0"/>
          <w:i w:val="0"/>
          <w:sz w:val="24"/>
        </w:rPr>
        <w:t>Computer Science and Engineering</w:t>
      </w:r>
    </w:p>
    <w:p>
      <w:r>
        <w:br w:type="page"/>
      </w:r>
    </w:p>
    <w:p>
      <w:pPr>
        <w:keepNext w:val="0"/>
        <w:spacing w:line="360" w:lineRule="auto" w:after="320"/>
        <w:jc w:val="center"/>
      </w:pPr>
      <w:r>
        <w:rPr>
          <w:rFonts w:ascii="Times New Roman" w:hAnsi="Times New Roman"/>
          <w:b/>
          <w:i w:val="0"/>
          <w:sz w:val="32"/>
        </w:rPr>
        <w:t>TABLE OF CONTENTS</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1090"/>
        <w:gridCol w:w="6543"/>
        <w:gridCol w:w="1272"/>
      </w:tblGrid>
      <w:tr>
        <w:trPr>
          <w:cantSplit/>
          <w:tblHeader/>
        </w:trPr>
        <w:tc>
          <w:tcPr>
            <w:tcW w:type="dxa" w:w="1091"/>
            <w:shd w:val="clear" w:color="auto" w:fill="D9E2F3"/>
          </w:tcPr>
          <w:p>
            <w:pPr>
              <w:spacing w:after="40" w:line="240" w:lineRule="auto"/>
              <w:jc w:val="center"/>
            </w:pPr>
            <w:r/>
            <w:r>
              <w:rPr>
                <w:rFonts w:ascii="Times New Roman" w:hAnsi="Times New Roman"/>
                <w:b/>
                <w:sz w:val="22"/>
              </w:rPr>
              <w:t>Sl. No.</w:t>
            </w:r>
          </w:p>
        </w:tc>
        <w:tc>
          <w:tcPr>
            <w:tcW w:type="dxa" w:w="6544"/>
            <w:shd w:val="clear" w:color="auto" w:fill="D9E2F3"/>
          </w:tcPr>
          <w:p>
            <w:pPr>
              <w:spacing w:after="40" w:line="240" w:lineRule="auto"/>
              <w:jc w:val="center"/>
            </w:pPr>
            <w:r/>
            <w:r>
              <w:rPr>
                <w:rFonts w:ascii="Times New Roman" w:hAnsi="Times New Roman"/>
                <w:b/>
                <w:sz w:val="22"/>
              </w:rPr>
              <w:t>Contents</w:t>
            </w:r>
          </w:p>
        </w:tc>
        <w:tc>
          <w:tcPr>
            <w:tcW w:type="dxa" w:w="1272"/>
            <w:shd w:val="clear" w:color="auto" w:fill="D9E2F3"/>
          </w:tcPr>
          <w:p>
            <w:pPr>
              <w:spacing w:after="40" w:line="240" w:lineRule="auto"/>
              <w:jc w:val="center"/>
            </w:pPr>
            <w:r/>
            <w:r>
              <w:rPr>
                <w:rFonts w:ascii="Times New Roman" w:hAnsi="Times New Roman"/>
                <w:b/>
                <w:sz w:val="22"/>
              </w:rPr>
              <w:t>Page No.</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Abstract</w:t>
            </w:r>
          </w:p>
        </w:tc>
        <w:tc>
          <w:tcPr>
            <w:tcW w:type="dxa" w:w="1272"/>
          </w:tcPr>
          <w:p>
            <w:pPr>
              <w:spacing w:after="40" w:line="240" w:lineRule="auto"/>
              <w:jc w:val="center"/>
            </w:pPr>
            <w:r/>
            <w:r>
              <w:rPr>
                <w:rFonts w:ascii="Times New Roman" w:hAnsi="Times New Roman"/>
                <w:sz w:val="22"/>
              </w:rPr>
              <w:t>x</w:t>
            </w:r>
          </w:p>
        </w:tc>
      </w:tr>
      <w:tr>
        <w:trPr>
          <w:cantSplit/>
        </w:trPr>
        <w:tc>
          <w:tcPr>
            <w:tcW w:type="dxa" w:w="1091"/>
          </w:tcPr>
          <w:p>
            <w:pPr>
              <w:spacing w:after="40" w:line="240" w:lineRule="auto"/>
              <w:jc w:val="center"/>
            </w:pPr>
            <w:r/>
            <w:r>
              <w:rPr>
                <w:rFonts w:ascii="Times New Roman" w:hAnsi="Times New Roman"/>
                <w:sz w:val="22"/>
              </w:rPr>
              <w:t>1.</w:t>
            </w:r>
          </w:p>
        </w:tc>
        <w:tc>
          <w:tcPr>
            <w:tcW w:type="dxa" w:w="6544"/>
          </w:tcPr>
          <w:p>
            <w:pPr>
              <w:spacing w:after="40" w:line="240" w:lineRule="auto"/>
              <w:jc w:val="left"/>
            </w:pPr>
            <w:r/>
            <w:r>
              <w:rPr>
                <w:rFonts w:ascii="Times New Roman" w:hAnsi="Times New Roman"/>
                <w:sz w:val="22"/>
              </w:rPr>
              <w:t>INTRODUCTION</w:t>
            </w:r>
          </w:p>
        </w:tc>
        <w:tc>
          <w:tcPr>
            <w:tcW w:type="dxa" w:w="1272"/>
          </w:tcPr>
          <w:p>
            <w:pPr>
              <w:spacing w:after="40" w:line="240" w:lineRule="auto"/>
              <w:jc w:val="center"/>
            </w:pPr>
            <w:r/>
            <w:r>
              <w:rPr>
                <w:rFonts w:ascii="Times New Roman" w:hAnsi="Times New Roman"/>
                <w:sz w:val="22"/>
              </w:rPr>
              <w:t>1</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1.1 Background</w:t>
            </w:r>
          </w:p>
        </w:tc>
        <w:tc>
          <w:tcPr>
            <w:tcW w:type="dxa" w:w="1272"/>
          </w:tcPr>
          <w:p>
            <w:pPr>
              <w:spacing w:after="40" w:line="240" w:lineRule="auto"/>
              <w:jc w:val="center"/>
            </w:pPr>
            <w:r/>
            <w:r>
              <w:rPr>
                <w:rFonts w:ascii="Times New Roman" w:hAnsi="Times New Roman"/>
                <w:sz w:val="22"/>
              </w:rPr>
              <w:t>1</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1.2 Motivations</w:t>
            </w:r>
          </w:p>
        </w:tc>
        <w:tc>
          <w:tcPr>
            <w:tcW w:type="dxa" w:w="1272"/>
          </w:tcPr>
          <w:p>
            <w:pPr>
              <w:spacing w:after="40" w:line="240" w:lineRule="auto"/>
              <w:jc w:val="center"/>
            </w:pPr>
            <w:r/>
            <w:r>
              <w:rPr>
                <w:rFonts w:ascii="Times New Roman" w:hAnsi="Times New Roman"/>
                <w:sz w:val="22"/>
              </w:rPr>
              <w:t>1</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1.2.1 Accuracy Reported in the Wrong Units</w:t>
            </w:r>
          </w:p>
        </w:tc>
        <w:tc>
          <w:tcPr>
            <w:tcW w:type="dxa" w:w="1272"/>
          </w:tcPr>
          <w:p>
            <w:pPr>
              <w:spacing w:after="40" w:line="240" w:lineRule="auto"/>
              <w:jc w:val="center"/>
            </w:pPr>
            <w:r/>
            <w:r>
              <w:rPr>
                <w:rFonts w:ascii="Times New Roman" w:hAnsi="Times New Roman"/>
                <w:sz w:val="22"/>
              </w:rPr>
              <w:t>1</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1.2.2 Explanations Presented as Findings but Never Tested</w:t>
            </w:r>
          </w:p>
        </w:tc>
        <w:tc>
          <w:tcPr>
            <w:tcW w:type="dxa" w:w="1272"/>
          </w:tcPr>
          <w:p>
            <w:pPr>
              <w:spacing w:after="40" w:line="240" w:lineRule="auto"/>
              <w:jc w:val="center"/>
            </w:pPr>
            <w:r/>
            <w:r>
              <w:rPr>
                <w:rFonts w:ascii="Times New Roman" w:hAnsi="Times New Roman"/>
                <w:sz w:val="22"/>
              </w:rPr>
              <w:t>2</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1.3 Scope of the Project</w:t>
            </w:r>
          </w:p>
        </w:tc>
        <w:tc>
          <w:tcPr>
            <w:tcW w:type="dxa" w:w="1272"/>
          </w:tcPr>
          <w:p>
            <w:pPr>
              <w:spacing w:after="40" w:line="240" w:lineRule="auto"/>
              <w:jc w:val="center"/>
            </w:pPr>
            <w:r/>
            <w:r>
              <w:rPr>
                <w:rFonts w:ascii="Times New Roman" w:hAnsi="Times New Roman"/>
                <w:sz w:val="22"/>
              </w:rPr>
              <w:t>2</w:t>
            </w:r>
          </w:p>
        </w:tc>
      </w:tr>
      <w:tr>
        <w:trPr>
          <w:cantSplit/>
        </w:trPr>
        <w:tc>
          <w:tcPr>
            <w:tcW w:type="dxa" w:w="1091"/>
          </w:tcPr>
          <w:p>
            <w:pPr>
              <w:spacing w:after="40" w:line="240" w:lineRule="auto"/>
              <w:jc w:val="center"/>
            </w:pPr>
            <w:r/>
            <w:r>
              <w:rPr>
                <w:rFonts w:ascii="Times New Roman" w:hAnsi="Times New Roman"/>
                <w:sz w:val="22"/>
              </w:rPr>
              <w:t>2.</w:t>
            </w:r>
          </w:p>
        </w:tc>
        <w:tc>
          <w:tcPr>
            <w:tcW w:type="dxa" w:w="6544"/>
          </w:tcPr>
          <w:p>
            <w:pPr>
              <w:spacing w:after="40" w:line="240" w:lineRule="auto"/>
              <w:jc w:val="left"/>
            </w:pPr>
            <w:r/>
            <w:r>
              <w:rPr>
                <w:rFonts w:ascii="Times New Roman" w:hAnsi="Times New Roman"/>
                <w:sz w:val="22"/>
              </w:rPr>
              <w:t>PROJECT DESCRIPTION AND GOALS</w:t>
            </w:r>
          </w:p>
        </w:tc>
        <w:tc>
          <w:tcPr>
            <w:tcW w:type="dxa" w:w="1272"/>
          </w:tcPr>
          <w:p>
            <w:pPr>
              <w:spacing w:after="40" w:line="240" w:lineRule="auto"/>
              <w:jc w:val="center"/>
            </w:pPr>
            <w:r/>
            <w:r>
              <w:rPr>
                <w:rFonts w:ascii="Times New Roman" w:hAnsi="Times New Roman"/>
                <w:sz w:val="22"/>
              </w:rPr>
              <w:t>4</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2.1 Literature Review</w:t>
            </w:r>
          </w:p>
        </w:tc>
        <w:tc>
          <w:tcPr>
            <w:tcW w:type="dxa" w:w="1272"/>
          </w:tcPr>
          <w:p>
            <w:pPr>
              <w:spacing w:after="40" w:line="240" w:lineRule="auto"/>
              <w:jc w:val="center"/>
            </w:pPr>
            <w:r/>
            <w:r>
              <w:rPr>
                <w:rFonts w:ascii="Times New Roman" w:hAnsi="Times New Roman"/>
                <w:sz w:val="22"/>
              </w:rPr>
              <w:t>4</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2.2 Research Gap</w:t>
            </w:r>
          </w:p>
        </w:tc>
        <w:tc>
          <w:tcPr>
            <w:tcW w:type="dxa" w:w="1272"/>
          </w:tcPr>
          <w:p>
            <w:pPr>
              <w:spacing w:after="40" w:line="240" w:lineRule="auto"/>
              <w:jc w:val="center"/>
            </w:pPr>
            <w:r/>
            <w:r>
              <w:rPr>
                <w:rFonts w:ascii="Times New Roman" w:hAnsi="Times New Roman"/>
                <w:sz w:val="22"/>
              </w:rPr>
              <w:t>5</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2.3 Objectives</w:t>
            </w:r>
          </w:p>
        </w:tc>
        <w:tc>
          <w:tcPr>
            <w:tcW w:type="dxa" w:w="1272"/>
          </w:tcPr>
          <w:p>
            <w:pPr>
              <w:spacing w:after="40" w:line="240" w:lineRule="auto"/>
              <w:jc w:val="center"/>
            </w:pPr>
            <w:r/>
            <w:r>
              <w:rPr>
                <w:rFonts w:ascii="Times New Roman" w:hAnsi="Times New Roman"/>
                <w:sz w:val="22"/>
              </w:rPr>
              <w:t>5</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2.4 Problem Statement</w:t>
            </w:r>
          </w:p>
        </w:tc>
        <w:tc>
          <w:tcPr>
            <w:tcW w:type="dxa" w:w="1272"/>
          </w:tcPr>
          <w:p>
            <w:pPr>
              <w:spacing w:after="40" w:line="240" w:lineRule="auto"/>
              <w:jc w:val="center"/>
            </w:pPr>
            <w:r/>
            <w:r>
              <w:rPr>
                <w:rFonts w:ascii="Times New Roman" w:hAnsi="Times New Roman"/>
                <w:sz w:val="22"/>
              </w:rPr>
              <w:t>5</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2.4.1 Formal Definition</w:t>
            </w:r>
          </w:p>
        </w:tc>
        <w:tc>
          <w:tcPr>
            <w:tcW w:type="dxa" w:w="1272"/>
          </w:tcPr>
          <w:p>
            <w:pPr>
              <w:spacing w:after="40" w:line="240" w:lineRule="auto"/>
              <w:jc w:val="center"/>
            </w:pPr>
            <w:r/>
            <w:r>
              <w:rPr>
                <w:rFonts w:ascii="Times New Roman" w:hAnsi="Times New Roman"/>
                <w:sz w:val="22"/>
              </w:rPr>
              <w:t>6</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2.4.2 Research Questions</w:t>
            </w:r>
          </w:p>
        </w:tc>
        <w:tc>
          <w:tcPr>
            <w:tcW w:type="dxa" w:w="1272"/>
          </w:tcPr>
          <w:p>
            <w:pPr>
              <w:spacing w:after="40" w:line="240" w:lineRule="auto"/>
              <w:jc w:val="center"/>
            </w:pPr>
            <w:r/>
            <w:r>
              <w:rPr>
                <w:rFonts w:ascii="Times New Roman" w:hAnsi="Times New Roman"/>
                <w:sz w:val="22"/>
              </w:rPr>
              <w:t>6</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2.5 Project Plan</w:t>
            </w:r>
          </w:p>
        </w:tc>
        <w:tc>
          <w:tcPr>
            <w:tcW w:type="dxa" w:w="1272"/>
          </w:tcPr>
          <w:p>
            <w:pPr>
              <w:spacing w:after="40" w:line="240" w:lineRule="auto"/>
              <w:jc w:val="center"/>
            </w:pPr>
            <w:r/>
            <w:r>
              <w:rPr>
                <w:rFonts w:ascii="Times New Roman" w:hAnsi="Times New Roman"/>
                <w:sz w:val="22"/>
              </w:rPr>
              <w:t>6</w:t>
            </w:r>
          </w:p>
        </w:tc>
      </w:tr>
      <w:tr>
        <w:trPr>
          <w:cantSplit/>
        </w:trPr>
        <w:tc>
          <w:tcPr>
            <w:tcW w:type="dxa" w:w="1091"/>
          </w:tcPr>
          <w:p>
            <w:pPr>
              <w:spacing w:after="40" w:line="240" w:lineRule="auto"/>
              <w:jc w:val="center"/>
            </w:pPr>
            <w:r/>
            <w:r>
              <w:rPr>
                <w:rFonts w:ascii="Times New Roman" w:hAnsi="Times New Roman"/>
                <w:sz w:val="22"/>
              </w:rPr>
              <w:t>3.</w:t>
            </w:r>
          </w:p>
        </w:tc>
        <w:tc>
          <w:tcPr>
            <w:tcW w:type="dxa" w:w="6544"/>
          </w:tcPr>
          <w:p>
            <w:pPr>
              <w:spacing w:after="40" w:line="240" w:lineRule="auto"/>
              <w:jc w:val="left"/>
            </w:pPr>
            <w:r/>
            <w:r>
              <w:rPr>
                <w:rFonts w:ascii="Times New Roman" w:hAnsi="Times New Roman"/>
                <w:sz w:val="22"/>
              </w:rPr>
              <w:t>TECHNICAL SPECIFICATION</w:t>
            </w:r>
          </w:p>
        </w:tc>
        <w:tc>
          <w:tcPr>
            <w:tcW w:type="dxa" w:w="1272"/>
          </w:tcPr>
          <w:p>
            <w:pPr>
              <w:spacing w:after="40" w:line="240" w:lineRule="auto"/>
              <w:jc w:val="center"/>
            </w:pPr>
            <w:r/>
            <w:r>
              <w:rPr>
                <w:rFonts w:ascii="Times New Roman" w:hAnsi="Times New Roman"/>
                <w:sz w:val="22"/>
              </w:rPr>
              <w:t>7</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3.1 Requirements</w:t>
            </w:r>
          </w:p>
        </w:tc>
        <w:tc>
          <w:tcPr>
            <w:tcW w:type="dxa" w:w="1272"/>
          </w:tcPr>
          <w:p>
            <w:pPr>
              <w:spacing w:after="40" w:line="240" w:lineRule="auto"/>
              <w:jc w:val="center"/>
            </w:pPr>
            <w:r/>
            <w:r>
              <w:rPr>
                <w:rFonts w:ascii="Times New Roman" w:hAnsi="Times New Roman"/>
                <w:sz w:val="22"/>
              </w:rPr>
              <w:t>7</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3.1.1 Functional Requirements</w:t>
            </w:r>
          </w:p>
        </w:tc>
        <w:tc>
          <w:tcPr>
            <w:tcW w:type="dxa" w:w="1272"/>
          </w:tcPr>
          <w:p>
            <w:pPr>
              <w:spacing w:after="40" w:line="240" w:lineRule="auto"/>
              <w:jc w:val="center"/>
            </w:pPr>
            <w:r/>
            <w:r>
              <w:rPr>
                <w:rFonts w:ascii="Times New Roman" w:hAnsi="Times New Roman"/>
                <w:sz w:val="22"/>
              </w:rPr>
              <w:t>7</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3.1.2 Non-Functional Requirements</w:t>
            </w:r>
          </w:p>
        </w:tc>
        <w:tc>
          <w:tcPr>
            <w:tcW w:type="dxa" w:w="1272"/>
          </w:tcPr>
          <w:p>
            <w:pPr>
              <w:spacing w:after="40" w:line="240" w:lineRule="auto"/>
              <w:jc w:val="center"/>
            </w:pPr>
            <w:r/>
            <w:r>
              <w:rPr>
                <w:rFonts w:ascii="Times New Roman" w:hAnsi="Times New Roman"/>
                <w:sz w:val="22"/>
              </w:rPr>
              <w:t>7</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3.2 Feasibility Study</w:t>
            </w:r>
          </w:p>
        </w:tc>
        <w:tc>
          <w:tcPr>
            <w:tcW w:type="dxa" w:w="1272"/>
          </w:tcPr>
          <w:p>
            <w:pPr>
              <w:spacing w:after="40" w:line="240" w:lineRule="auto"/>
              <w:jc w:val="center"/>
            </w:pPr>
            <w:r/>
            <w:r>
              <w:rPr>
                <w:rFonts w:ascii="Times New Roman" w:hAnsi="Times New Roman"/>
                <w:sz w:val="22"/>
              </w:rPr>
              <w:t>8</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3.2.1 Technical Feasibility</w:t>
            </w:r>
          </w:p>
        </w:tc>
        <w:tc>
          <w:tcPr>
            <w:tcW w:type="dxa" w:w="1272"/>
          </w:tcPr>
          <w:p>
            <w:pPr>
              <w:spacing w:after="40" w:line="240" w:lineRule="auto"/>
              <w:jc w:val="center"/>
            </w:pPr>
            <w:r/>
            <w:r>
              <w:rPr>
                <w:rFonts w:ascii="Times New Roman" w:hAnsi="Times New Roman"/>
                <w:sz w:val="22"/>
              </w:rPr>
              <w:t>8</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3.2.2 Economic Feasibility</w:t>
            </w:r>
          </w:p>
        </w:tc>
        <w:tc>
          <w:tcPr>
            <w:tcW w:type="dxa" w:w="1272"/>
          </w:tcPr>
          <w:p>
            <w:pPr>
              <w:spacing w:after="40" w:line="240" w:lineRule="auto"/>
              <w:jc w:val="center"/>
            </w:pPr>
            <w:r/>
            <w:r>
              <w:rPr>
                <w:rFonts w:ascii="Times New Roman" w:hAnsi="Times New Roman"/>
                <w:sz w:val="22"/>
              </w:rPr>
              <w:t>8</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3.2.3 Social Feasibility</w:t>
            </w:r>
          </w:p>
        </w:tc>
        <w:tc>
          <w:tcPr>
            <w:tcW w:type="dxa" w:w="1272"/>
          </w:tcPr>
          <w:p>
            <w:pPr>
              <w:spacing w:after="40" w:line="240" w:lineRule="auto"/>
              <w:jc w:val="center"/>
            </w:pPr>
            <w:r/>
            <w:r>
              <w:rPr>
                <w:rFonts w:ascii="Times New Roman" w:hAnsi="Times New Roman"/>
                <w:sz w:val="22"/>
              </w:rPr>
              <w:t>8</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3.3 System Specification</w:t>
            </w:r>
          </w:p>
        </w:tc>
        <w:tc>
          <w:tcPr>
            <w:tcW w:type="dxa" w:w="1272"/>
          </w:tcPr>
          <w:p>
            <w:pPr>
              <w:spacing w:after="40" w:line="240" w:lineRule="auto"/>
              <w:jc w:val="center"/>
            </w:pPr>
            <w:r/>
            <w:r>
              <w:rPr>
                <w:rFonts w:ascii="Times New Roman" w:hAnsi="Times New Roman"/>
                <w:sz w:val="22"/>
              </w:rPr>
              <w:t>9</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3.3.1 Hardware Specification</w:t>
            </w:r>
          </w:p>
        </w:tc>
        <w:tc>
          <w:tcPr>
            <w:tcW w:type="dxa" w:w="1272"/>
          </w:tcPr>
          <w:p>
            <w:pPr>
              <w:spacing w:after="40" w:line="240" w:lineRule="auto"/>
              <w:jc w:val="center"/>
            </w:pPr>
            <w:r/>
            <w:r>
              <w:rPr>
                <w:rFonts w:ascii="Times New Roman" w:hAnsi="Times New Roman"/>
                <w:sz w:val="22"/>
              </w:rPr>
              <w:t>9</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3.3.2 Software Specification</w:t>
            </w:r>
          </w:p>
        </w:tc>
        <w:tc>
          <w:tcPr>
            <w:tcW w:type="dxa" w:w="1272"/>
          </w:tcPr>
          <w:p>
            <w:pPr>
              <w:spacing w:after="40" w:line="240" w:lineRule="auto"/>
              <w:jc w:val="center"/>
            </w:pPr>
            <w:r/>
            <w:r>
              <w:rPr>
                <w:rFonts w:ascii="Times New Roman" w:hAnsi="Times New Roman"/>
                <w:sz w:val="22"/>
              </w:rPr>
              <w:t>9</w:t>
            </w:r>
          </w:p>
        </w:tc>
      </w:tr>
      <w:tr>
        <w:trPr>
          <w:cantSplit/>
        </w:trPr>
        <w:tc>
          <w:tcPr>
            <w:tcW w:type="dxa" w:w="1091"/>
          </w:tcPr>
          <w:p>
            <w:pPr>
              <w:spacing w:after="40" w:line="240" w:lineRule="auto"/>
              <w:jc w:val="center"/>
            </w:pPr>
            <w:r/>
            <w:r>
              <w:rPr>
                <w:rFonts w:ascii="Times New Roman" w:hAnsi="Times New Roman"/>
                <w:sz w:val="22"/>
              </w:rPr>
              <w:t>4.</w:t>
            </w:r>
          </w:p>
        </w:tc>
        <w:tc>
          <w:tcPr>
            <w:tcW w:type="dxa" w:w="6544"/>
          </w:tcPr>
          <w:p>
            <w:pPr>
              <w:spacing w:after="40" w:line="240" w:lineRule="auto"/>
              <w:jc w:val="left"/>
            </w:pPr>
            <w:r/>
            <w:r>
              <w:rPr>
                <w:rFonts w:ascii="Times New Roman" w:hAnsi="Times New Roman"/>
                <w:sz w:val="22"/>
              </w:rPr>
              <w:t>DESIGN APPROACH AND DETAILS</w:t>
            </w:r>
          </w:p>
        </w:tc>
        <w:tc>
          <w:tcPr>
            <w:tcW w:type="dxa" w:w="1272"/>
          </w:tcPr>
          <w:p>
            <w:pPr>
              <w:spacing w:after="40" w:line="240" w:lineRule="auto"/>
              <w:jc w:val="center"/>
            </w:pPr>
            <w:r/>
            <w:r>
              <w:rPr>
                <w:rFonts w:ascii="Times New Roman" w:hAnsi="Times New Roman"/>
                <w:sz w:val="22"/>
              </w:rPr>
              <w:t>10</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4.1 System Architecture</w:t>
            </w:r>
          </w:p>
        </w:tc>
        <w:tc>
          <w:tcPr>
            <w:tcW w:type="dxa" w:w="1272"/>
          </w:tcPr>
          <w:p>
            <w:pPr>
              <w:spacing w:after="40" w:line="240" w:lineRule="auto"/>
              <w:jc w:val="center"/>
            </w:pPr>
            <w:r/>
            <w:r>
              <w:rPr>
                <w:rFonts w:ascii="Times New Roman" w:hAnsi="Times New Roman"/>
                <w:sz w:val="22"/>
              </w:rPr>
              <w:t>10</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4.1.1 Dataset</w:t>
            </w:r>
          </w:p>
        </w:tc>
        <w:tc>
          <w:tcPr>
            <w:tcW w:type="dxa" w:w="1272"/>
          </w:tcPr>
          <w:p>
            <w:pPr>
              <w:spacing w:after="40" w:line="240" w:lineRule="auto"/>
              <w:jc w:val="center"/>
            </w:pPr>
            <w:r/>
            <w:r>
              <w:rPr>
                <w:rFonts w:ascii="Times New Roman" w:hAnsi="Times New Roman"/>
                <w:sz w:val="22"/>
              </w:rPr>
              <w:t>10</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4.1.2 Data Cleaning</w:t>
            </w:r>
          </w:p>
        </w:tc>
        <w:tc>
          <w:tcPr>
            <w:tcW w:type="dxa" w:w="1272"/>
          </w:tcPr>
          <w:p>
            <w:pPr>
              <w:spacing w:after="40" w:line="240" w:lineRule="auto"/>
              <w:jc w:val="center"/>
            </w:pPr>
            <w:r/>
            <w:r>
              <w:rPr>
                <w:rFonts w:ascii="Times New Roman" w:hAnsi="Times New Roman"/>
                <w:sz w:val="22"/>
              </w:rPr>
              <w:t>11</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4.1.3 Feature Engineering</w:t>
            </w:r>
          </w:p>
        </w:tc>
        <w:tc>
          <w:tcPr>
            <w:tcW w:type="dxa" w:w="1272"/>
          </w:tcPr>
          <w:p>
            <w:pPr>
              <w:spacing w:after="40" w:line="240" w:lineRule="auto"/>
              <w:jc w:val="center"/>
            </w:pPr>
            <w:r/>
            <w:r>
              <w:rPr>
                <w:rFonts w:ascii="Times New Roman" w:hAnsi="Times New Roman"/>
                <w:sz w:val="22"/>
              </w:rPr>
              <w:t>11</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4.2 Design</w:t>
            </w:r>
          </w:p>
        </w:tc>
        <w:tc>
          <w:tcPr>
            <w:tcW w:type="dxa" w:w="1272"/>
          </w:tcPr>
          <w:p>
            <w:pPr>
              <w:spacing w:after="40" w:line="240" w:lineRule="auto"/>
              <w:jc w:val="center"/>
            </w:pPr>
            <w:r/>
            <w:r>
              <w:rPr>
                <w:rFonts w:ascii="Times New Roman" w:hAnsi="Times New Roman"/>
                <w:sz w:val="22"/>
              </w:rPr>
              <w:t>12</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4.2.1 Data-Flow Diagram</w:t>
            </w:r>
          </w:p>
        </w:tc>
        <w:tc>
          <w:tcPr>
            <w:tcW w:type="dxa" w:w="1272"/>
          </w:tcPr>
          <w:p>
            <w:pPr>
              <w:spacing w:after="40" w:line="240" w:lineRule="auto"/>
              <w:jc w:val="center"/>
            </w:pPr>
            <w:r/>
            <w:r>
              <w:rPr>
                <w:rFonts w:ascii="Times New Roman" w:hAnsi="Times New Roman"/>
                <w:sz w:val="22"/>
              </w:rPr>
              <w:t>12</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4.2.2 Use Case Diagram</w:t>
            </w:r>
          </w:p>
        </w:tc>
        <w:tc>
          <w:tcPr>
            <w:tcW w:type="dxa" w:w="1272"/>
          </w:tcPr>
          <w:p>
            <w:pPr>
              <w:spacing w:after="40" w:line="240" w:lineRule="auto"/>
              <w:jc w:val="center"/>
            </w:pPr>
            <w:r/>
            <w:r>
              <w:rPr>
                <w:rFonts w:ascii="Times New Roman" w:hAnsi="Times New Roman"/>
                <w:sz w:val="22"/>
              </w:rPr>
              <w:t>12</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4.2.3 Class Diagram</w:t>
            </w:r>
          </w:p>
        </w:tc>
        <w:tc>
          <w:tcPr>
            <w:tcW w:type="dxa" w:w="1272"/>
          </w:tcPr>
          <w:p>
            <w:pPr>
              <w:spacing w:after="40" w:line="240" w:lineRule="auto"/>
              <w:jc w:val="center"/>
            </w:pPr>
            <w:r/>
            <w:r>
              <w:rPr>
                <w:rFonts w:ascii="Times New Roman" w:hAnsi="Times New Roman"/>
                <w:sz w:val="22"/>
              </w:rPr>
              <w:t>13</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4.2.4 Sequence Diagram</w:t>
            </w:r>
          </w:p>
        </w:tc>
        <w:tc>
          <w:tcPr>
            <w:tcW w:type="dxa" w:w="1272"/>
          </w:tcPr>
          <w:p>
            <w:pPr>
              <w:spacing w:after="40" w:line="240" w:lineRule="auto"/>
              <w:jc w:val="center"/>
            </w:pPr>
            <w:r/>
            <w:r>
              <w:rPr>
                <w:rFonts w:ascii="Times New Roman" w:hAnsi="Times New Roman"/>
                <w:sz w:val="22"/>
              </w:rPr>
              <w:t>14</w:t>
            </w:r>
          </w:p>
        </w:tc>
      </w:tr>
      <w:tr>
        <w:trPr>
          <w:cantSplit/>
        </w:trPr>
        <w:tc>
          <w:tcPr>
            <w:tcW w:type="dxa" w:w="1091"/>
          </w:tcPr>
          <w:p>
            <w:pPr>
              <w:spacing w:after="40" w:line="240" w:lineRule="auto"/>
              <w:jc w:val="center"/>
            </w:pPr>
            <w:r/>
            <w:r>
              <w:rPr>
                <w:rFonts w:ascii="Times New Roman" w:hAnsi="Times New Roman"/>
                <w:sz w:val="22"/>
              </w:rPr>
              <w:t>5.</w:t>
            </w:r>
          </w:p>
        </w:tc>
        <w:tc>
          <w:tcPr>
            <w:tcW w:type="dxa" w:w="6544"/>
          </w:tcPr>
          <w:p>
            <w:pPr>
              <w:spacing w:after="40" w:line="240" w:lineRule="auto"/>
              <w:jc w:val="left"/>
            </w:pPr>
            <w:r/>
            <w:r>
              <w:rPr>
                <w:rFonts w:ascii="Times New Roman" w:hAnsi="Times New Roman"/>
                <w:sz w:val="22"/>
              </w:rPr>
              <w:t>METHODOLOGY AND TESTING</w:t>
            </w:r>
          </w:p>
        </w:tc>
        <w:tc>
          <w:tcPr>
            <w:tcW w:type="dxa" w:w="1272"/>
          </w:tcPr>
          <w:p>
            <w:pPr>
              <w:spacing w:after="40" w:line="240" w:lineRule="auto"/>
              <w:jc w:val="center"/>
            </w:pPr>
            <w:r/>
            <w:r>
              <w:rPr>
                <w:rFonts w:ascii="Times New Roman" w:hAnsi="Times New Roman"/>
                <w:sz w:val="22"/>
              </w:rPr>
              <w:t>16</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5.1 Module Description</w:t>
            </w:r>
          </w:p>
        </w:tc>
        <w:tc>
          <w:tcPr>
            <w:tcW w:type="dxa" w:w="1272"/>
          </w:tcPr>
          <w:p>
            <w:pPr>
              <w:spacing w:after="40" w:line="240" w:lineRule="auto"/>
              <w:jc w:val="center"/>
            </w:pPr>
            <w:r/>
            <w:r>
              <w:rPr>
                <w:rFonts w:ascii="Times New Roman" w:hAnsi="Times New Roman"/>
                <w:sz w:val="22"/>
              </w:rPr>
              <w:t>16</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5.1.1 Target Formulation and Model</w:t>
            </w:r>
          </w:p>
        </w:tc>
        <w:tc>
          <w:tcPr>
            <w:tcW w:type="dxa" w:w="1272"/>
          </w:tcPr>
          <w:p>
            <w:pPr>
              <w:spacing w:after="40" w:line="240" w:lineRule="auto"/>
              <w:jc w:val="center"/>
            </w:pPr>
            <w:r/>
            <w:r>
              <w:rPr>
                <w:rFonts w:ascii="Times New Roman" w:hAnsi="Times New Roman"/>
                <w:sz w:val="22"/>
              </w:rPr>
              <w:t>16</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5.1.2 Walk-Forward Protocol</w:t>
            </w:r>
          </w:p>
        </w:tc>
        <w:tc>
          <w:tcPr>
            <w:tcW w:type="dxa" w:w="1272"/>
          </w:tcPr>
          <w:p>
            <w:pPr>
              <w:spacing w:after="40" w:line="240" w:lineRule="auto"/>
              <w:jc w:val="center"/>
            </w:pPr>
            <w:r/>
            <w:r>
              <w:rPr>
                <w:rFonts w:ascii="Times New Roman" w:hAnsi="Times New Roman"/>
                <w:sz w:val="22"/>
              </w:rPr>
              <w:t>17</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5.1.3 Baselines and Metrics</w:t>
            </w:r>
          </w:p>
        </w:tc>
        <w:tc>
          <w:tcPr>
            <w:tcW w:type="dxa" w:w="1272"/>
          </w:tcPr>
          <w:p>
            <w:pPr>
              <w:spacing w:after="40" w:line="240" w:lineRule="auto"/>
              <w:jc w:val="center"/>
            </w:pPr>
            <w:r/>
            <w:r>
              <w:rPr>
                <w:rFonts w:ascii="Times New Roman" w:hAnsi="Times New Roman"/>
                <w:sz w:val="22"/>
              </w:rPr>
              <w:t>17</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5.1.4 Explanation Methods</w:t>
            </w:r>
          </w:p>
        </w:tc>
        <w:tc>
          <w:tcPr>
            <w:tcW w:type="dxa" w:w="1272"/>
          </w:tcPr>
          <w:p>
            <w:pPr>
              <w:spacing w:after="40" w:line="240" w:lineRule="auto"/>
              <w:jc w:val="center"/>
            </w:pPr>
            <w:r/>
            <w:r>
              <w:rPr>
                <w:rFonts w:ascii="Times New Roman" w:hAnsi="Times New Roman"/>
                <w:sz w:val="22"/>
              </w:rPr>
              <w:t>17</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5.1.5 The Reliability Audit</w:t>
            </w:r>
          </w:p>
        </w:tc>
        <w:tc>
          <w:tcPr>
            <w:tcW w:type="dxa" w:w="1272"/>
          </w:tcPr>
          <w:p>
            <w:pPr>
              <w:spacing w:after="40" w:line="240" w:lineRule="auto"/>
              <w:jc w:val="center"/>
            </w:pPr>
            <w:r/>
            <w:r>
              <w:rPr>
                <w:rFonts w:ascii="Times New Roman" w:hAnsi="Times New Roman"/>
                <w:sz w:val="22"/>
              </w:rPr>
              <w:t>18</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5.2 Testing</w:t>
            </w:r>
          </w:p>
        </w:tc>
        <w:tc>
          <w:tcPr>
            <w:tcW w:type="dxa" w:w="1272"/>
          </w:tcPr>
          <w:p>
            <w:pPr>
              <w:spacing w:after="40" w:line="240" w:lineRule="auto"/>
              <w:jc w:val="center"/>
            </w:pPr>
            <w:r/>
            <w:r>
              <w:rPr>
                <w:rFonts w:ascii="Times New Roman" w:hAnsi="Times New Roman"/>
                <w:sz w:val="22"/>
              </w:rPr>
              <w:t>18</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5.2.1 Acceptance Criteria</w:t>
            </w:r>
          </w:p>
        </w:tc>
        <w:tc>
          <w:tcPr>
            <w:tcW w:type="dxa" w:w="1272"/>
          </w:tcPr>
          <w:p>
            <w:pPr>
              <w:spacing w:after="40" w:line="240" w:lineRule="auto"/>
              <w:jc w:val="center"/>
            </w:pPr>
            <w:r/>
            <w:r>
              <w:rPr>
                <w:rFonts w:ascii="Times New Roman" w:hAnsi="Times New Roman"/>
                <w:sz w:val="22"/>
              </w:rPr>
              <w:t>18</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5.2.2 Correctness Checks Built Into the Pipeline</w:t>
            </w:r>
          </w:p>
        </w:tc>
        <w:tc>
          <w:tcPr>
            <w:tcW w:type="dxa" w:w="1272"/>
          </w:tcPr>
          <w:p>
            <w:pPr>
              <w:spacing w:after="40" w:line="240" w:lineRule="auto"/>
              <w:jc w:val="center"/>
            </w:pPr>
            <w:r/>
            <w:r>
              <w:rPr>
                <w:rFonts w:ascii="Times New Roman" w:hAnsi="Times New Roman"/>
                <w:sz w:val="22"/>
              </w:rPr>
              <w:t>19</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5.2.3 A Defect Found by Testing: LIME Reproducibility</w:t>
            </w:r>
          </w:p>
        </w:tc>
        <w:tc>
          <w:tcPr>
            <w:tcW w:type="dxa" w:w="1272"/>
          </w:tcPr>
          <w:p>
            <w:pPr>
              <w:spacing w:after="40" w:line="240" w:lineRule="auto"/>
              <w:jc w:val="center"/>
            </w:pPr>
            <w:r/>
            <w:r>
              <w:rPr>
                <w:rFonts w:ascii="Times New Roman" w:hAnsi="Times New Roman"/>
                <w:sz w:val="22"/>
              </w:rPr>
              <w:t>19</w:t>
            </w:r>
          </w:p>
        </w:tc>
      </w:tr>
      <w:tr>
        <w:trPr>
          <w:cantSplit/>
        </w:trPr>
        <w:tc>
          <w:tcPr>
            <w:tcW w:type="dxa" w:w="1091"/>
          </w:tcPr>
          <w:p>
            <w:pPr>
              <w:spacing w:after="40" w:line="240" w:lineRule="auto"/>
              <w:jc w:val="center"/>
            </w:pPr>
            <w:r/>
            <w:r>
              <w:rPr>
                <w:rFonts w:ascii="Times New Roman" w:hAnsi="Times New Roman"/>
                <w:sz w:val="22"/>
              </w:rPr>
              <w:t>6.</w:t>
            </w:r>
          </w:p>
        </w:tc>
        <w:tc>
          <w:tcPr>
            <w:tcW w:type="dxa" w:w="6544"/>
          </w:tcPr>
          <w:p>
            <w:pPr>
              <w:spacing w:after="40" w:line="240" w:lineRule="auto"/>
              <w:jc w:val="left"/>
            </w:pPr>
            <w:r/>
            <w:r>
              <w:rPr>
                <w:rFonts w:ascii="Times New Roman" w:hAnsi="Times New Roman"/>
                <w:sz w:val="22"/>
              </w:rPr>
              <w:t>PROJECT DEMONSTRATION</w:t>
            </w:r>
          </w:p>
        </w:tc>
        <w:tc>
          <w:tcPr>
            <w:tcW w:type="dxa" w:w="1272"/>
          </w:tcPr>
          <w:p>
            <w:pPr>
              <w:spacing w:after="40" w:line="240" w:lineRule="auto"/>
              <w:jc w:val="center"/>
            </w:pPr>
            <w:r/>
            <w:r>
              <w:rPr>
                <w:rFonts w:ascii="Times New Roman" w:hAnsi="Times New Roman"/>
                <w:sz w:val="22"/>
              </w:rPr>
              <w:t>21</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6.1 Live Forecasting</w:t>
            </w:r>
          </w:p>
        </w:tc>
        <w:tc>
          <w:tcPr>
            <w:tcW w:type="dxa" w:w="1272"/>
          </w:tcPr>
          <w:p>
            <w:pPr>
              <w:spacing w:after="40" w:line="240" w:lineRule="auto"/>
              <w:jc w:val="center"/>
            </w:pPr>
            <w:r/>
            <w:r>
              <w:rPr>
                <w:rFonts w:ascii="Times New Roman" w:hAnsi="Times New Roman"/>
                <w:sz w:val="22"/>
              </w:rPr>
              <w:t>21</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6.2 The Interactive Demonstration</w:t>
            </w:r>
          </w:p>
        </w:tc>
        <w:tc>
          <w:tcPr>
            <w:tcW w:type="dxa" w:w="1272"/>
          </w:tcPr>
          <w:p>
            <w:pPr>
              <w:spacing w:after="40" w:line="240" w:lineRule="auto"/>
              <w:jc w:val="center"/>
            </w:pPr>
            <w:r/>
            <w:r>
              <w:rPr>
                <w:rFonts w:ascii="Times New Roman" w:hAnsi="Times New Roman"/>
                <w:sz w:val="22"/>
              </w:rPr>
              <w:t>22</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6.3 Input and Output</w:t>
            </w:r>
          </w:p>
        </w:tc>
        <w:tc>
          <w:tcPr>
            <w:tcW w:type="dxa" w:w="1272"/>
          </w:tcPr>
          <w:p>
            <w:pPr>
              <w:spacing w:after="40" w:line="240" w:lineRule="auto"/>
              <w:jc w:val="center"/>
            </w:pPr>
            <w:r/>
            <w:r>
              <w:rPr>
                <w:rFonts w:ascii="Times New Roman" w:hAnsi="Times New Roman"/>
                <w:sz w:val="22"/>
              </w:rPr>
              <w:t>22</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6.4 Guards Against Overclaiming</w:t>
            </w:r>
          </w:p>
        </w:tc>
        <w:tc>
          <w:tcPr>
            <w:tcW w:type="dxa" w:w="1272"/>
          </w:tcPr>
          <w:p>
            <w:pPr>
              <w:spacing w:after="40" w:line="240" w:lineRule="auto"/>
              <w:jc w:val="center"/>
            </w:pPr>
            <w:r/>
            <w:r>
              <w:rPr>
                <w:rFonts w:ascii="Times New Roman" w:hAnsi="Times New Roman"/>
                <w:sz w:val="22"/>
              </w:rPr>
              <w:t>23</w:t>
            </w:r>
          </w:p>
        </w:tc>
      </w:tr>
      <w:tr>
        <w:trPr>
          <w:cantSplit/>
        </w:trPr>
        <w:tc>
          <w:tcPr>
            <w:tcW w:type="dxa" w:w="1091"/>
          </w:tcPr>
          <w:p>
            <w:pPr>
              <w:spacing w:after="40" w:line="240" w:lineRule="auto"/>
              <w:jc w:val="center"/>
            </w:pPr>
            <w:r/>
            <w:r>
              <w:rPr>
                <w:rFonts w:ascii="Times New Roman" w:hAnsi="Times New Roman"/>
                <w:sz w:val="22"/>
              </w:rPr>
              <w:t>7.</w:t>
            </w:r>
          </w:p>
        </w:tc>
        <w:tc>
          <w:tcPr>
            <w:tcW w:type="dxa" w:w="6544"/>
          </w:tcPr>
          <w:p>
            <w:pPr>
              <w:spacing w:after="40" w:line="240" w:lineRule="auto"/>
              <w:jc w:val="left"/>
            </w:pPr>
            <w:r/>
            <w:r>
              <w:rPr>
                <w:rFonts w:ascii="Times New Roman" w:hAnsi="Times New Roman"/>
                <w:sz w:val="22"/>
              </w:rPr>
              <w:t>RESULT AND DISCUSSION</w:t>
            </w:r>
          </w:p>
        </w:tc>
        <w:tc>
          <w:tcPr>
            <w:tcW w:type="dxa" w:w="1272"/>
          </w:tcPr>
          <w:p>
            <w:pPr>
              <w:spacing w:after="40" w:line="240" w:lineRule="auto"/>
              <w:jc w:val="center"/>
            </w:pPr>
            <w:r/>
            <w:r>
              <w:rPr>
                <w:rFonts w:ascii="Times New Roman" w:hAnsi="Times New Roman"/>
                <w:sz w:val="22"/>
              </w:rPr>
              <w:t>24</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7.1 RQ1: Forecast Skill</w:t>
            </w:r>
          </w:p>
        </w:tc>
        <w:tc>
          <w:tcPr>
            <w:tcW w:type="dxa" w:w="1272"/>
          </w:tcPr>
          <w:p>
            <w:pPr>
              <w:spacing w:after="40" w:line="240" w:lineRule="auto"/>
              <w:jc w:val="center"/>
            </w:pPr>
            <w:r/>
            <w:r>
              <w:rPr>
                <w:rFonts w:ascii="Times New Roman" w:hAnsi="Times New Roman"/>
                <w:sz w:val="22"/>
              </w:rPr>
              <w:t>24</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7.1.1 Return Space</w:t>
            </w:r>
          </w:p>
        </w:tc>
        <w:tc>
          <w:tcPr>
            <w:tcW w:type="dxa" w:w="1272"/>
          </w:tcPr>
          <w:p>
            <w:pPr>
              <w:spacing w:after="40" w:line="240" w:lineRule="auto"/>
              <w:jc w:val="center"/>
            </w:pPr>
            <w:r/>
            <w:r>
              <w:rPr>
                <w:rFonts w:ascii="Times New Roman" w:hAnsi="Times New Roman"/>
                <w:sz w:val="22"/>
              </w:rPr>
              <w:t>24</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7.1.2 Price Space</w:t>
            </w:r>
          </w:p>
        </w:tc>
        <w:tc>
          <w:tcPr>
            <w:tcW w:type="dxa" w:w="1272"/>
          </w:tcPr>
          <w:p>
            <w:pPr>
              <w:spacing w:after="40" w:line="240" w:lineRule="auto"/>
              <w:jc w:val="center"/>
            </w:pPr>
            <w:r/>
            <w:r>
              <w:rPr>
                <w:rFonts w:ascii="Times New Roman" w:hAnsi="Times New Roman"/>
                <w:sz w:val="22"/>
              </w:rPr>
              <w:t>25</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7.1.3 Economic View and Cost Analysis</w:t>
            </w:r>
          </w:p>
        </w:tc>
        <w:tc>
          <w:tcPr>
            <w:tcW w:type="dxa" w:w="1272"/>
          </w:tcPr>
          <w:p>
            <w:pPr>
              <w:spacing w:after="40" w:line="240" w:lineRule="auto"/>
              <w:jc w:val="center"/>
            </w:pPr>
            <w:r/>
            <w:r>
              <w:rPr>
                <w:rFonts w:ascii="Times New Roman" w:hAnsi="Times New Roman"/>
                <w:sz w:val="22"/>
              </w:rPr>
              <w:t>26</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7.1.4 Where the Little Skill There Is Actually Lives</w:t>
            </w:r>
          </w:p>
        </w:tc>
        <w:tc>
          <w:tcPr>
            <w:tcW w:type="dxa" w:w="1272"/>
          </w:tcPr>
          <w:p>
            <w:pPr>
              <w:spacing w:after="40" w:line="240" w:lineRule="auto"/>
              <w:jc w:val="center"/>
            </w:pPr>
            <w:r/>
            <w:r>
              <w:rPr>
                <w:rFonts w:ascii="Times New Roman" w:hAnsi="Times New Roman"/>
                <w:sz w:val="22"/>
              </w:rPr>
              <w:t>27</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7.2 RQ2: What Drives the Forecasts</w:t>
            </w:r>
          </w:p>
        </w:tc>
        <w:tc>
          <w:tcPr>
            <w:tcW w:type="dxa" w:w="1272"/>
          </w:tcPr>
          <w:p>
            <w:pPr>
              <w:spacing w:after="40" w:line="240" w:lineRule="auto"/>
              <w:jc w:val="center"/>
            </w:pPr>
            <w:r/>
            <w:r>
              <w:rPr>
                <w:rFonts w:ascii="Times New Roman" w:hAnsi="Times New Roman"/>
                <w:sz w:val="22"/>
              </w:rPr>
              <w:t>28</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7.3 RQ3: Faithfulness and Stability</w:t>
            </w:r>
          </w:p>
        </w:tc>
        <w:tc>
          <w:tcPr>
            <w:tcW w:type="dxa" w:w="1272"/>
          </w:tcPr>
          <w:p>
            <w:pPr>
              <w:spacing w:after="40" w:line="240" w:lineRule="auto"/>
              <w:jc w:val="center"/>
            </w:pPr>
            <w:r/>
            <w:r>
              <w:rPr>
                <w:rFonts w:ascii="Times New Roman" w:hAnsi="Times New Roman"/>
                <w:sz w:val="22"/>
              </w:rPr>
              <w:t>30</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7.4 RQ4: Regime and Sector Drift</w:t>
            </w:r>
          </w:p>
        </w:tc>
        <w:tc>
          <w:tcPr>
            <w:tcW w:type="dxa" w:w="1272"/>
          </w:tcPr>
          <w:p>
            <w:pPr>
              <w:spacing w:after="40" w:line="240" w:lineRule="auto"/>
              <w:jc w:val="center"/>
            </w:pPr>
            <w:r/>
            <w:r>
              <w:rPr>
                <w:rFonts w:ascii="Times New Roman" w:hAnsi="Times New Roman"/>
                <w:sz w:val="22"/>
              </w:rPr>
              <w:t>31</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7.5 RQ5: Sanity Against No-Signal Models</w:t>
            </w:r>
          </w:p>
        </w:tc>
        <w:tc>
          <w:tcPr>
            <w:tcW w:type="dxa" w:w="1272"/>
          </w:tcPr>
          <w:p>
            <w:pPr>
              <w:spacing w:after="40" w:line="240" w:lineRule="auto"/>
              <w:jc w:val="center"/>
            </w:pPr>
            <w:r/>
            <w:r>
              <w:rPr>
                <w:rFonts w:ascii="Times New Roman" w:hAnsi="Times New Roman"/>
                <w:sz w:val="22"/>
              </w:rPr>
              <w:t>32</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7.6 RQ6: SHAP Against LIME</w:t>
            </w:r>
          </w:p>
        </w:tc>
        <w:tc>
          <w:tcPr>
            <w:tcW w:type="dxa" w:w="1272"/>
          </w:tcPr>
          <w:p>
            <w:pPr>
              <w:spacing w:after="40" w:line="240" w:lineRule="auto"/>
              <w:jc w:val="center"/>
            </w:pPr>
            <w:r/>
            <w:r>
              <w:rPr>
                <w:rFonts w:ascii="Times New Roman" w:hAnsi="Times New Roman"/>
                <w:sz w:val="22"/>
              </w:rPr>
              <w:t>33</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7.7 Discussion</w:t>
            </w:r>
          </w:p>
        </w:tc>
        <w:tc>
          <w:tcPr>
            <w:tcW w:type="dxa" w:w="1272"/>
          </w:tcPr>
          <w:p>
            <w:pPr>
              <w:spacing w:after="40" w:line="240" w:lineRule="auto"/>
              <w:jc w:val="center"/>
            </w:pPr>
            <w:r/>
            <w:r>
              <w:rPr>
                <w:rFonts w:ascii="Times New Roman" w:hAnsi="Times New Roman"/>
                <w:sz w:val="22"/>
              </w:rPr>
              <w:t>35</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7.7.1 Score the Change, Not the Level</w:t>
            </w:r>
          </w:p>
        </w:tc>
        <w:tc>
          <w:tcPr>
            <w:tcW w:type="dxa" w:w="1272"/>
          </w:tcPr>
          <w:p>
            <w:pPr>
              <w:spacing w:after="40" w:line="240" w:lineRule="auto"/>
              <w:jc w:val="center"/>
            </w:pPr>
            <w:r/>
            <w:r>
              <w:rPr>
                <w:rFonts w:ascii="Times New Roman" w:hAnsi="Times New Roman"/>
                <w:sz w:val="22"/>
              </w:rPr>
              <w:t>35</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7.7.2 Faithful Does Not Mean the Market Insight Is Real</w:t>
            </w:r>
          </w:p>
        </w:tc>
        <w:tc>
          <w:tcPr>
            <w:tcW w:type="dxa" w:w="1272"/>
          </w:tcPr>
          <w:p>
            <w:pPr>
              <w:spacing w:after="40" w:line="240" w:lineRule="auto"/>
              <w:jc w:val="center"/>
            </w:pPr>
            <w:r/>
            <w:r>
              <w:rPr>
                <w:rFonts w:ascii="Times New Roman" w:hAnsi="Times New Roman"/>
                <w:sz w:val="22"/>
              </w:rPr>
              <w:t>35</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7.7.3 For Tree Models, Prefer SHAP to a Single LIME Run</w:t>
            </w:r>
          </w:p>
        </w:tc>
        <w:tc>
          <w:tcPr>
            <w:tcW w:type="dxa" w:w="1272"/>
          </w:tcPr>
          <w:p>
            <w:pPr>
              <w:spacing w:after="40" w:line="240" w:lineRule="auto"/>
              <w:jc w:val="center"/>
            </w:pPr>
            <w:r/>
            <w:r>
              <w:rPr>
                <w:rFonts w:ascii="Times New Roman" w:hAnsi="Times New Roman"/>
                <w:sz w:val="22"/>
              </w:rPr>
              <w:t>35</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7.7.4 Explanations Are Period and Sector Specific</w:t>
            </w:r>
          </w:p>
        </w:tc>
        <w:tc>
          <w:tcPr>
            <w:tcW w:type="dxa" w:w="1272"/>
          </w:tcPr>
          <w:p>
            <w:pPr>
              <w:spacing w:after="40" w:line="240" w:lineRule="auto"/>
              <w:jc w:val="center"/>
            </w:pPr>
            <w:r/>
            <w:r>
              <w:rPr>
                <w:rFonts w:ascii="Times New Roman" w:hAnsi="Times New Roman"/>
                <w:sz w:val="22"/>
              </w:rPr>
              <w:t>35</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7.8 Limitations</w:t>
            </w:r>
          </w:p>
        </w:tc>
        <w:tc>
          <w:tcPr>
            <w:tcW w:type="dxa" w:w="1272"/>
          </w:tcPr>
          <w:p>
            <w:pPr>
              <w:spacing w:after="40" w:line="240" w:lineRule="auto"/>
              <w:jc w:val="center"/>
            </w:pPr>
            <w:r/>
            <w:r>
              <w:rPr>
                <w:rFonts w:ascii="Times New Roman" w:hAnsi="Times New Roman"/>
                <w:sz w:val="22"/>
              </w:rPr>
              <w:t>36</w:t>
            </w:r>
          </w:p>
        </w:tc>
      </w:tr>
      <w:tr>
        <w:trPr>
          <w:cantSplit/>
        </w:trPr>
        <w:tc>
          <w:tcPr>
            <w:tcW w:type="dxa" w:w="1091"/>
          </w:tcPr>
          <w:p>
            <w:pPr>
              <w:spacing w:after="40" w:line="240" w:lineRule="auto"/>
              <w:jc w:val="center"/>
            </w:pPr>
            <w:r/>
            <w:r>
              <w:rPr>
                <w:rFonts w:ascii="Times New Roman" w:hAnsi="Times New Roman"/>
                <w:sz w:val="22"/>
              </w:rPr>
              <w:t>8.</w:t>
            </w:r>
          </w:p>
        </w:tc>
        <w:tc>
          <w:tcPr>
            <w:tcW w:type="dxa" w:w="6544"/>
          </w:tcPr>
          <w:p>
            <w:pPr>
              <w:spacing w:after="40" w:line="240" w:lineRule="auto"/>
              <w:jc w:val="left"/>
            </w:pPr>
            <w:r/>
            <w:r>
              <w:rPr>
                <w:rFonts w:ascii="Times New Roman" w:hAnsi="Times New Roman"/>
                <w:sz w:val="22"/>
              </w:rPr>
              <w:t>CONCLUSION</w:t>
            </w:r>
          </w:p>
        </w:tc>
        <w:tc>
          <w:tcPr>
            <w:tcW w:type="dxa" w:w="1272"/>
          </w:tcPr>
          <w:p>
            <w:pPr>
              <w:spacing w:after="40" w:line="240" w:lineRule="auto"/>
              <w:jc w:val="center"/>
            </w:pPr>
            <w:r/>
            <w:r>
              <w:rPr>
                <w:rFonts w:ascii="Times New Roman" w:hAnsi="Times New Roman"/>
                <w:sz w:val="22"/>
              </w:rPr>
              <w:t>37</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8.1 Conclusion</w:t>
            </w:r>
          </w:p>
        </w:tc>
        <w:tc>
          <w:tcPr>
            <w:tcW w:type="dxa" w:w="1272"/>
          </w:tcPr>
          <w:p>
            <w:pPr>
              <w:spacing w:after="40" w:line="240" w:lineRule="auto"/>
              <w:jc w:val="center"/>
            </w:pPr>
            <w:r/>
            <w:r>
              <w:rPr>
                <w:rFonts w:ascii="Times New Roman" w:hAnsi="Times New Roman"/>
                <w:sz w:val="22"/>
              </w:rPr>
              <w:t>37</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8.1.1 On Accuracy</w:t>
            </w:r>
          </w:p>
        </w:tc>
        <w:tc>
          <w:tcPr>
            <w:tcW w:type="dxa" w:w="1272"/>
          </w:tcPr>
          <w:p>
            <w:pPr>
              <w:spacing w:after="40" w:line="240" w:lineRule="auto"/>
              <w:jc w:val="center"/>
            </w:pPr>
            <w:r/>
            <w:r>
              <w:rPr>
                <w:rFonts w:ascii="Times New Roman" w:hAnsi="Times New Roman"/>
                <w:sz w:val="22"/>
              </w:rPr>
              <w:t>37</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8.1.2 On the Explanations</w:t>
            </w:r>
          </w:p>
        </w:tc>
        <w:tc>
          <w:tcPr>
            <w:tcW w:type="dxa" w:w="1272"/>
          </w:tcPr>
          <w:p>
            <w:pPr>
              <w:spacing w:after="40" w:line="240" w:lineRule="auto"/>
              <w:jc w:val="center"/>
            </w:pPr>
            <w:r/>
            <w:r>
              <w:rPr>
                <w:rFonts w:ascii="Times New Roman" w:hAnsi="Times New Roman"/>
                <w:sz w:val="22"/>
              </w:rPr>
              <w:t>37</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8.1.3 On the Audit Itself</w:t>
            </w:r>
          </w:p>
        </w:tc>
        <w:tc>
          <w:tcPr>
            <w:tcW w:type="dxa" w:w="1272"/>
          </w:tcPr>
          <w:p>
            <w:pPr>
              <w:spacing w:after="40" w:line="240" w:lineRule="auto"/>
              <w:jc w:val="center"/>
            </w:pPr>
            <w:r/>
            <w:r>
              <w:rPr>
                <w:rFonts w:ascii="Times New Roman" w:hAnsi="Times New Roman"/>
                <w:sz w:val="22"/>
              </w:rPr>
              <w:t>37</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8.2 Recommendations for Stock-Forecasting Studies</w:t>
            </w:r>
          </w:p>
        </w:tc>
        <w:tc>
          <w:tcPr>
            <w:tcW w:type="dxa" w:w="1272"/>
          </w:tcPr>
          <w:p>
            <w:pPr>
              <w:spacing w:after="40" w:line="240" w:lineRule="auto"/>
              <w:jc w:val="center"/>
            </w:pPr>
            <w:r/>
            <w:r>
              <w:rPr>
                <w:rFonts w:ascii="Times New Roman" w:hAnsi="Times New Roman"/>
                <w:sz w:val="22"/>
              </w:rPr>
              <w:t>38</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8.3 Future Work</w:t>
            </w:r>
          </w:p>
        </w:tc>
        <w:tc>
          <w:tcPr>
            <w:tcW w:type="dxa" w:w="1272"/>
          </w:tcPr>
          <w:p>
            <w:pPr>
              <w:spacing w:after="40" w:line="240" w:lineRule="auto"/>
              <w:jc w:val="center"/>
            </w:pPr>
            <w:r/>
            <w:r>
              <w:rPr>
                <w:rFonts w:ascii="Times New Roman" w:hAnsi="Times New Roman"/>
                <w:sz w:val="22"/>
              </w:rPr>
              <w:t>38</w:t>
            </w:r>
          </w:p>
        </w:tc>
      </w:tr>
      <w:tr>
        <w:trPr>
          <w:cantSplit/>
        </w:trPr>
        <w:tc>
          <w:tcPr>
            <w:tcW w:type="dxa" w:w="1091"/>
          </w:tcPr>
          <w:p>
            <w:pPr>
              <w:spacing w:after="40" w:line="240" w:lineRule="auto"/>
              <w:jc w:val="center"/>
            </w:pPr>
            <w:r/>
            <w:r>
              <w:rPr>
                <w:rFonts w:ascii="Times New Roman" w:hAnsi="Times New Roman"/>
                <w:sz w:val="22"/>
              </w:rPr>
              <w:t>9.</w:t>
            </w:r>
          </w:p>
        </w:tc>
        <w:tc>
          <w:tcPr>
            <w:tcW w:type="dxa" w:w="6544"/>
          </w:tcPr>
          <w:p>
            <w:pPr>
              <w:spacing w:after="40" w:line="240" w:lineRule="auto"/>
              <w:jc w:val="left"/>
            </w:pPr>
            <w:r/>
            <w:r>
              <w:rPr>
                <w:rFonts w:ascii="Times New Roman" w:hAnsi="Times New Roman"/>
                <w:sz w:val="22"/>
              </w:rPr>
              <w:t>REFERENCES</w:t>
            </w:r>
          </w:p>
        </w:tc>
        <w:tc>
          <w:tcPr>
            <w:tcW w:type="dxa" w:w="1272"/>
          </w:tcPr>
          <w:p>
            <w:pPr>
              <w:spacing w:after="40" w:line="240" w:lineRule="auto"/>
              <w:jc w:val="center"/>
            </w:pPr>
            <w:r/>
            <w:r>
              <w:rPr>
                <w:rFonts w:ascii="Times New Roman" w:hAnsi="Times New Roman"/>
                <w:sz w:val="22"/>
              </w:rPr>
              <w:t>39</w:t>
            </w:r>
          </w:p>
        </w:tc>
      </w:tr>
      <w:tr>
        <w:trPr>
          <w:cantSplit/>
        </w:trPr>
        <w:tc>
          <w:tcPr>
            <w:tcW w:type="dxa" w:w="1091"/>
          </w:tcPr>
          <w:p>
            <w:pPr>
              <w:spacing w:after="40" w:line="240" w:lineRule="auto"/>
              <w:jc w:val="center"/>
            </w:pPr>
            <w:r/>
            <w:r>
              <w:rPr>
                <w:rFonts w:ascii="Times New Roman" w:hAnsi="Times New Roman"/>
                <w:sz w:val="22"/>
              </w:rPr>
            </w:r>
          </w:p>
        </w:tc>
        <w:tc>
          <w:tcPr>
            <w:tcW w:type="dxa" w:w="6544"/>
          </w:tcPr>
          <w:p>
            <w:pPr>
              <w:spacing w:after="40" w:line="240" w:lineRule="auto"/>
              <w:jc w:val="left"/>
            </w:pPr>
            <w:r/>
            <w:r>
              <w:rPr>
                <w:rFonts w:ascii="Times New Roman" w:hAnsi="Times New Roman"/>
                <w:sz w:val="22"/>
              </w:rPr>
              <w:t>APPENDIX A - SAMPLE CODE</w:t>
            </w:r>
          </w:p>
        </w:tc>
        <w:tc>
          <w:tcPr>
            <w:tcW w:type="dxa" w:w="1272"/>
          </w:tcPr>
          <w:p>
            <w:pPr>
              <w:spacing w:after="40" w:line="240" w:lineRule="auto"/>
              <w:jc w:val="center"/>
            </w:pPr>
            <w:r/>
            <w:r>
              <w:rPr>
                <w:rFonts w:ascii="Times New Roman" w:hAnsi="Times New Roman"/>
                <w:sz w:val="22"/>
              </w:rPr>
              <w:t>41</w:t>
            </w:r>
          </w:p>
        </w:tc>
      </w:tr>
    </w:tbl>
    <w:p>
      <w:pPr>
        <w:keepNext w:val="0"/>
        <w:spacing w:line="276" w:lineRule="auto" w:after="80"/>
        <w:jc w:val="both"/>
      </w:pPr>
    </w:p>
    <w:p>
      <w:r>
        <w:br w:type="page"/>
      </w:r>
    </w:p>
    <w:p>
      <w:pPr>
        <w:keepNext w:val="0"/>
        <w:spacing w:line="360" w:lineRule="auto" w:after="320"/>
        <w:jc w:val="center"/>
      </w:pPr>
      <w:r>
        <w:rPr>
          <w:rFonts w:ascii="Times New Roman" w:hAnsi="Times New Roman"/>
          <w:b/>
          <w:i w:val="0"/>
          <w:sz w:val="32"/>
        </w:rPr>
        <w:t>LIST OF FIGURES</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1246"/>
        <w:gridCol w:w="6412"/>
        <w:gridCol w:w="1246"/>
      </w:tblGrid>
      <w:tr>
        <w:trPr>
          <w:cantSplit/>
          <w:tblHeader/>
        </w:trPr>
        <w:tc>
          <w:tcPr>
            <w:tcW w:type="dxa" w:w="1247"/>
            <w:shd w:val="clear" w:color="auto" w:fill="D9E2F3"/>
          </w:tcPr>
          <w:p>
            <w:pPr>
              <w:spacing w:after="40" w:line="240" w:lineRule="auto"/>
              <w:jc w:val="center"/>
            </w:pPr>
            <w:r/>
            <w:r>
              <w:rPr>
                <w:rFonts w:ascii="Times New Roman" w:hAnsi="Times New Roman"/>
                <w:b/>
                <w:sz w:val="22"/>
              </w:rPr>
              <w:t>Figure No.</w:t>
            </w:r>
          </w:p>
        </w:tc>
        <w:tc>
          <w:tcPr>
            <w:tcW w:type="dxa" w:w="6413"/>
            <w:shd w:val="clear" w:color="auto" w:fill="D9E2F3"/>
          </w:tcPr>
          <w:p>
            <w:pPr>
              <w:spacing w:after="40" w:line="240" w:lineRule="auto"/>
              <w:jc w:val="center"/>
            </w:pPr>
            <w:r/>
            <w:r>
              <w:rPr>
                <w:rFonts w:ascii="Times New Roman" w:hAnsi="Times New Roman"/>
                <w:b/>
                <w:sz w:val="22"/>
              </w:rPr>
              <w:t>Title</w:t>
            </w:r>
          </w:p>
        </w:tc>
        <w:tc>
          <w:tcPr>
            <w:tcW w:type="dxa" w:w="1247"/>
            <w:shd w:val="clear" w:color="auto" w:fill="D9E2F3"/>
          </w:tcPr>
          <w:p>
            <w:pPr>
              <w:spacing w:after="40" w:line="240" w:lineRule="auto"/>
              <w:jc w:val="center"/>
            </w:pPr>
            <w:r/>
            <w:r>
              <w:rPr>
                <w:rFonts w:ascii="Times New Roman" w:hAnsi="Times New Roman"/>
                <w:b/>
                <w:sz w:val="22"/>
              </w:rPr>
              <w:t>Page No.</w:t>
            </w:r>
          </w:p>
        </w:tc>
      </w:tr>
      <w:tr>
        <w:trPr>
          <w:cantSplit/>
        </w:trPr>
        <w:tc>
          <w:tcPr>
            <w:tcW w:type="dxa" w:w="1247"/>
          </w:tcPr>
          <w:p>
            <w:pPr>
              <w:spacing w:after="40" w:line="240" w:lineRule="auto"/>
              <w:jc w:val="center"/>
            </w:pPr>
            <w:r/>
            <w:r>
              <w:rPr>
                <w:rFonts w:ascii="Times New Roman" w:hAnsi="Times New Roman"/>
                <w:sz w:val="22"/>
              </w:rPr>
              <w:t>4.1</w:t>
            </w:r>
          </w:p>
        </w:tc>
        <w:tc>
          <w:tcPr>
            <w:tcW w:type="dxa" w:w="6413"/>
          </w:tcPr>
          <w:p>
            <w:pPr>
              <w:spacing w:after="40" w:line="240" w:lineRule="auto"/>
              <w:jc w:val="left"/>
            </w:pPr>
            <w:r/>
            <w:r>
              <w:rPr>
                <w:rFonts w:ascii="Times New Roman" w:hAnsi="Times New Roman"/>
                <w:sz w:val="22"/>
              </w:rPr>
              <w:t>System architecture. The six stages, their scripts and the artifacts they write</w:t>
            </w:r>
          </w:p>
        </w:tc>
        <w:tc>
          <w:tcPr>
            <w:tcW w:type="dxa" w:w="1247"/>
          </w:tcPr>
          <w:p>
            <w:pPr>
              <w:spacing w:after="40" w:line="240" w:lineRule="auto"/>
              <w:jc w:val="center"/>
            </w:pPr>
            <w:r/>
            <w:r>
              <w:rPr>
                <w:rFonts w:ascii="Times New Roman" w:hAnsi="Times New Roman"/>
                <w:sz w:val="22"/>
              </w:rPr>
              <w:t>10</w:t>
            </w:r>
          </w:p>
        </w:tc>
      </w:tr>
      <w:tr>
        <w:trPr>
          <w:cantSplit/>
        </w:trPr>
        <w:tc>
          <w:tcPr>
            <w:tcW w:type="dxa" w:w="1247"/>
          </w:tcPr>
          <w:p>
            <w:pPr>
              <w:spacing w:after="40" w:line="240" w:lineRule="auto"/>
              <w:jc w:val="center"/>
            </w:pPr>
            <w:r/>
            <w:r>
              <w:rPr>
                <w:rFonts w:ascii="Times New Roman" w:hAnsi="Times New Roman"/>
                <w:sz w:val="22"/>
              </w:rPr>
              <w:t>4.2</w:t>
            </w:r>
          </w:p>
        </w:tc>
        <w:tc>
          <w:tcPr>
            <w:tcW w:type="dxa" w:w="6413"/>
          </w:tcPr>
          <w:p>
            <w:pPr>
              <w:spacing w:after="40" w:line="240" w:lineRule="auto"/>
              <w:jc w:val="left"/>
            </w:pPr>
            <w:r/>
            <w:r>
              <w:rPr>
                <w:rFonts w:ascii="Times New Roman" w:hAnsi="Times New Roman"/>
                <w:sz w:val="22"/>
              </w:rPr>
              <w:t>Level 0 context data-flow diagram</w:t>
            </w:r>
          </w:p>
        </w:tc>
        <w:tc>
          <w:tcPr>
            <w:tcW w:type="dxa" w:w="1247"/>
          </w:tcPr>
          <w:p>
            <w:pPr>
              <w:spacing w:after="40" w:line="240" w:lineRule="auto"/>
              <w:jc w:val="center"/>
            </w:pPr>
            <w:r/>
            <w:r>
              <w:rPr>
                <w:rFonts w:ascii="Times New Roman" w:hAnsi="Times New Roman"/>
                <w:sz w:val="22"/>
              </w:rPr>
              <w:t>12</w:t>
            </w:r>
          </w:p>
        </w:tc>
      </w:tr>
      <w:tr>
        <w:trPr>
          <w:cantSplit/>
        </w:trPr>
        <w:tc>
          <w:tcPr>
            <w:tcW w:type="dxa" w:w="1247"/>
          </w:tcPr>
          <w:p>
            <w:pPr>
              <w:spacing w:after="40" w:line="240" w:lineRule="auto"/>
              <w:jc w:val="center"/>
            </w:pPr>
            <w:r/>
            <w:r>
              <w:rPr>
                <w:rFonts w:ascii="Times New Roman" w:hAnsi="Times New Roman"/>
                <w:sz w:val="22"/>
              </w:rPr>
              <w:t>4.3</w:t>
            </w:r>
          </w:p>
        </w:tc>
        <w:tc>
          <w:tcPr>
            <w:tcW w:type="dxa" w:w="6413"/>
          </w:tcPr>
          <w:p>
            <w:pPr>
              <w:spacing w:after="40" w:line="240" w:lineRule="auto"/>
              <w:jc w:val="left"/>
            </w:pPr>
            <w:r/>
            <w:r>
              <w:rPr>
                <w:rFonts w:ascii="Times New Roman" w:hAnsi="Times New Roman"/>
                <w:sz w:val="22"/>
              </w:rPr>
              <w:t>Level 1 data-flow diagram</w:t>
            </w:r>
          </w:p>
        </w:tc>
        <w:tc>
          <w:tcPr>
            <w:tcW w:type="dxa" w:w="1247"/>
          </w:tcPr>
          <w:p>
            <w:pPr>
              <w:spacing w:after="40" w:line="240" w:lineRule="auto"/>
              <w:jc w:val="center"/>
            </w:pPr>
            <w:r/>
            <w:r>
              <w:rPr>
                <w:rFonts w:ascii="Times New Roman" w:hAnsi="Times New Roman"/>
                <w:sz w:val="22"/>
              </w:rPr>
              <w:t>12</w:t>
            </w:r>
          </w:p>
        </w:tc>
      </w:tr>
      <w:tr>
        <w:trPr>
          <w:cantSplit/>
        </w:trPr>
        <w:tc>
          <w:tcPr>
            <w:tcW w:type="dxa" w:w="1247"/>
          </w:tcPr>
          <w:p>
            <w:pPr>
              <w:spacing w:after="40" w:line="240" w:lineRule="auto"/>
              <w:jc w:val="center"/>
            </w:pPr>
            <w:r/>
            <w:r>
              <w:rPr>
                <w:rFonts w:ascii="Times New Roman" w:hAnsi="Times New Roman"/>
                <w:sz w:val="22"/>
              </w:rPr>
              <w:t>4.4</w:t>
            </w:r>
          </w:p>
        </w:tc>
        <w:tc>
          <w:tcPr>
            <w:tcW w:type="dxa" w:w="6413"/>
          </w:tcPr>
          <w:p>
            <w:pPr>
              <w:spacing w:after="40" w:line="240" w:lineRule="auto"/>
              <w:jc w:val="left"/>
            </w:pPr>
            <w:r/>
            <w:r>
              <w:rPr>
                <w:rFonts w:ascii="Times New Roman" w:hAnsi="Times New Roman"/>
                <w:sz w:val="22"/>
              </w:rPr>
              <w:t>Use case diagram</w:t>
            </w:r>
          </w:p>
        </w:tc>
        <w:tc>
          <w:tcPr>
            <w:tcW w:type="dxa" w:w="1247"/>
          </w:tcPr>
          <w:p>
            <w:pPr>
              <w:spacing w:after="40" w:line="240" w:lineRule="auto"/>
              <w:jc w:val="center"/>
            </w:pPr>
            <w:r/>
            <w:r>
              <w:rPr>
                <w:rFonts w:ascii="Times New Roman" w:hAnsi="Times New Roman"/>
                <w:sz w:val="22"/>
              </w:rPr>
              <w:t>13</w:t>
            </w:r>
          </w:p>
        </w:tc>
      </w:tr>
      <w:tr>
        <w:trPr>
          <w:cantSplit/>
        </w:trPr>
        <w:tc>
          <w:tcPr>
            <w:tcW w:type="dxa" w:w="1247"/>
          </w:tcPr>
          <w:p>
            <w:pPr>
              <w:spacing w:after="40" w:line="240" w:lineRule="auto"/>
              <w:jc w:val="center"/>
            </w:pPr>
            <w:r/>
            <w:r>
              <w:rPr>
                <w:rFonts w:ascii="Times New Roman" w:hAnsi="Times New Roman"/>
                <w:sz w:val="22"/>
              </w:rPr>
              <w:t>4.5</w:t>
            </w:r>
          </w:p>
        </w:tc>
        <w:tc>
          <w:tcPr>
            <w:tcW w:type="dxa" w:w="6413"/>
          </w:tcPr>
          <w:p>
            <w:pPr>
              <w:spacing w:after="40" w:line="240" w:lineRule="auto"/>
              <w:jc w:val="left"/>
            </w:pPr>
            <w:r/>
            <w:r>
              <w:rPr>
                <w:rFonts w:ascii="Times New Roman" w:hAnsi="Times New Roman"/>
                <w:sz w:val="22"/>
              </w:rPr>
              <w:t>Module structure, showing public functions and import dependencies</w:t>
            </w:r>
          </w:p>
        </w:tc>
        <w:tc>
          <w:tcPr>
            <w:tcW w:type="dxa" w:w="1247"/>
          </w:tcPr>
          <w:p>
            <w:pPr>
              <w:spacing w:after="40" w:line="240" w:lineRule="auto"/>
              <w:jc w:val="center"/>
            </w:pPr>
            <w:r/>
            <w:r>
              <w:rPr>
                <w:rFonts w:ascii="Times New Roman" w:hAnsi="Times New Roman"/>
                <w:sz w:val="22"/>
              </w:rPr>
              <w:t>14</w:t>
            </w:r>
          </w:p>
        </w:tc>
      </w:tr>
      <w:tr>
        <w:trPr>
          <w:cantSplit/>
        </w:trPr>
        <w:tc>
          <w:tcPr>
            <w:tcW w:type="dxa" w:w="1247"/>
          </w:tcPr>
          <w:p>
            <w:pPr>
              <w:spacing w:after="40" w:line="240" w:lineRule="auto"/>
              <w:jc w:val="center"/>
            </w:pPr>
            <w:r/>
            <w:r>
              <w:rPr>
                <w:rFonts w:ascii="Times New Roman" w:hAnsi="Times New Roman"/>
                <w:sz w:val="22"/>
              </w:rPr>
              <w:t>4.6</w:t>
            </w:r>
          </w:p>
        </w:tc>
        <w:tc>
          <w:tcPr>
            <w:tcW w:type="dxa" w:w="6413"/>
          </w:tcPr>
          <w:p>
            <w:pPr>
              <w:spacing w:after="40" w:line="240" w:lineRule="auto"/>
              <w:jc w:val="left"/>
            </w:pPr>
            <w:r/>
            <w:r>
              <w:rPr>
                <w:rFonts w:ascii="Times New Roman" w:hAnsi="Times New Roman"/>
                <w:sz w:val="22"/>
              </w:rPr>
              <w:t>Sequence diagram for a single request to the explanation endpoint</w:t>
            </w:r>
          </w:p>
        </w:tc>
        <w:tc>
          <w:tcPr>
            <w:tcW w:type="dxa" w:w="1247"/>
          </w:tcPr>
          <w:p>
            <w:pPr>
              <w:spacing w:after="40" w:line="240" w:lineRule="auto"/>
              <w:jc w:val="center"/>
            </w:pPr>
            <w:r/>
            <w:r>
              <w:rPr>
                <w:rFonts w:ascii="Times New Roman" w:hAnsi="Times New Roman"/>
                <w:sz w:val="22"/>
              </w:rPr>
              <w:t>15</w:t>
            </w:r>
          </w:p>
        </w:tc>
      </w:tr>
      <w:tr>
        <w:trPr>
          <w:cantSplit/>
        </w:trPr>
        <w:tc>
          <w:tcPr>
            <w:tcW w:type="dxa" w:w="1247"/>
          </w:tcPr>
          <w:p>
            <w:pPr>
              <w:spacing w:after="40" w:line="240" w:lineRule="auto"/>
              <w:jc w:val="center"/>
            </w:pPr>
            <w:r/>
            <w:r>
              <w:rPr>
                <w:rFonts w:ascii="Times New Roman" w:hAnsi="Times New Roman"/>
                <w:sz w:val="22"/>
              </w:rPr>
              <w:t>7.1</w:t>
            </w:r>
          </w:p>
        </w:tc>
        <w:tc>
          <w:tcPr>
            <w:tcW w:type="dxa" w:w="6413"/>
          </w:tcPr>
          <w:p>
            <w:pPr>
              <w:spacing w:after="40" w:line="240" w:lineRule="auto"/>
              <w:jc w:val="left"/>
            </w:pPr>
            <w:r/>
            <w:r>
              <w:rPr>
                <w:rFonts w:ascii="Times New Roman" w:hAnsi="Times New Roman"/>
                <w:sz w:val="22"/>
              </w:rPr>
              <w:t>Return-space skill: out-of-sample R-squared on the next-day return and directional accuracy, by model</w:t>
            </w:r>
          </w:p>
        </w:tc>
        <w:tc>
          <w:tcPr>
            <w:tcW w:type="dxa" w:w="1247"/>
          </w:tcPr>
          <w:p>
            <w:pPr>
              <w:spacing w:after="40" w:line="240" w:lineRule="auto"/>
              <w:jc w:val="center"/>
            </w:pPr>
            <w:r/>
            <w:r>
              <w:rPr>
                <w:rFonts w:ascii="Times New Roman" w:hAnsi="Times New Roman"/>
                <w:sz w:val="22"/>
              </w:rPr>
              <w:t>25</w:t>
            </w:r>
          </w:p>
        </w:tc>
      </w:tr>
      <w:tr>
        <w:trPr>
          <w:cantSplit/>
        </w:trPr>
        <w:tc>
          <w:tcPr>
            <w:tcW w:type="dxa" w:w="1247"/>
          </w:tcPr>
          <w:p>
            <w:pPr>
              <w:spacing w:after="40" w:line="240" w:lineRule="auto"/>
              <w:jc w:val="center"/>
            </w:pPr>
            <w:r/>
            <w:r>
              <w:rPr>
                <w:rFonts w:ascii="Times New Roman" w:hAnsi="Times New Roman"/>
                <w:sz w:val="22"/>
              </w:rPr>
              <w:t>7.2</w:t>
            </w:r>
          </w:p>
        </w:tc>
        <w:tc>
          <w:tcPr>
            <w:tcW w:type="dxa" w:w="6413"/>
          </w:tcPr>
          <w:p>
            <w:pPr>
              <w:spacing w:after="40" w:line="240" w:lineRule="auto"/>
              <w:jc w:val="left"/>
            </w:pPr>
            <w:r/>
            <w:r>
              <w:rPr>
                <w:rFonts w:ascii="Times New Roman" w:hAnsi="Times New Roman"/>
                <w:sz w:val="22"/>
              </w:rPr>
              <w:t>The same forecasts scored on the price level and on the return, and how narrowly the forecasts move</w:t>
            </w:r>
          </w:p>
        </w:tc>
        <w:tc>
          <w:tcPr>
            <w:tcW w:type="dxa" w:w="1247"/>
          </w:tcPr>
          <w:p>
            <w:pPr>
              <w:spacing w:after="40" w:line="240" w:lineRule="auto"/>
              <w:jc w:val="center"/>
            </w:pPr>
            <w:r/>
            <w:r>
              <w:rPr>
                <w:rFonts w:ascii="Times New Roman" w:hAnsi="Times New Roman"/>
                <w:sz w:val="22"/>
              </w:rPr>
              <w:t>26</w:t>
            </w:r>
          </w:p>
        </w:tc>
      </w:tr>
      <w:tr>
        <w:trPr>
          <w:cantSplit/>
        </w:trPr>
        <w:tc>
          <w:tcPr>
            <w:tcW w:type="dxa" w:w="1247"/>
          </w:tcPr>
          <w:p>
            <w:pPr>
              <w:spacing w:after="40" w:line="240" w:lineRule="auto"/>
              <w:jc w:val="center"/>
            </w:pPr>
            <w:r/>
            <w:r>
              <w:rPr>
                <w:rFonts w:ascii="Times New Roman" w:hAnsi="Times New Roman"/>
                <w:sz w:val="22"/>
              </w:rPr>
              <w:t>7.3</w:t>
            </w:r>
          </w:p>
        </w:tc>
        <w:tc>
          <w:tcPr>
            <w:tcW w:type="dxa" w:w="6413"/>
          </w:tcPr>
          <w:p>
            <w:pPr>
              <w:spacing w:after="40" w:line="240" w:lineRule="auto"/>
              <w:jc w:val="left"/>
            </w:pPr>
            <w:r/>
            <w:r>
              <w:rPr>
                <w:rFonts w:ascii="Times New Roman" w:hAnsi="Times New Roman"/>
                <w:sz w:val="22"/>
              </w:rPr>
              <w:t>Next-day price error and the share of forecasts within two per cent, by model</w:t>
            </w:r>
          </w:p>
        </w:tc>
        <w:tc>
          <w:tcPr>
            <w:tcW w:type="dxa" w:w="1247"/>
          </w:tcPr>
          <w:p>
            <w:pPr>
              <w:spacing w:after="40" w:line="240" w:lineRule="auto"/>
              <w:jc w:val="center"/>
            </w:pPr>
            <w:r/>
            <w:r>
              <w:rPr>
                <w:rFonts w:ascii="Times New Roman" w:hAnsi="Times New Roman"/>
                <w:sz w:val="22"/>
              </w:rPr>
              <w:t>26</w:t>
            </w:r>
          </w:p>
        </w:tc>
      </w:tr>
      <w:tr>
        <w:trPr>
          <w:cantSplit/>
        </w:trPr>
        <w:tc>
          <w:tcPr>
            <w:tcW w:type="dxa" w:w="1247"/>
          </w:tcPr>
          <w:p>
            <w:pPr>
              <w:spacing w:after="40" w:line="240" w:lineRule="auto"/>
              <w:jc w:val="center"/>
            </w:pPr>
            <w:r/>
            <w:r>
              <w:rPr>
                <w:rFonts w:ascii="Times New Roman" w:hAnsi="Times New Roman"/>
                <w:sz w:val="22"/>
              </w:rPr>
              <w:t>7.4</w:t>
            </w:r>
          </w:p>
        </w:tc>
        <w:tc>
          <w:tcPr>
            <w:tcW w:type="dxa" w:w="6413"/>
          </w:tcPr>
          <w:p>
            <w:pPr>
              <w:spacing w:after="40" w:line="240" w:lineRule="auto"/>
              <w:jc w:val="left"/>
            </w:pPr>
            <w:r/>
            <w:r>
              <w:rPr>
                <w:rFonts w:ascii="Times New Roman" w:hAnsi="Times New Roman"/>
                <w:sz w:val="22"/>
              </w:rPr>
              <w:t>AAPL one-day-ahead forecasts against actual closing prices</w:t>
            </w:r>
          </w:p>
        </w:tc>
        <w:tc>
          <w:tcPr>
            <w:tcW w:type="dxa" w:w="1247"/>
          </w:tcPr>
          <w:p>
            <w:pPr>
              <w:spacing w:after="40" w:line="240" w:lineRule="auto"/>
              <w:jc w:val="center"/>
            </w:pPr>
            <w:r/>
            <w:r>
              <w:rPr>
                <w:rFonts w:ascii="Times New Roman" w:hAnsi="Times New Roman"/>
                <w:sz w:val="22"/>
              </w:rPr>
              <w:t>26</w:t>
            </w:r>
          </w:p>
        </w:tc>
      </w:tr>
      <w:tr>
        <w:trPr>
          <w:cantSplit/>
        </w:trPr>
        <w:tc>
          <w:tcPr>
            <w:tcW w:type="dxa" w:w="1247"/>
          </w:tcPr>
          <w:p>
            <w:pPr>
              <w:spacing w:after="40" w:line="240" w:lineRule="auto"/>
              <w:jc w:val="center"/>
            </w:pPr>
            <w:r/>
            <w:r>
              <w:rPr>
                <w:rFonts w:ascii="Times New Roman" w:hAnsi="Times New Roman"/>
                <w:sz w:val="22"/>
              </w:rPr>
              <w:t>7.5</w:t>
            </w:r>
          </w:p>
        </w:tc>
        <w:tc>
          <w:tcPr>
            <w:tcW w:type="dxa" w:w="6413"/>
          </w:tcPr>
          <w:p>
            <w:pPr>
              <w:spacing w:after="40" w:line="240" w:lineRule="auto"/>
              <w:jc w:val="left"/>
            </w:pPr>
            <w:r/>
            <w:r>
              <w:rPr>
                <w:rFonts w:ascii="Times New Roman" w:hAnsi="Times New Roman"/>
                <w:sz w:val="22"/>
              </w:rPr>
              <w:t>Actual next-day return of each decile of predicted return, with the long-short spread gross and net of cost</w:t>
            </w:r>
          </w:p>
        </w:tc>
        <w:tc>
          <w:tcPr>
            <w:tcW w:type="dxa" w:w="1247"/>
          </w:tcPr>
          <w:p>
            <w:pPr>
              <w:spacing w:after="40" w:line="240" w:lineRule="auto"/>
              <w:jc w:val="center"/>
            </w:pPr>
            <w:r/>
            <w:r>
              <w:rPr>
                <w:rFonts w:ascii="Times New Roman" w:hAnsi="Times New Roman"/>
                <w:sz w:val="22"/>
              </w:rPr>
              <w:t>27</w:t>
            </w:r>
          </w:p>
        </w:tc>
      </w:tr>
      <w:tr>
        <w:trPr>
          <w:cantSplit/>
        </w:trPr>
        <w:tc>
          <w:tcPr>
            <w:tcW w:type="dxa" w:w="1247"/>
          </w:tcPr>
          <w:p>
            <w:pPr>
              <w:spacing w:after="40" w:line="240" w:lineRule="auto"/>
              <w:jc w:val="center"/>
            </w:pPr>
            <w:r/>
            <w:r>
              <w:rPr>
                <w:rFonts w:ascii="Times New Roman" w:hAnsi="Times New Roman"/>
                <w:sz w:val="22"/>
              </w:rPr>
              <w:t>7.6</w:t>
            </w:r>
          </w:p>
        </w:tc>
        <w:tc>
          <w:tcPr>
            <w:tcW w:type="dxa" w:w="6413"/>
          </w:tcPr>
          <w:p>
            <w:pPr>
              <w:spacing w:after="40" w:line="240" w:lineRule="auto"/>
              <w:jc w:val="left"/>
            </w:pPr>
            <w:r/>
            <w:r>
              <w:rPr>
                <w:rFonts w:ascii="Times New Roman" w:hAnsi="Times New Roman"/>
                <w:sz w:val="22"/>
              </w:rPr>
              <w:t>Top 15 features by mean absolute SHAP</w:t>
            </w:r>
          </w:p>
        </w:tc>
        <w:tc>
          <w:tcPr>
            <w:tcW w:type="dxa" w:w="1247"/>
          </w:tcPr>
          <w:p>
            <w:pPr>
              <w:spacing w:after="40" w:line="240" w:lineRule="auto"/>
              <w:jc w:val="center"/>
            </w:pPr>
            <w:r/>
            <w:r>
              <w:rPr>
                <w:rFonts w:ascii="Times New Roman" w:hAnsi="Times New Roman"/>
                <w:sz w:val="22"/>
              </w:rPr>
              <w:t>29</w:t>
            </w:r>
          </w:p>
        </w:tc>
      </w:tr>
      <w:tr>
        <w:trPr>
          <w:cantSplit/>
        </w:trPr>
        <w:tc>
          <w:tcPr>
            <w:tcW w:type="dxa" w:w="1247"/>
          </w:tcPr>
          <w:p>
            <w:pPr>
              <w:spacing w:after="40" w:line="240" w:lineRule="auto"/>
              <w:jc w:val="center"/>
            </w:pPr>
            <w:r/>
            <w:r>
              <w:rPr>
                <w:rFonts w:ascii="Times New Roman" w:hAnsi="Times New Roman"/>
                <w:sz w:val="22"/>
              </w:rPr>
              <w:t>7.7</w:t>
            </w:r>
          </w:p>
        </w:tc>
        <w:tc>
          <w:tcPr>
            <w:tcW w:type="dxa" w:w="6413"/>
          </w:tcPr>
          <w:p>
            <w:pPr>
              <w:spacing w:after="40" w:line="240" w:lineRule="auto"/>
              <w:jc w:val="left"/>
            </w:pPr>
            <w:r/>
            <w:r>
              <w:rPr>
                <w:rFonts w:ascii="Times New Roman" w:hAnsi="Times New Roman"/>
                <w:sz w:val="22"/>
              </w:rPr>
              <w:t>How the leading features move the forecast (SHAP dependence)</w:t>
            </w:r>
          </w:p>
        </w:tc>
        <w:tc>
          <w:tcPr>
            <w:tcW w:type="dxa" w:w="1247"/>
          </w:tcPr>
          <w:p>
            <w:pPr>
              <w:spacing w:after="40" w:line="240" w:lineRule="auto"/>
              <w:jc w:val="center"/>
            </w:pPr>
            <w:r/>
            <w:r>
              <w:rPr>
                <w:rFonts w:ascii="Times New Roman" w:hAnsi="Times New Roman"/>
                <w:sz w:val="22"/>
              </w:rPr>
              <w:t>29</w:t>
            </w:r>
          </w:p>
        </w:tc>
      </w:tr>
      <w:tr>
        <w:trPr>
          <w:cantSplit/>
        </w:trPr>
        <w:tc>
          <w:tcPr>
            <w:tcW w:type="dxa" w:w="1247"/>
          </w:tcPr>
          <w:p>
            <w:pPr>
              <w:spacing w:after="40" w:line="240" w:lineRule="auto"/>
              <w:jc w:val="center"/>
            </w:pPr>
            <w:r/>
            <w:r>
              <w:rPr>
                <w:rFonts w:ascii="Times New Roman" w:hAnsi="Times New Roman"/>
                <w:sz w:val="22"/>
              </w:rPr>
              <w:t>7.8</w:t>
            </w:r>
          </w:p>
        </w:tc>
        <w:tc>
          <w:tcPr>
            <w:tcW w:type="dxa" w:w="6413"/>
          </w:tcPr>
          <w:p>
            <w:pPr>
              <w:spacing w:after="40" w:line="240" w:lineRule="auto"/>
              <w:jc w:val="left"/>
            </w:pPr>
            <w:r/>
            <w:r>
              <w:rPr>
                <w:rFonts w:ascii="Times New Roman" w:hAnsi="Times New Roman"/>
                <w:sz w:val="22"/>
              </w:rPr>
              <w:t>Local SHAP explanations in basis points of forecast return, for individual stock-days</w:t>
            </w:r>
          </w:p>
        </w:tc>
        <w:tc>
          <w:tcPr>
            <w:tcW w:type="dxa" w:w="1247"/>
          </w:tcPr>
          <w:p>
            <w:pPr>
              <w:spacing w:after="40" w:line="240" w:lineRule="auto"/>
              <w:jc w:val="center"/>
            </w:pPr>
            <w:r/>
            <w:r>
              <w:rPr>
                <w:rFonts w:ascii="Times New Roman" w:hAnsi="Times New Roman"/>
                <w:sz w:val="22"/>
              </w:rPr>
              <w:t>30</w:t>
            </w:r>
          </w:p>
        </w:tc>
      </w:tr>
      <w:tr>
        <w:trPr>
          <w:cantSplit/>
        </w:trPr>
        <w:tc>
          <w:tcPr>
            <w:tcW w:type="dxa" w:w="1247"/>
          </w:tcPr>
          <w:p>
            <w:pPr>
              <w:spacing w:after="40" w:line="240" w:lineRule="auto"/>
              <w:jc w:val="center"/>
            </w:pPr>
            <w:r/>
            <w:r>
              <w:rPr>
                <w:rFonts w:ascii="Times New Roman" w:hAnsi="Times New Roman"/>
                <w:sz w:val="22"/>
              </w:rPr>
              <w:t>7.9</w:t>
            </w:r>
          </w:p>
        </w:tc>
        <w:tc>
          <w:tcPr>
            <w:tcW w:type="dxa" w:w="6413"/>
          </w:tcPr>
          <w:p>
            <w:pPr>
              <w:spacing w:after="40" w:line="240" w:lineRule="auto"/>
              <w:jc w:val="left"/>
            </w:pPr>
            <w:r/>
            <w:r>
              <w:rPr>
                <w:rFonts w:ascii="Times New Roman" w:hAnsi="Times New Roman"/>
                <w:sz w:val="22"/>
              </w:rPr>
              <w:t>Faithfulness: forecast change when top-SHAP features and random features are removed</w:t>
            </w:r>
          </w:p>
        </w:tc>
        <w:tc>
          <w:tcPr>
            <w:tcW w:type="dxa" w:w="1247"/>
          </w:tcPr>
          <w:p>
            <w:pPr>
              <w:spacing w:after="40" w:line="240" w:lineRule="auto"/>
              <w:jc w:val="center"/>
            </w:pPr>
            <w:r/>
            <w:r>
              <w:rPr>
                <w:rFonts w:ascii="Times New Roman" w:hAnsi="Times New Roman"/>
                <w:sz w:val="22"/>
              </w:rPr>
              <w:t>30</w:t>
            </w:r>
          </w:p>
        </w:tc>
      </w:tr>
      <w:tr>
        <w:trPr>
          <w:cantSplit/>
        </w:trPr>
        <w:tc>
          <w:tcPr>
            <w:tcW w:type="dxa" w:w="1247"/>
          </w:tcPr>
          <w:p>
            <w:pPr>
              <w:spacing w:after="40" w:line="240" w:lineRule="auto"/>
              <w:jc w:val="center"/>
            </w:pPr>
            <w:r/>
            <w:r>
              <w:rPr>
                <w:rFonts w:ascii="Times New Roman" w:hAnsi="Times New Roman"/>
                <w:sz w:val="22"/>
              </w:rPr>
              <w:t>7.10</w:t>
            </w:r>
          </w:p>
        </w:tc>
        <w:tc>
          <w:tcPr>
            <w:tcW w:type="dxa" w:w="6413"/>
          </w:tcPr>
          <w:p>
            <w:pPr>
              <w:spacing w:after="40" w:line="240" w:lineRule="auto"/>
              <w:jc w:val="left"/>
            </w:pPr>
            <w:r/>
            <w:r>
              <w:rPr>
                <w:rFonts w:ascii="Times New Roman" w:hAnsi="Times New Roman"/>
                <w:sz w:val="22"/>
              </w:rPr>
              <w:t>Stability across seeds and retraining, and comparison with no-signal models</w:t>
            </w:r>
          </w:p>
        </w:tc>
        <w:tc>
          <w:tcPr>
            <w:tcW w:type="dxa" w:w="1247"/>
          </w:tcPr>
          <w:p>
            <w:pPr>
              <w:spacing w:after="40" w:line="240" w:lineRule="auto"/>
              <w:jc w:val="center"/>
            </w:pPr>
            <w:r/>
            <w:r>
              <w:rPr>
                <w:rFonts w:ascii="Times New Roman" w:hAnsi="Times New Roman"/>
                <w:sz w:val="22"/>
              </w:rPr>
              <w:t>31</w:t>
            </w:r>
          </w:p>
        </w:tc>
      </w:tr>
      <w:tr>
        <w:trPr>
          <w:cantSplit/>
        </w:trPr>
        <w:tc>
          <w:tcPr>
            <w:tcW w:type="dxa" w:w="1247"/>
          </w:tcPr>
          <w:p>
            <w:pPr>
              <w:spacing w:after="40" w:line="240" w:lineRule="auto"/>
              <w:jc w:val="center"/>
            </w:pPr>
            <w:r/>
            <w:r>
              <w:rPr>
                <w:rFonts w:ascii="Times New Roman" w:hAnsi="Times New Roman"/>
                <w:sz w:val="22"/>
              </w:rPr>
              <w:t>7.11</w:t>
            </w:r>
          </w:p>
        </w:tc>
        <w:tc>
          <w:tcPr>
            <w:tcW w:type="dxa" w:w="6413"/>
          </w:tcPr>
          <w:p>
            <w:pPr>
              <w:spacing w:after="40" w:line="240" w:lineRule="auto"/>
              <w:jc w:val="left"/>
            </w:pPr>
            <w:r/>
            <w:r>
              <w:rPr>
                <w:rFonts w:ascii="Times New Roman" w:hAnsi="Times New Roman"/>
                <w:sz w:val="22"/>
              </w:rPr>
              <w:t>Share of SHAP attribution by feature family across market regimes</w:t>
            </w:r>
          </w:p>
        </w:tc>
        <w:tc>
          <w:tcPr>
            <w:tcW w:type="dxa" w:w="1247"/>
          </w:tcPr>
          <w:p>
            <w:pPr>
              <w:spacing w:after="40" w:line="240" w:lineRule="auto"/>
              <w:jc w:val="center"/>
            </w:pPr>
            <w:r/>
            <w:r>
              <w:rPr>
                <w:rFonts w:ascii="Times New Roman" w:hAnsi="Times New Roman"/>
                <w:sz w:val="22"/>
              </w:rPr>
              <w:t>32</w:t>
            </w:r>
          </w:p>
        </w:tc>
      </w:tr>
      <w:tr>
        <w:trPr>
          <w:cantSplit/>
        </w:trPr>
        <w:tc>
          <w:tcPr>
            <w:tcW w:type="dxa" w:w="1247"/>
          </w:tcPr>
          <w:p>
            <w:pPr>
              <w:spacing w:after="40" w:line="240" w:lineRule="auto"/>
              <w:jc w:val="center"/>
            </w:pPr>
            <w:r/>
            <w:r>
              <w:rPr>
                <w:rFonts w:ascii="Times New Roman" w:hAnsi="Times New Roman"/>
                <w:sz w:val="22"/>
              </w:rPr>
              <w:t>7.12</w:t>
            </w:r>
          </w:p>
        </w:tc>
        <w:tc>
          <w:tcPr>
            <w:tcW w:type="dxa" w:w="6413"/>
          </w:tcPr>
          <w:p>
            <w:pPr>
              <w:spacing w:after="40" w:line="240" w:lineRule="auto"/>
              <w:jc w:val="left"/>
            </w:pPr>
            <w:r/>
            <w:r>
              <w:rPr>
                <w:rFonts w:ascii="Times New Roman" w:hAnsi="Times New Roman"/>
                <w:sz w:val="22"/>
              </w:rPr>
              <w:t>Share of SHAP attribution by feature family and GICS sector</w:t>
            </w:r>
          </w:p>
        </w:tc>
        <w:tc>
          <w:tcPr>
            <w:tcW w:type="dxa" w:w="1247"/>
          </w:tcPr>
          <w:p>
            <w:pPr>
              <w:spacing w:after="40" w:line="240" w:lineRule="auto"/>
              <w:jc w:val="center"/>
            </w:pPr>
            <w:r/>
            <w:r>
              <w:rPr>
                <w:rFonts w:ascii="Times New Roman" w:hAnsi="Times New Roman"/>
                <w:sz w:val="22"/>
              </w:rPr>
              <w:t>32</w:t>
            </w:r>
          </w:p>
        </w:tc>
      </w:tr>
      <w:tr>
        <w:trPr>
          <w:cantSplit/>
        </w:trPr>
        <w:tc>
          <w:tcPr>
            <w:tcW w:type="dxa" w:w="1247"/>
          </w:tcPr>
          <w:p>
            <w:pPr>
              <w:spacing w:after="40" w:line="240" w:lineRule="auto"/>
              <w:jc w:val="center"/>
            </w:pPr>
            <w:r/>
            <w:r>
              <w:rPr>
                <w:rFonts w:ascii="Times New Roman" w:hAnsi="Times New Roman"/>
                <w:sz w:val="22"/>
              </w:rPr>
              <w:t>7.13</w:t>
            </w:r>
          </w:p>
        </w:tc>
        <w:tc>
          <w:tcPr>
            <w:tcW w:type="dxa" w:w="6413"/>
          </w:tcPr>
          <w:p>
            <w:pPr>
              <w:spacing w:after="40" w:line="240" w:lineRule="auto"/>
              <w:jc w:val="left"/>
            </w:pPr>
            <w:r/>
            <w:r>
              <w:rPr>
                <w:rFonts w:ascii="Times New Roman" w:hAnsi="Times New Roman"/>
                <w:sz w:val="22"/>
              </w:rPr>
              <w:t>Feature importance ranks from TreeSHAP, LIME, permutation importance and MDI</w:t>
            </w:r>
          </w:p>
        </w:tc>
        <w:tc>
          <w:tcPr>
            <w:tcW w:type="dxa" w:w="1247"/>
          </w:tcPr>
          <w:p>
            <w:pPr>
              <w:spacing w:after="40" w:line="240" w:lineRule="auto"/>
              <w:jc w:val="center"/>
            </w:pPr>
            <w:r/>
            <w:r>
              <w:rPr>
                <w:rFonts w:ascii="Times New Roman" w:hAnsi="Times New Roman"/>
                <w:sz w:val="22"/>
              </w:rPr>
              <w:t>33</w:t>
            </w:r>
          </w:p>
        </w:tc>
      </w:tr>
      <w:tr>
        <w:trPr>
          <w:cantSplit/>
        </w:trPr>
        <w:tc>
          <w:tcPr>
            <w:tcW w:type="dxa" w:w="1247"/>
          </w:tcPr>
          <w:p>
            <w:pPr>
              <w:spacing w:after="40" w:line="240" w:lineRule="auto"/>
              <w:jc w:val="center"/>
            </w:pPr>
            <w:r/>
            <w:r>
              <w:rPr>
                <w:rFonts w:ascii="Times New Roman" w:hAnsi="Times New Roman"/>
                <w:sz w:val="22"/>
              </w:rPr>
              <w:t>7.14</w:t>
            </w:r>
          </w:p>
        </w:tc>
        <w:tc>
          <w:tcPr>
            <w:tcW w:type="dxa" w:w="6413"/>
          </w:tcPr>
          <w:p>
            <w:pPr>
              <w:spacing w:after="40" w:line="240" w:lineRule="auto"/>
              <w:jc w:val="left"/>
            </w:pPr>
            <w:r/>
            <w:r>
              <w:rPr>
                <w:rFonts w:ascii="Times New Roman" w:hAnsi="Times New Roman"/>
                <w:sz w:val="22"/>
              </w:rPr>
              <w:t>SHAP against LIME explanations for the same forecasts</w:t>
            </w:r>
          </w:p>
        </w:tc>
        <w:tc>
          <w:tcPr>
            <w:tcW w:type="dxa" w:w="1247"/>
          </w:tcPr>
          <w:p>
            <w:pPr>
              <w:spacing w:after="40" w:line="240" w:lineRule="auto"/>
              <w:jc w:val="center"/>
            </w:pPr>
            <w:r/>
            <w:r>
              <w:rPr>
                <w:rFonts w:ascii="Times New Roman" w:hAnsi="Times New Roman"/>
                <w:sz w:val="22"/>
              </w:rPr>
              <w:t>34</w:t>
            </w:r>
          </w:p>
        </w:tc>
      </w:tr>
      <w:tr>
        <w:trPr>
          <w:cantSplit/>
        </w:trPr>
        <w:tc>
          <w:tcPr>
            <w:tcW w:type="dxa" w:w="1247"/>
          </w:tcPr>
          <w:p>
            <w:pPr>
              <w:spacing w:after="40" w:line="240" w:lineRule="auto"/>
              <w:jc w:val="center"/>
            </w:pPr>
            <w:r/>
            <w:r>
              <w:rPr>
                <w:rFonts w:ascii="Times New Roman" w:hAnsi="Times New Roman"/>
                <w:sz w:val="22"/>
              </w:rPr>
              <w:t>7.15</w:t>
            </w:r>
          </w:p>
        </w:tc>
        <w:tc>
          <w:tcPr>
            <w:tcW w:type="dxa" w:w="6413"/>
          </w:tcPr>
          <w:p>
            <w:pPr>
              <w:spacing w:after="40" w:line="240" w:lineRule="auto"/>
              <w:jc w:val="left"/>
            </w:pPr>
            <w:r/>
            <w:r>
              <w:rPr>
                <w:rFonts w:ascii="Times New Roman" w:hAnsi="Times New Roman"/>
                <w:sz w:val="22"/>
              </w:rPr>
              <w:t>LIME against SHAP: run-to-run stability, faithfulness and local fit</w:t>
            </w:r>
          </w:p>
        </w:tc>
        <w:tc>
          <w:tcPr>
            <w:tcW w:type="dxa" w:w="1247"/>
          </w:tcPr>
          <w:p>
            <w:pPr>
              <w:spacing w:after="40" w:line="240" w:lineRule="auto"/>
              <w:jc w:val="center"/>
            </w:pPr>
            <w:r/>
            <w:r>
              <w:rPr>
                <w:rFonts w:ascii="Times New Roman" w:hAnsi="Times New Roman"/>
                <w:sz w:val="22"/>
              </w:rPr>
              <w:t>35</w:t>
            </w:r>
          </w:p>
        </w:tc>
      </w:tr>
    </w:tbl>
    <w:p>
      <w:pPr>
        <w:keepNext w:val="0"/>
        <w:spacing w:line="276" w:lineRule="auto" w:after="80"/>
        <w:jc w:val="both"/>
      </w:pPr>
    </w:p>
    <w:p>
      <w:r>
        <w:br w:type="page"/>
      </w:r>
    </w:p>
    <w:p>
      <w:pPr>
        <w:keepNext w:val="0"/>
        <w:spacing w:line="360" w:lineRule="auto" w:after="320"/>
        <w:jc w:val="center"/>
      </w:pPr>
      <w:r>
        <w:rPr>
          <w:rFonts w:ascii="Times New Roman" w:hAnsi="Times New Roman"/>
          <w:b/>
          <w:i w:val="0"/>
          <w:sz w:val="32"/>
        </w:rPr>
        <w:t>LIST OF TABLES</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1246"/>
        <w:gridCol w:w="6412"/>
        <w:gridCol w:w="1246"/>
      </w:tblGrid>
      <w:tr>
        <w:trPr>
          <w:cantSplit/>
          <w:tblHeader/>
        </w:trPr>
        <w:tc>
          <w:tcPr>
            <w:tcW w:type="dxa" w:w="1247"/>
            <w:shd w:val="clear" w:color="auto" w:fill="D9E2F3"/>
          </w:tcPr>
          <w:p>
            <w:pPr>
              <w:spacing w:after="40" w:line="240" w:lineRule="auto"/>
              <w:jc w:val="center"/>
            </w:pPr>
            <w:r/>
            <w:r>
              <w:rPr>
                <w:rFonts w:ascii="Times New Roman" w:hAnsi="Times New Roman"/>
                <w:b/>
                <w:sz w:val="22"/>
              </w:rPr>
              <w:t>Table No.</w:t>
            </w:r>
          </w:p>
        </w:tc>
        <w:tc>
          <w:tcPr>
            <w:tcW w:type="dxa" w:w="6413"/>
            <w:shd w:val="clear" w:color="auto" w:fill="D9E2F3"/>
          </w:tcPr>
          <w:p>
            <w:pPr>
              <w:spacing w:after="40" w:line="240" w:lineRule="auto"/>
              <w:jc w:val="center"/>
            </w:pPr>
            <w:r/>
            <w:r>
              <w:rPr>
                <w:rFonts w:ascii="Times New Roman" w:hAnsi="Times New Roman"/>
                <w:b/>
                <w:sz w:val="22"/>
              </w:rPr>
              <w:t>Title</w:t>
            </w:r>
          </w:p>
        </w:tc>
        <w:tc>
          <w:tcPr>
            <w:tcW w:type="dxa" w:w="1247"/>
            <w:shd w:val="clear" w:color="auto" w:fill="D9E2F3"/>
          </w:tcPr>
          <w:p>
            <w:pPr>
              <w:spacing w:after="40" w:line="240" w:lineRule="auto"/>
              <w:jc w:val="center"/>
            </w:pPr>
            <w:r/>
            <w:r>
              <w:rPr>
                <w:rFonts w:ascii="Times New Roman" w:hAnsi="Times New Roman"/>
                <w:b/>
                <w:sz w:val="22"/>
              </w:rPr>
              <w:t>Page No.</w:t>
            </w:r>
          </w:p>
        </w:tc>
      </w:tr>
      <w:tr>
        <w:trPr>
          <w:cantSplit/>
        </w:trPr>
        <w:tc>
          <w:tcPr>
            <w:tcW w:type="dxa" w:w="1247"/>
          </w:tcPr>
          <w:p>
            <w:pPr>
              <w:spacing w:after="40" w:line="240" w:lineRule="auto"/>
              <w:jc w:val="center"/>
            </w:pPr>
            <w:r/>
            <w:r>
              <w:rPr>
                <w:rFonts w:ascii="Times New Roman" w:hAnsi="Times New Roman"/>
                <w:sz w:val="22"/>
              </w:rPr>
              <w:t>1.1</w:t>
            </w:r>
          </w:p>
        </w:tc>
        <w:tc>
          <w:tcPr>
            <w:tcW w:type="dxa" w:w="6413"/>
          </w:tcPr>
          <w:p>
            <w:pPr>
              <w:spacing w:after="40" w:line="240" w:lineRule="auto"/>
              <w:jc w:val="left"/>
            </w:pPr>
            <w:r/>
            <w:r>
              <w:rPr>
                <w:rFonts w:ascii="Times New Roman" w:hAnsi="Times New Roman"/>
                <w:sz w:val="22"/>
              </w:rPr>
              <w:t>Properties an explanation must have, and the consequence of each failing</w:t>
            </w:r>
          </w:p>
        </w:tc>
        <w:tc>
          <w:tcPr>
            <w:tcW w:type="dxa" w:w="1247"/>
          </w:tcPr>
          <w:p>
            <w:pPr>
              <w:spacing w:after="40" w:line="240" w:lineRule="auto"/>
              <w:jc w:val="center"/>
            </w:pPr>
            <w:r/>
            <w:r>
              <w:rPr>
                <w:rFonts w:ascii="Times New Roman" w:hAnsi="Times New Roman"/>
                <w:sz w:val="22"/>
              </w:rPr>
              <w:t>2</w:t>
            </w:r>
          </w:p>
        </w:tc>
      </w:tr>
      <w:tr>
        <w:trPr>
          <w:cantSplit/>
        </w:trPr>
        <w:tc>
          <w:tcPr>
            <w:tcW w:type="dxa" w:w="1247"/>
          </w:tcPr>
          <w:p>
            <w:pPr>
              <w:spacing w:after="40" w:line="240" w:lineRule="auto"/>
              <w:jc w:val="center"/>
            </w:pPr>
            <w:r/>
            <w:r>
              <w:rPr>
                <w:rFonts w:ascii="Times New Roman" w:hAnsi="Times New Roman"/>
                <w:sz w:val="22"/>
              </w:rPr>
              <w:t>2.1</w:t>
            </w:r>
          </w:p>
        </w:tc>
        <w:tc>
          <w:tcPr>
            <w:tcW w:type="dxa" w:w="6413"/>
          </w:tcPr>
          <w:p>
            <w:pPr>
              <w:spacing w:after="40" w:line="240" w:lineRule="auto"/>
              <w:jc w:val="left"/>
            </w:pPr>
            <w:r/>
            <w:r>
              <w:rPr>
                <w:rFonts w:ascii="Times New Roman" w:hAnsi="Times New Roman"/>
                <w:sz w:val="22"/>
              </w:rPr>
              <w:t>Recent work on explainable stock prediction, and the gap each leaves</w:t>
            </w:r>
          </w:p>
        </w:tc>
        <w:tc>
          <w:tcPr>
            <w:tcW w:type="dxa" w:w="1247"/>
          </w:tcPr>
          <w:p>
            <w:pPr>
              <w:spacing w:after="40" w:line="240" w:lineRule="auto"/>
              <w:jc w:val="center"/>
            </w:pPr>
            <w:r/>
            <w:r>
              <w:rPr>
                <w:rFonts w:ascii="Times New Roman" w:hAnsi="Times New Roman"/>
                <w:sz w:val="22"/>
              </w:rPr>
              <w:t>4</w:t>
            </w:r>
          </w:p>
        </w:tc>
      </w:tr>
      <w:tr>
        <w:trPr>
          <w:cantSplit/>
        </w:trPr>
        <w:tc>
          <w:tcPr>
            <w:tcW w:type="dxa" w:w="1247"/>
          </w:tcPr>
          <w:p>
            <w:pPr>
              <w:spacing w:after="40" w:line="240" w:lineRule="auto"/>
              <w:jc w:val="center"/>
            </w:pPr>
            <w:r/>
            <w:r>
              <w:rPr>
                <w:rFonts w:ascii="Times New Roman" w:hAnsi="Times New Roman"/>
                <w:sz w:val="22"/>
              </w:rPr>
              <w:t>2.2</w:t>
            </w:r>
          </w:p>
        </w:tc>
        <w:tc>
          <w:tcPr>
            <w:tcW w:type="dxa" w:w="6413"/>
          </w:tcPr>
          <w:p>
            <w:pPr>
              <w:spacing w:after="40" w:line="240" w:lineRule="auto"/>
              <w:jc w:val="left"/>
            </w:pPr>
            <w:r/>
            <w:r>
              <w:rPr>
                <w:rFonts w:ascii="Times New Roman" w:hAnsi="Times New Roman"/>
                <w:sz w:val="22"/>
              </w:rPr>
              <w:t>What is missing from the reviewed work, and how this project supplies it</w:t>
            </w:r>
          </w:p>
        </w:tc>
        <w:tc>
          <w:tcPr>
            <w:tcW w:type="dxa" w:w="1247"/>
          </w:tcPr>
          <w:p>
            <w:pPr>
              <w:spacing w:after="40" w:line="240" w:lineRule="auto"/>
              <w:jc w:val="center"/>
            </w:pPr>
            <w:r/>
            <w:r>
              <w:rPr>
                <w:rFonts w:ascii="Times New Roman" w:hAnsi="Times New Roman"/>
                <w:sz w:val="22"/>
              </w:rPr>
              <w:t>5</w:t>
            </w:r>
          </w:p>
        </w:tc>
      </w:tr>
      <w:tr>
        <w:trPr>
          <w:cantSplit/>
        </w:trPr>
        <w:tc>
          <w:tcPr>
            <w:tcW w:type="dxa" w:w="1247"/>
          </w:tcPr>
          <w:p>
            <w:pPr>
              <w:spacing w:after="40" w:line="240" w:lineRule="auto"/>
              <w:jc w:val="center"/>
            </w:pPr>
            <w:r/>
            <w:r>
              <w:rPr>
                <w:rFonts w:ascii="Times New Roman" w:hAnsi="Times New Roman"/>
                <w:sz w:val="22"/>
              </w:rPr>
              <w:t>2.3</w:t>
            </w:r>
          </w:p>
        </w:tc>
        <w:tc>
          <w:tcPr>
            <w:tcW w:type="dxa" w:w="6413"/>
          </w:tcPr>
          <w:p>
            <w:pPr>
              <w:spacing w:after="40" w:line="240" w:lineRule="auto"/>
              <w:jc w:val="left"/>
            </w:pPr>
            <w:r/>
            <w:r>
              <w:rPr>
                <w:rFonts w:ascii="Times New Roman" w:hAnsi="Times New Roman"/>
                <w:sz w:val="22"/>
              </w:rPr>
              <w:t>Formal specification of the forecasting and explanation problem</w:t>
            </w:r>
          </w:p>
        </w:tc>
        <w:tc>
          <w:tcPr>
            <w:tcW w:type="dxa" w:w="1247"/>
          </w:tcPr>
          <w:p>
            <w:pPr>
              <w:spacing w:after="40" w:line="240" w:lineRule="auto"/>
              <w:jc w:val="center"/>
            </w:pPr>
            <w:r/>
            <w:r>
              <w:rPr>
                <w:rFonts w:ascii="Times New Roman" w:hAnsi="Times New Roman"/>
                <w:sz w:val="22"/>
              </w:rPr>
              <w:t>6</w:t>
            </w:r>
          </w:p>
        </w:tc>
      </w:tr>
      <w:tr>
        <w:trPr>
          <w:cantSplit/>
        </w:trPr>
        <w:tc>
          <w:tcPr>
            <w:tcW w:type="dxa" w:w="1247"/>
          </w:tcPr>
          <w:p>
            <w:pPr>
              <w:spacing w:after="40" w:line="240" w:lineRule="auto"/>
              <w:jc w:val="center"/>
            </w:pPr>
            <w:r/>
            <w:r>
              <w:rPr>
                <w:rFonts w:ascii="Times New Roman" w:hAnsi="Times New Roman"/>
                <w:sz w:val="22"/>
              </w:rPr>
              <w:t>2.4</w:t>
            </w:r>
          </w:p>
        </w:tc>
        <w:tc>
          <w:tcPr>
            <w:tcW w:type="dxa" w:w="6413"/>
          </w:tcPr>
          <w:p>
            <w:pPr>
              <w:spacing w:after="40" w:line="240" w:lineRule="auto"/>
              <w:jc w:val="left"/>
            </w:pPr>
            <w:r/>
            <w:r>
              <w:rPr>
                <w:rFonts w:ascii="Times New Roman" w:hAnsi="Times New Roman"/>
                <w:sz w:val="22"/>
              </w:rPr>
              <w:t>Research questions addressed by this project</w:t>
            </w:r>
          </w:p>
        </w:tc>
        <w:tc>
          <w:tcPr>
            <w:tcW w:type="dxa" w:w="1247"/>
          </w:tcPr>
          <w:p>
            <w:pPr>
              <w:spacing w:after="40" w:line="240" w:lineRule="auto"/>
              <w:jc w:val="center"/>
            </w:pPr>
            <w:r/>
            <w:r>
              <w:rPr>
                <w:rFonts w:ascii="Times New Roman" w:hAnsi="Times New Roman"/>
                <w:sz w:val="22"/>
              </w:rPr>
              <w:t>6</w:t>
            </w:r>
          </w:p>
        </w:tc>
      </w:tr>
      <w:tr>
        <w:trPr>
          <w:cantSplit/>
        </w:trPr>
        <w:tc>
          <w:tcPr>
            <w:tcW w:type="dxa" w:w="1247"/>
          </w:tcPr>
          <w:p>
            <w:pPr>
              <w:spacing w:after="40" w:line="240" w:lineRule="auto"/>
              <w:jc w:val="center"/>
            </w:pPr>
            <w:r/>
            <w:r>
              <w:rPr>
                <w:rFonts w:ascii="Times New Roman" w:hAnsi="Times New Roman"/>
                <w:sz w:val="22"/>
              </w:rPr>
              <w:t>2.5</w:t>
            </w:r>
          </w:p>
        </w:tc>
        <w:tc>
          <w:tcPr>
            <w:tcW w:type="dxa" w:w="6413"/>
          </w:tcPr>
          <w:p>
            <w:pPr>
              <w:spacing w:after="40" w:line="240" w:lineRule="auto"/>
              <w:jc w:val="left"/>
            </w:pPr>
            <w:r/>
            <w:r>
              <w:rPr>
                <w:rFonts w:ascii="Times New Roman" w:hAnsi="Times New Roman"/>
                <w:sz w:val="22"/>
              </w:rPr>
              <w:t>Project plan by stage</w:t>
            </w:r>
          </w:p>
        </w:tc>
        <w:tc>
          <w:tcPr>
            <w:tcW w:type="dxa" w:w="1247"/>
          </w:tcPr>
          <w:p>
            <w:pPr>
              <w:spacing w:after="40" w:line="240" w:lineRule="auto"/>
              <w:jc w:val="center"/>
            </w:pPr>
            <w:r/>
            <w:r>
              <w:rPr>
                <w:rFonts w:ascii="Times New Roman" w:hAnsi="Times New Roman"/>
                <w:sz w:val="22"/>
              </w:rPr>
              <w:t>6</w:t>
            </w:r>
          </w:p>
        </w:tc>
      </w:tr>
      <w:tr>
        <w:trPr>
          <w:cantSplit/>
        </w:trPr>
        <w:tc>
          <w:tcPr>
            <w:tcW w:type="dxa" w:w="1247"/>
          </w:tcPr>
          <w:p>
            <w:pPr>
              <w:spacing w:after="40" w:line="240" w:lineRule="auto"/>
              <w:jc w:val="center"/>
            </w:pPr>
            <w:r/>
            <w:r>
              <w:rPr>
                <w:rFonts w:ascii="Times New Roman" w:hAnsi="Times New Roman"/>
                <w:sz w:val="22"/>
              </w:rPr>
              <w:t>3.1</w:t>
            </w:r>
          </w:p>
        </w:tc>
        <w:tc>
          <w:tcPr>
            <w:tcW w:type="dxa" w:w="6413"/>
          </w:tcPr>
          <w:p>
            <w:pPr>
              <w:spacing w:after="40" w:line="240" w:lineRule="auto"/>
              <w:jc w:val="left"/>
            </w:pPr>
            <w:r/>
            <w:r>
              <w:rPr>
                <w:rFonts w:ascii="Times New Roman" w:hAnsi="Times New Roman"/>
                <w:sz w:val="22"/>
              </w:rPr>
              <w:t>Functional requirements</w:t>
            </w:r>
          </w:p>
        </w:tc>
        <w:tc>
          <w:tcPr>
            <w:tcW w:type="dxa" w:w="1247"/>
          </w:tcPr>
          <w:p>
            <w:pPr>
              <w:spacing w:after="40" w:line="240" w:lineRule="auto"/>
              <w:jc w:val="center"/>
            </w:pPr>
            <w:r/>
            <w:r>
              <w:rPr>
                <w:rFonts w:ascii="Times New Roman" w:hAnsi="Times New Roman"/>
                <w:sz w:val="22"/>
              </w:rPr>
              <w:t>7</w:t>
            </w:r>
          </w:p>
        </w:tc>
      </w:tr>
      <w:tr>
        <w:trPr>
          <w:cantSplit/>
        </w:trPr>
        <w:tc>
          <w:tcPr>
            <w:tcW w:type="dxa" w:w="1247"/>
          </w:tcPr>
          <w:p>
            <w:pPr>
              <w:spacing w:after="40" w:line="240" w:lineRule="auto"/>
              <w:jc w:val="center"/>
            </w:pPr>
            <w:r/>
            <w:r>
              <w:rPr>
                <w:rFonts w:ascii="Times New Roman" w:hAnsi="Times New Roman"/>
                <w:sz w:val="22"/>
              </w:rPr>
              <w:t>3.2</w:t>
            </w:r>
          </w:p>
        </w:tc>
        <w:tc>
          <w:tcPr>
            <w:tcW w:type="dxa" w:w="6413"/>
          </w:tcPr>
          <w:p>
            <w:pPr>
              <w:spacing w:after="40" w:line="240" w:lineRule="auto"/>
              <w:jc w:val="left"/>
            </w:pPr>
            <w:r/>
            <w:r>
              <w:rPr>
                <w:rFonts w:ascii="Times New Roman" w:hAnsi="Times New Roman"/>
                <w:sz w:val="22"/>
              </w:rPr>
              <w:t>Non-functional requirements</w:t>
            </w:r>
          </w:p>
        </w:tc>
        <w:tc>
          <w:tcPr>
            <w:tcW w:type="dxa" w:w="1247"/>
          </w:tcPr>
          <w:p>
            <w:pPr>
              <w:spacing w:after="40" w:line="240" w:lineRule="auto"/>
              <w:jc w:val="center"/>
            </w:pPr>
            <w:r/>
            <w:r>
              <w:rPr>
                <w:rFonts w:ascii="Times New Roman" w:hAnsi="Times New Roman"/>
                <w:sz w:val="22"/>
              </w:rPr>
              <w:t>7</w:t>
            </w:r>
          </w:p>
        </w:tc>
      </w:tr>
      <w:tr>
        <w:trPr>
          <w:cantSplit/>
        </w:trPr>
        <w:tc>
          <w:tcPr>
            <w:tcW w:type="dxa" w:w="1247"/>
          </w:tcPr>
          <w:p>
            <w:pPr>
              <w:spacing w:after="40" w:line="240" w:lineRule="auto"/>
              <w:jc w:val="center"/>
            </w:pPr>
            <w:r/>
            <w:r>
              <w:rPr>
                <w:rFonts w:ascii="Times New Roman" w:hAnsi="Times New Roman"/>
                <w:sz w:val="22"/>
              </w:rPr>
              <w:t>3.3</w:t>
            </w:r>
          </w:p>
        </w:tc>
        <w:tc>
          <w:tcPr>
            <w:tcW w:type="dxa" w:w="6413"/>
          </w:tcPr>
          <w:p>
            <w:pPr>
              <w:spacing w:after="40" w:line="240" w:lineRule="auto"/>
              <w:jc w:val="left"/>
            </w:pPr>
            <w:r/>
            <w:r>
              <w:rPr>
                <w:rFonts w:ascii="Times New Roman" w:hAnsi="Times New Roman"/>
                <w:sz w:val="22"/>
              </w:rPr>
              <w:t>Hardware used</w:t>
            </w:r>
          </w:p>
        </w:tc>
        <w:tc>
          <w:tcPr>
            <w:tcW w:type="dxa" w:w="1247"/>
          </w:tcPr>
          <w:p>
            <w:pPr>
              <w:spacing w:after="40" w:line="240" w:lineRule="auto"/>
              <w:jc w:val="center"/>
            </w:pPr>
            <w:r/>
            <w:r>
              <w:rPr>
                <w:rFonts w:ascii="Times New Roman" w:hAnsi="Times New Roman"/>
                <w:sz w:val="22"/>
              </w:rPr>
              <w:t>9</w:t>
            </w:r>
          </w:p>
        </w:tc>
      </w:tr>
      <w:tr>
        <w:trPr>
          <w:cantSplit/>
        </w:trPr>
        <w:tc>
          <w:tcPr>
            <w:tcW w:type="dxa" w:w="1247"/>
          </w:tcPr>
          <w:p>
            <w:pPr>
              <w:spacing w:after="40" w:line="240" w:lineRule="auto"/>
              <w:jc w:val="center"/>
            </w:pPr>
            <w:r/>
            <w:r>
              <w:rPr>
                <w:rFonts w:ascii="Times New Roman" w:hAnsi="Times New Roman"/>
                <w:sz w:val="22"/>
              </w:rPr>
              <w:t>3.4</w:t>
            </w:r>
          </w:p>
        </w:tc>
        <w:tc>
          <w:tcPr>
            <w:tcW w:type="dxa" w:w="6413"/>
          </w:tcPr>
          <w:p>
            <w:pPr>
              <w:spacing w:after="40" w:line="240" w:lineRule="auto"/>
              <w:jc w:val="left"/>
            </w:pPr>
            <w:r/>
            <w:r>
              <w:rPr>
                <w:rFonts w:ascii="Times New Roman" w:hAnsi="Times New Roman"/>
                <w:sz w:val="22"/>
              </w:rPr>
              <w:t>Software stack</w:t>
            </w:r>
          </w:p>
        </w:tc>
        <w:tc>
          <w:tcPr>
            <w:tcW w:type="dxa" w:w="1247"/>
          </w:tcPr>
          <w:p>
            <w:pPr>
              <w:spacing w:after="40" w:line="240" w:lineRule="auto"/>
              <w:jc w:val="center"/>
            </w:pPr>
            <w:r/>
            <w:r>
              <w:rPr>
                <w:rFonts w:ascii="Times New Roman" w:hAnsi="Times New Roman"/>
                <w:sz w:val="22"/>
              </w:rPr>
              <w:t>9</w:t>
            </w:r>
          </w:p>
        </w:tc>
      </w:tr>
      <w:tr>
        <w:trPr>
          <w:cantSplit/>
        </w:trPr>
        <w:tc>
          <w:tcPr>
            <w:tcW w:type="dxa" w:w="1247"/>
          </w:tcPr>
          <w:p>
            <w:pPr>
              <w:spacing w:after="40" w:line="240" w:lineRule="auto"/>
              <w:jc w:val="center"/>
            </w:pPr>
            <w:r/>
            <w:r>
              <w:rPr>
                <w:rFonts w:ascii="Times New Roman" w:hAnsi="Times New Roman"/>
                <w:sz w:val="22"/>
              </w:rPr>
              <w:t>4.1</w:t>
            </w:r>
          </w:p>
        </w:tc>
        <w:tc>
          <w:tcPr>
            <w:tcW w:type="dxa" w:w="6413"/>
          </w:tcPr>
          <w:p>
            <w:pPr>
              <w:spacing w:after="40" w:line="240" w:lineRule="auto"/>
              <w:jc w:val="left"/>
            </w:pPr>
            <w:r/>
            <w:r>
              <w:rPr>
                <w:rFonts w:ascii="Times New Roman" w:hAnsi="Times New Roman"/>
                <w:sz w:val="22"/>
              </w:rPr>
              <w:t>Dataset summary</w:t>
            </w:r>
          </w:p>
        </w:tc>
        <w:tc>
          <w:tcPr>
            <w:tcW w:type="dxa" w:w="1247"/>
          </w:tcPr>
          <w:p>
            <w:pPr>
              <w:spacing w:after="40" w:line="240" w:lineRule="auto"/>
              <w:jc w:val="center"/>
            </w:pPr>
            <w:r/>
            <w:r>
              <w:rPr>
                <w:rFonts w:ascii="Times New Roman" w:hAnsi="Times New Roman"/>
                <w:sz w:val="22"/>
              </w:rPr>
              <w:t>10</w:t>
            </w:r>
          </w:p>
        </w:tc>
      </w:tr>
      <w:tr>
        <w:trPr>
          <w:cantSplit/>
        </w:trPr>
        <w:tc>
          <w:tcPr>
            <w:tcW w:type="dxa" w:w="1247"/>
          </w:tcPr>
          <w:p>
            <w:pPr>
              <w:spacing w:after="40" w:line="240" w:lineRule="auto"/>
              <w:jc w:val="center"/>
            </w:pPr>
            <w:r/>
            <w:r>
              <w:rPr>
                <w:rFonts w:ascii="Times New Roman" w:hAnsi="Times New Roman"/>
                <w:sz w:val="22"/>
              </w:rPr>
              <w:t>4.2</w:t>
            </w:r>
          </w:p>
        </w:tc>
        <w:tc>
          <w:tcPr>
            <w:tcW w:type="dxa" w:w="6413"/>
          </w:tcPr>
          <w:p>
            <w:pPr>
              <w:spacing w:after="40" w:line="240" w:lineRule="auto"/>
              <w:jc w:val="left"/>
            </w:pPr>
            <w:r/>
            <w:r>
              <w:rPr>
                <w:rFonts w:ascii="Times New Roman" w:hAnsi="Times New Roman"/>
                <w:sz w:val="22"/>
              </w:rPr>
              <w:t>Defects found in the raw panel and their repair</w:t>
            </w:r>
          </w:p>
        </w:tc>
        <w:tc>
          <w:tcPr>
            <w:tcW w:type="dxa" w:w="1247"/>
          </w:tcPr>
          <w:p>
            <w:pPr>
              <w:spacing w:after="40" w:line="240" w:lineRule="auto"/>
              <w:jc w:val="center"/>
            </w:pPr>
            <w:r/>
            <w:r>
              <w:rPr>
                <w:rFonts w:ascii="Times New Roman" w:hAnsi="Times New Roman"/>
                <w:sz w:val="22"/>
              </w:rPr>
              <w:t>11</w:t>
            </w:r>
          </w:p>
        </w:tc>
      </w:tr>
      <w:tr>
        <w:trPr>
          <w:cantSplit/>
        </w:trPr>
        <w:tc>
          <w:tcPr>
            <w:tcW w:type="dxa" w:w="1247"/>
          </w:tcPr>
          <w:p>
            <w:pPr>
              <w:spacing w:after="40" w:line="240" w:lineRule="auto"/>
              <w:jc w:val="center"/>
            </w:pPr>
            <w:r/>
            <w:r>
              <w:rPr>
                <w:rFonts w:ascii="Times New Roman" w:hAnsi="Times New Roman"/>
                <w:sz w:val="22"/>
              </w:rPr>
              <w:t>4.3</w:t>
            </w:r>
          </w:p>
        </w:tc>
        <w:tc>
          <w:tcPr>
            <w:tcW w:type="dxa" w:w="6413"/>
          </w:tcPr>
          <w:p>
            <w:pPr>
              <w:spacing w:after="40" w:line="240" w:lineRule="auto"/>
              <w:jc w:val="left"/>
            </w:pPr>
            <w:r/>
            <w:r>
              <w:rPr>
                <w:rFonts w:ascii="Times New Roman" w:hAnsi="Times New Roman"/>
                <w:sz w:val="22"/>
              </w:rPr>
              <w:t>The 32 features, by family</w:t>
            </w:r>
          </w:p>
        </w:tc>
        <w:tc>
          <w:tcPr>
            <w:tcW w:type="dxa" w:w="1247"/>
          </w:tcPr>
          <w:p>
            <w:pPr>
              <w:spacing w:after="40" w:line="240" w:lineRule="auto"/>
              <w:jc w:val="center"/>
            </w:pPr>
            <w:r/>
            <w:r>
              <w:rPr>
                <w:rFonts w:ascii="Times New Roman" w:hAnsi="Times New Roman"/>
                <w:sz w:val="22"/>
              </w:rPr>
              <w:t>11</w:t>
            </w:r>
          </w:p>
        </w:tc>
      </w:tr>
      <w:tr>
        <w:trPr>
          <w:cantSplit/>
        </w:trPr>
        <w:tc>
          <w:tcPr>
            <w:tcW w:type="dxa" w:w="1247"/>
          </w:tcPr>
          <w:p>
            <w:pPr>
              <w:spacing w:after="40" w:line="240" w:lineRule="auto"/>
              <w:jc w:val="center"/>
            </w:pPr>
            <w:r/>
            <w:r>
              <w:rPr>
                <w:rFonts w:ascii="Times New Roman" w:hAnsi="Times New Roman"/>
                <w:sz w:val="22"/>
              </w:rPr>
              <w:t>5.1</w:t>
            </w:r>
          </w:p>
        </w:tc>
        <w:tc>
          <w:tcPr>
            <w:tcW w:type="dxa" w:w="6413"/>
          </w:tcPr>
          <w:p>
            <w:pPr>
              <w:spacing w:after="40" w:line="240" w:lineRule="auto"/>
              <w:jc w:val="left"/>
            </w:pPr>
            <w:r/>
            <w:r>
              <w:rPr>
                <w:rFonts w:ascii="Times New Roman" w:hAnsi="Times New Roman"/>
                <w:sz w:val="22"/>
              </w:rPr>
              <w:t>Modules in execution order</w:t>
            </w:r>
          </w:p>
        </w:tc>
        <w:tc>
          <w:tcPr>
            <w:tcW w:type="dxa" w:w="1247"/>
          </w:tcPr>
          <w:p>
            <w:pPr>
              <w:spacing w:after="40" w:line="240" w:lineRule="auto"/>
              <w:jc w:val="center"/>
            </w:pPr>
            <w:r/>
            <w:r>
              <w:rPr>
                <w:rFonts w:ascii="Times New Roman" w:hAnsi="Times New Roman"/>
                <w:sz w:val="22"/>
              </w:rPr>
              <w:t>16</w:t>
            </w:r>
          </w:p>
        </w:tc>
      </w:tr>
      <w:tr>
        <w:trPr>
          <w:cantSplit/>
        </w:trPr>
        <w:tc>
          <w:tcPr>
            <w:tcW w:type="dxa" w:w="1247"/>
          </w:tcPr>
          <w:p>
            <w:pPr>
              <w:spacing w:after="40" w:line="240" w:lineRule="auto"/>
              <w:jc w:val="center"/>
            </w:pPr>
            <w:r/>
            <w:r>
              <w:rPr>
                <w:rFonts w:ascii="Times New Roman" w:hAnsi="Times New Roman"/>
                <w:sz w:val="22"/>
              </w:rPr>
              <w:t>5.2</w:t>
            </w:r>
          </w:p>
        </w:tc>
        <w:tc>
          <w:tcPr>
            <w:tcW w:type="dxa" w:w="6413"/>
          </w:tcPr>
          <w:p>
            <w:pPr>
              <w:spacing w:after="40" w:line="240" w:lineRule="auto"/>
              <w:jc w:val="left"/>
            </w:pPr>
            <w:r/>
            <w:r>
              <w:rPr>
                <w:rFonts w:ascii="Times New Roman" w:hAnsi="Times New Roman"/>
                <w:sz w:val="22"/>
              </w:rPr>
              <w:t>Walk-forward training and forecasting</w:t>
            </w:r>
          </w:p>
        </w:tc>
        <w:tc>
          <w:tcPr>
            <w:tcW w:type="dxa" w:w="1247"/>
          </w:tcPr>
          <w:p>
            <w:pPr>
              <w:spacing w:after="40" w:line="240" w:lineRule="auto"/>
              <w:jc w:val="center"/>
            </w:pPr>
            <w:r/>
            <w:r>
              <w:rPr>
                <w:rFonts w:ascii="Times New Roman" w:hAnsi="Times New Roman"/>
                <w:sz w:val="22"/>
              </w:rPr>
              <w:t>17</w:t>
            </w:r>
          </w:p>
        </w:tc>
      </w:tr>
      <w:tr>
        <w:trPr>
          <w:cantSplit/>
        </w:trPr>
        <w:tc>
          <w:tcPr>
            <w:tcW w:type="dxa" w:w="1247"/>
          </w:tcPr>
          <w:p>
            <w:pPr>
              <w:spacing w:after="40" w:line="240" w:lineRule="auto"/>
              <w:jc w:val="center"/>
            </w:pPr>
            <w:r/>
            <w:r>
              <w:rPr>
                <w:rFonts w:ascii="Times New Roman" w:hAnsi="Times New Roman"/>
                <w:sz w:val="22"/>
              </w:rPr>
              <w:t>5.3</w:t>
            </w:r>
          </w:p>
        </w:tc>
        <w:tc>
          <w:tcPr>
            <w:tcW w:type="dxa" w:w="6413"/>
          </w:tcPr>
          <w:p>
            <w:pPr>
              <w:spacing w:after="40" w:line="240" w:lineRule="auto"/>
              <w:jc w:val="left"/>
            </w:pPr>
            <w:r/>
            <w:r>
              <w:rPr>
                <w:rFonts w:ascii="Times New Roman" w:hAnsi="Times New Roman"/>
                <w:sz w:val="22"/>
              </w:rPr>
              <w:t>The five reliability checks and how each is measured</w:t>
            </w:r>
          </w:p>
        </w:tc>
        <w:tc>
          <w:tcPr>
            <w:tcW w:type="dxa" w:w="1247"/>
          </w:tcPr>
          <w:p>
            <w:pPr>
              <w:spacing w:after="40" w:line="240" w:lineRule="auto"/>
              <w:jc w:val="center"/>
            </w:pPr>
            <w:r/>
            <w:r>
              <w:rPr>
                <w:rFonts w:ascii="Times New Roman" w:hAnsi="Times New Roman"/>
                <w:sz w:val="22"/>
              </w:rPr>
              <w:t>18</w:t>
            </w:r>
          </w:p>
        </w:tc>
      </w:tr>
      <w:tr>
        <w:trPr>
          <w:cantSplit/>
        </w:trPr>
        <w:tc>
          <w:tcPr>
            <w:tcW w:type="dxa" w:w="1247"/>
          </w:tcPr>
          <w:p>
            <w:pPr>
              <w:spacing w:after="40" w:line="240" w:lineRule="auto"/>
              <w:jc w:val="center"/>
            </w:pPr>
            <w:r/>
            <w:r>
              <w:rPr>
                <w:rFonts w:ascii="Times New Roman" w:hAnsi="Times New Roman"/>
                <w:sz w:val="22"/>
              </w:rPr>
              <w:t>5.4</w:t>
            </w:r>
          </w:p>
        </w:tc>
        <w:tc>
          <w:tcPr>
            <w:tcW w:type="dxa" w:w="6413"/>
          </w:tcPr>
          <w:p>
            <w:pPr>
              <w:spacing w:after="40" w:line="240" w:lineRule="auto"/>
              <w:jc w:val="left"/>
            </w:pPr>
            <w:r/>
            <w:r>
              <w:rPr>
                <w:rFonts w:ascii="Times New Roman" w:hAnsi="Times New Roman"/>
                <w:sz w:val="22"/>
              </w:rPr>
              <w:t>Market regimes, fixed in advance</w:t>
            </w:r>
          </w:p>
        </w:tc>
        <w:tc>
          <w:tcPr>
            <w:tcW w:type="dxa" w:w="1247"/>
          </w:tcPr>
          <w:p>
            <w:pPr>
              <w:spacing w:after="40" w:line="240" w:lineRule="auto"/>
              <w:jc w:val="center"/>
            </w:pPr>
            <w:r/>
            <w:r>
              <w:rPr>
                <w:rFonts w:ascii="Times New Roman" w:hAnsi="Times New Roman"/>
                <w:sz w:val="22"/>
              </w:rPr>
              <w:t>18</w:t>
            </w:r>
          </w:p>
        </w:tc>
      </w:tr>
      <w:tr>
        <w:trPr>
          <w:cantSplit/>
        </w:trPr>
        <w:tc>
          <w:tcPr>
            <w:tcW w:type="dxa" w:w="1247"/>
          </w:tcPr>
          <w:p>
            <w:pPr>
              <w:spacing w:after="40" w:line="240" w:lineRule="auto"/>
              <w:jc w:val="center"/>
            </w:pPr>
            <w:r/>
            <w:r>
              <w:rPr>
                <w:rFonts w:ascii="Times New Roman" w:hAnsi="Times New Roman"/>
                <w:sz w:val="22"/>
              </w:rPr>
              <w:t>5.5</w:t>
            </w:r>
          </w:p>
        </w:tc>
        <w:tc>
          <w:tcPr>
            <w:tcW w:type="dxa" w:w="6413"/>
          </w:tcPr>
          <w:p>
            <w:pPr>
              <w:spacing w:after="40" w:line="240" w:lineRule="auto"/>
              <w:jc w:val="left"/>
            </w:pPr>
            <w:r/>
            <w:r>
              <w:rPr>
                <w:rFonts w:ascii="Times New Roman" w:hAnsi="Times New Roman"/>
                <w:sz w:val="22"/>
              </w:rPr>
              <w:t>Acceptance criteria and outcomes</w:t>
            </w:r>
          </w:p>
        </w:tc>
        <w:tc>
          <w:tcPr>
            <w:tcW w:type="dxa" w:w="1247"/>
          </w:tcPr>
          <w:p>
            <w:pPr>
              <w:spacing w:after="40" w:line="240" w:lineRule="auto"/>
              <w:jc w:val="center"/>
            </w:pPr>
            <w:r/>
            <w:r>
              <w:rPr>
                <w:rFonts w:ascii="Times New Roman" w:hAnsi="Times New Roman"/>
                <w:sz w:val="22"/>
              </w:rPr>
              <w:t>19</w:t>
            </w:r>
          </w:p>
        </w:tc>
      </w:tr>
      <w:tr>
        <w:trPr>
          <w:cantSplit/>
        </w:trPr>
        <w:tc>
          <w:tcPr>
            <w:tcW w:type="dxa" w:w="1247"/>
          </w:tcPr>
          <w:p>
            <w:pPr>
              <w:spacing w:after="40" w:line="240" w:lineRule="auto"/>
              <w:jc w:val="center"/>
            </w:pPr>
            <w:r/>
            <w:r>
              <w:rPr>
                <w:rFonts w:ascii="Times New Roman" w:hAnsi="Times New Roman"/>
                <w:sz w:val="22"/>
              </w:rPr>
              <w:t>6.1</w:t>
            </w:r>
          </w:p>
        </w:tc>
        <w:tc>
          <w:tcPr>
            <w:tcW w:type="dxa" w:w="6413"/>
          </w:tcPr>
          <w:p>
            <w:pPr>
              <w:spacing w:after="40" w:line="240" w:lineRule="auto"/>
              <w:jc w:val="left"/>
            </w:pPr>
            <w:r/>
            <w:r>
              <w:rPr>
                <w:rFonts w:ascii="Times New Roman" w:hAnsi="Times New Roman"/>
                <w:sz w:val="22"/>
              </w:rPr>
              <w:t>A representative live run, as of the close of 29 October 2026</w:t>
            </w:r>
          </w:p>
        </w:tc>
        <w:tc>
          <w:tcPr>
            <w:tcW w:type="dxa" w:w="1247"/>
          </w:tcPr>
          <w:p>
            <w:pPr>
              <w:spacing w:after="40" w:line="240" w:lineRule="auto"/>
              <w:jc w:val="center"/>
            </w:pPr>
            <w:r/>
            <w:r>
              <w:rPr>
                <w:rFonts w:ascii="Times New Roman" w:hAnsi="Times New Roman"/>
                <w:sz w:val="22"/>
              </w:rPr>
              <w:t>21</w:t>
            </w:r>
          </w:p>
        </w:tc>
      </w:tr>
      <w:tr>
        <w:trPr>
          <w:cantSplit/>
        </w:trPr>
        <w:tc>
          <w:tcPr>
            <w:tcW w:type="dxa" w:w="1247"/>
          </w:tcPr>
          <w:p>
            <w:pPr>
              <w:spacing w:after="40" w:line="240" w:lineRule="auto"/>
              <w:jc w:val="center"/>
            </w:pPr>
            <w:r/>
            <w:r>
              <w:rPr>
                <w:rFonts w:ascii="Times New Roman" w:hAnsi="Times New Roman"/>
                <w:sz w:val="22"/>
              </w:rPr>
              <w:t>6.2</w:t>
            </w:r>
          </w:p>
        </w:tc>
        <w:tc>
          <w:tcPr>
            <w:tcW w:type="dxa" w:w="6413"/>
          </w:tcPr>
          <w:p>
            <w:pPr>
              <w:spacing w:after="40" w:line="240" w:lineRule="auto"/>
              <w:jc w:val="left"/>
            </w:pPr>
            <w:r/>
            <w:r>
              <w:rPr>
                <w:rFonts w:ascii="Times New Roman" w:hAnsi="Times New Roman"/>
                <w:sz w:val="22"/>
              </w:rPr>
              <w:t>Endpoints exposed by the demonstration</w:t>
            </w:r>
          </w:p>
        </w:tc>
        <w:tc>
          <w:tcPr>
            <w:tcW w:type="dxa" w:w="1247"/>
          </w:tcPr>
          <w:p>
            <w:pPr>
              <w:spacing w:after="40" w:line="240" w:lineRule="auto"/>
              <w:jc w:val="center"/>
            </w:pPr>
            <w:r/>
            <w:r>
              <w:rPr>
                <w:rFonts w:ascii="Times New Roman" w:hAnsi="Times New Roman"/>
                <w:sz w:val="22"/>
              </w:rPr>
              <w:t>22</w:t>
            </w:r>
          </w:p>
        </w:tc>
      </w:tr>
      <w:tr>
        <w:trPr>
          <w:cantSplit/>
        </w:trPr>
        <w:tc>
          <w:tcPr>
            <w:tcW w:type="dxa" w:w="1247"/>
          </w:tcPr>
          <w:p>
            <w:pPr>
              <w:spacing w:after="40" w:line="240" w:lineRule="auto"/>
              <w:jc w:val="center"/>
            </w:pPr>
            <w:r/>
            <w:r>
              <w:rPr>
                <w:rFonts w:ascii="Times New Roman" w:hAnsi="Times New Roman"/>
                <w:sz w:val="22"/>
              </w:rPr>
              <w:t>7.1</w:t>
            </w:r>
          </w:p>
        </w:tc>
        <w:tc>
          <w:tcPr>
            <w:tcW w:type="dxa" w:w="6413"/>
          </w:tcPr>
          <w:p>
            <w:pPr>
              <w:spacing w:after="40" w:line="240" w:lineRule="auto"/>
              <w:jc w:val="left"/>
            </w:pPr>
            <w:r/>
            <w:r>
              <w:rPr>
                <w:rFonts w:ascii="Times New Roman" w:hAnsi="Times New Roman"/>
                <w:sz w:val="22"/>
              </w:rPr>
              <w:t>Return-space skill. One basis point is one hundredth of one per cent</w:t>
            </w:r>
          </w:p>
        </w:tc>
        <w:tc>
          <w:tcPr>
            <w:tcW w:type="dxa" w:w="1247"/>
          </w:tcPr>
          <w:p>
            <w:pPr>
              <w:spacing w:after="40" w:line="240" w:lineRule="auto"/>
              <w:jc w:val="center"/>
            </w:pPr>
            <w:r/>
            <w:r>
              <w:rPr>
                <w:rFonts w:ascii="Times New Roman" w:hAnsi="Times New Roman"/>
                <w:sz w:val="22"/>
              </w:rPr>
              <w:t>24</w:t>
            </w:r>
          </w:p>
        </w:tc>
      </w:tr>
      <w:tr>
        <w:trPr>
          <w:cantSplit/>
        </w:trPr>
        <w:tc>
          <w:tcPr>
            <w:tcW w:type="dxa" w:w="1247"/>
          </w:tcPr>
          <w:p>
            <w:pPr>
              <w:spacing w:after="40" w:line="240" w:lineRule="auto"/>
              <w:jc w:val="center"/>
            </w:pPr>
            <w:r/>
            <w:r>
              <w:rPr>
                <w:rFonts w:ascii="Times New Roman" w:hAnsi="Times New Roman"/>
                <w:sz w:val="22"/>
              </w:rPr>
              <w:t>7.2</w:t>
            </w:r>
          </w:p>
        </w:tc>
        <w:tc>
          <w:tcPr>
            <w:tcW w:type="dxa" w:w="6413"/>
          </w:tcPr>
          <w:p>
            <w:pPr>
              <w:spacing w:after="40" w:line="240" w:lineRule="auto"/>
              <w:jc w:val="left"/>
            </w:pPr>
            <w:r/>
            <w:r>
              <w:rPr>
                <w:rFonts w:ascii="Times New Roman" w:hAnsi="Times New Roman"/>
                <w:sz w:val="22"/>
              </w:rPr>
              <w:t>Price-space accuracy, the quantity usually reported in the literature</w:t>
            </w:r>
          </w:p>
        </w:tc>
        <w:tc>
          <w:tcPr>
            <w:tcW w:type="dxa" w:w="1247"/>
          </w:tcPr>
          <w:p>
            <w:pPr>
              <w:spacing w:after="40" w:line="240" w:lineRule="auto"/>
              <w:jc w:val="center"/>
            </w:pPr>
            <w:r/>
            <w:r>
              <w:rPr>
                <w:rFonts w:ascii="Times New Roman" w:hAnsi="Times New Roman"/>
                <w:sz w:val="22"/>
              </w:rPr>
              <w:t>25</w:t>
            </w:r>
          </w:p>
        </w:tc>
      </w:tr>
      <w:tr>
        <w:trPr>
          <w:cantSplit/>
        </w:trPr>
        <w:tc>
          <w:tcPr>
            <w:tcW w:type="dxa" w:w="1247"/>
          </w:tcPr>
          <w:p>
            <w:pPr>
              <w:spacing w:after="40" w:line="240" w:lineRule="auto"/>
              <w:jc w:val="center"/>
            </w:pPr>
            <w:r/>
            <w:r>
              <w:rPr>
                <w:rFonts w:ascii="Times New Roman" w:hAnsi="Times New Roman"/>
                <w:sz w:val="22"/>
              </w:rPr>
              <w:t>7.3</w:t>
            </w:r>
          </w:p>
        </w:tc>
        <w:tc>
          <w:tcPr>
            <w:tcW w:type="dxa" w:w="6413"/>
          </w:tcPr>
          <w:p>
            <w:pPr>
              <w:spacing w:after="40" w:line="240" w:lineRule="auto"/>
              <w:jc w:val="left"/>
            </w:pPr>
            <w:r/>
            <w:r>
              <w:rPr>
                <w:rFonts w:ascii="Times New Roman" w:hAnsi="Times New Roman"/>
                <w:sz w:val="22"/>
              </w:rPr>
              <w:t>The same model, two verdicts</w:t>
            </w:r>
          </w:p>
        </w:tc>
        <w:tc>
          <w:tcPr>
            <w:tcW w:type="dxa" w:w="1247"/>
          </w:tcPr>
          <w:p>
            <w:pPr>
              <w:spacing w:after="40" w:line="240" w:lineRule="auto"/>
              <w:jc w:val="center"/>
            </w:pPr>
            <w:r/>
            <w:r>
              <w:rPr>
                <w:rFonts w:ascii="Times New Roman" w:hAnsi="Times New Roman"/>
                <w:sz w:val="22"/>
              </w:rPr>
              <w:t>25</w:t>
            </w:r>
          </w:p>
        </w:tc>
      </w:tr>
      <w:tr>
        <w:trPr>
          <w:cantSplit/>
        </w:trPr>
        <w:tc>
          <w:tcPr>
            <w:tcW w:type="dxa" w:w="1247"/>
          </w:tcPr>
          <w:p>
            <w:pPr>
              <w:spacing w:after="40" w:line="240" w:lineRule="auto"/>
              <w:jc w:val="center"/>
            </w:pPr>
            <w:r/>
            <w:r>
              <w:rPr>
                <w:rFonts w:ascii="Times New Roman" w:hAnsi="Times New Roman"/>
                <w:sz w:val="22"/>
              </w:rPr>
              <w:t>7.4</w:t>
            </w:r>
          </w:p>
        </w:tc>
        <w:tc>
          <w:tcPr>
            <w:tcW w:type="dxa" w:w="6413"/>
          </w:tcPr>
          <w:p>
            <w:pPr>
              <w:spacing w:after="40" w:line="240" w:lineRule="auto"/>
              <w:jc w:val="left"/>
            </w:pPr>
            <w:r/>
            <w:r>
              <w:rPr>
                <w:rFonts w:ascii="Times New Roman" w:hAnsi="Times New Roman"/>
                <w:sz w:val="22"/>
              </w:rPr>
              <w:t>Mean actual next-day return by decile of predicted return, in basis points</w:t>
            </w:r>
          </w:p>
        </w:tc>
        <w:tc>
          <w:tcPr>
            <w:tcW w:type="dxa" w:w="1247"/>
          </w:tcPr>
          <w:p>
            <w:pPr>
              <w:spacing w:after="40" w:line="240" w:lineRule="auto"/>
              <w:jc w:val="center"/>
            </w:pPr>
            <w:r/>
            <w:r>
              <w:rPr>
                <w:rFonts w:ascii="Times New Roman" w:hAnsi="Times New Roman"/>
                <w:sz w:val="22"/>
              </w:rPr>
              <w:t>26</w:t>
            </w:r>
          </w:p>
        </w:tc>
      </w:tr>
      <w:tr>
        <w:trPr>
          <w:cantSplit/>
        </w:trPr>
        <w:tc>
          <w:tcPr>
            <w:tcW w:type="dxa" w:w="1247"/>
          </w:tcPr>
          <w:p>
            <w:pPr>
              <w:spacing w:after="40" w:line="240" w:lineRule="auto"/>
              <w:jc w:val="center"/>
            </w:pPr>
            <w:r/>
            <w:r>
              <w:rPr>
                <w:rFonts w:ascii="Times New Roman" w:hAnsi="Times New Roman"/>
                <w:sz w:val="22"/>
              </w:rPr>
              <w:t>7.5</w:t>
            </w:r>
          </w:p>
        </w:tc>
        <w:tc>
          <w:tcPr>
            <w:tcW w:type="dxa" w:w="6413"/>
          </w:tcPr>
          <w:p>
            <w:pPr>
              <w:spacing w:after="40" w:line="240" w:lineRule="auto"/>
              <w:jc w:val="left"/>
            </w:pPr>
            <w:r/>
            <w:r>
              <w:rPr>
                <w:rFonts w:ascii="Times New Roman" w:hAnsi="Times New Roman"/>
                <w:sz w:val="22"/>
              </w:rPr>
              <w:t>Skill by period and market regime</w:t>
            </w:r>
          </w:p>
        </w:tc>
        <w:tc>
          <w:tcPr>
            <w:tcW w:type="dxa" w:w="1247"/>
          </w:tcPr>
          <w:p>
            <w:pPr>
              <w:spacing w:after="40" w:line="240" w:lineRule="auto"/>
              <w:jc w:val="center"/>
            </w:pPr>
            <w:r/>
            <w:r>
              <w:rPr>
                <w:rFonts w:ascii="Times New Roman" w:hAnsi="Times New Roman"/>
                <w:sz w:val="22"/>
              </w:rPr>
              <w:t>27</w:t>
            </w:r>
          </w:p>
        </w:tc>
      </w:tr>
      <w:tr>
        <w:trPr>
          <w:cantSplit/>
        </w:trPr>
        <w:tc>
          <w:tcPr>
            <w:tcW w:type="dxa" w:w="1247"/>
          </w:tcPr>
          <w:p>
            <w:pPr>
              <w:spacing w:after="40" w:line="240" w:lineRule="auto"/>
              <w:jc w:val="center"/>
            </w:pPr>
            <w:r/>
            <w:r>
              <w:rPr>
                <w:rFonts w:ascii="Times New Roman" w:hAnsi="Times New Roman"/>
                <w:sz w:val="22"/>
              </w:rPr>
              <w:t>7.6</w:t>
            </w:r>
          </w:p>
        </w:tc>
        <w:tc>
          <w:tcPr>
            <w:tcW w:type="dxa" w:w="6413"/>
          </w:tcPr>
          <w:p>
            <w:pPr>
              <w:spacing w:after="40" w:line="240" w:lineRule="auto"/>
              <w:jc w:val="left"/>
            </w:pPr>
            <w:r/>
            <w:r>
              <w:rPr>
                <w:rFonts w:ascii="Times New Roman" w:hAnsi="Times New Roman"/>
                <w:sz w:val="22"/>
              </w:rPr>
              <w:t>Global feature importance, by mean absolute SHAP</w:t>
            </w:r>
          </w:p>
        </w:tc>
        <w:tc>
          <w:tcPr>
            <w:tcW w:type="dxa" w:w="1247"/>
          </w:tcPr>
          <w:p>
            <w:pPr>
              <w:spacing w:after="40" w:line="240" w:lineRule="auto"/>
              <w:jc w:val="center"/>
            </w:pPr>
            <w:r/>
            <w:r>
              <w:rPr>
                <w:rFonts w:ascii="Times New Roman" w:hAnsi="Times New Roman"/>
                <w:sz w:val="22"/>
              </w:rPr>
              <w:t>28</w:t>
            </w:r>
          </w:p>
        </w:tc>
      </w:tr>
      <w:tr>
        <w:trPr>
          <w:cantSplit/>
        </w:trPr>
        <w:tc>
          <w:tcPr>
            <w:tcW w:type="dxa" w:w="1247"/>
          </w:tcPr>
          <w:p>
            <w:pPr>
              <w:spacing w:after="40" w:line="240" w:lineRule="auto"/>
              <w:jc w:val="center"/>
            </w:pPr>
            <w:r/>
            <w:r>
              <w:rPr>
                <w:rFonts w:ascii="Times New Roman" w:hAnsi="Times New Roman"/>
                <w:sz w:val="22"/>
              </w:rPr>
              <w:t>7.7</w:t>
            </w:r>
          </w:p>
        </w:tc>
        <w:tc>
          <w:tcPr>
            <w:tcW w:type="dxa" w:w="6413"/>
          </w:tcPr>
          <w:p>
            <w:pPr>
              <w:spacing w:after="40" w:line="240" w:lineRule="auto"/>
              <w:jc w:val="left"/>
            </w:pPr>
            <w:r/>
            <w:r>
              <w:rPr>
                <w:rFonts w:ascii="Times New Roman" w:hAnsi="Times New Roman"/>
                <w:sz w:val="22"/>
              </w:rPr>
              <w:t>Faithfulness: forecast change when k features are removed</w:t>
            </w:r>
          </w:p>
        </w:tc>
        <w:tc>
          <w:tcPr>
            <w:tcW w:type="dxa" w:w="1247"/>
          </w:tcPr>
          <w:p>
            <w:pPr>
              <w:spacing w:after="40" w:line="240" w:lineRule="auto"/>
              <w:jc w:val="center"/>
            </w:pPr>
            <w:r/>
            <w:r>
              <w:rPr>
                <w:rFonts w:ascii="Times New Roman" w:hAnsi="Times New Roman"/>
                <w:sz w:val="22"/>
              </w:rPr>
              <w:t>30</w:t>
            </w:r>
          </w:p>
        </w:tc>
      </w:tr>
      <w:tr>
        <w:trPr>
          <w:cantSplit/>
        </w:trPr>
        <w:tc>
          <w:tcPr>
            <w:tcW w:type="dxa" w:w="1247"/>
          </w:tcPr>
          <w:p>
            <w:pPr>
              <w:spacing w:after="40" w:line="240" w:lineRule="auto"/>
              <w:jc w:val="center"/>
            </w:pPr>
            <w:r/>
            <w:r>
              <w:rPr>
                <w:rFonts w:ascii="Times New Roman" w:hAnsi="Times New Roman"/>
                <w:sz w:val="22"/>
              </w:rPr>
              <w:t>7.8</w:t>
            </w:r>
          </w:p>
        </w:tc>
        <w:tc>
          <w:tcPr>
            <w:tcW w:type="dxa" w:w="6413"/>
          </w:tcPr>
          <w:p>
            <w:pPr>
              <w:spacing w:after="40" w:line="240" w:lineRule="auto"/>
              <w:jc w:val="left"/>
            </w:pPr>
            <w:r/>
            <w:r>
              <w:rPr>
                <w:rFonts w:ascii="Times New Roman" w:hAnsi="Times New Roman"/>
                <w:sz w:val="22"/>
              </w:rPr>
              <w:t>Stability of the explanations</w:t>
            </w:r>
          </w:p>
        </w:tc>
        <w:tc>
          <w:tcPr>
            <w:tcW w:type="dxa" w:w="1247"/>
          </w:tcPr>
          <w:p>
            <w:pPr>
              <w:spacing w:after="40" w:line="240" w:lineRule="auto"/>
              <w:jc w:val="center"/>
            </w:pPr>
            <w:r/>
            <w:r>
              <w:rPr>
                <w:rFonts w:ascii="Times New Roman" w:hAnsi="Times New Roman"/>
                <w:sz w:val="22"/>
              </w:rPr>
              <w:t>31</w:t>
            </w:r>
          </w:p>
        </w:tc>
      </w:tr>
      <w:tr>
        <w:trPr>
          <w:cantSplit/>
        </w:trPr>
        <w:tc>
          <w:tcPr>
            <w:tcW w:type="dxa" w:w="1247"/>
          </w:tcPr>
          <w:p>
            <w:pPr>
              <w:spacing w:after="40" w:line="240" w:lineRule="auto"/>
              <w:jc w:val="center"/>
            </w:pPr>
            <w:r/>
            <w:r>
              <w:rPr>
                <w:rFonts w:ascii="Times New Roman" w:hAnsi="Times New Roman"/>
                <w:sz w:val="22"/>
              </w:rPr>
              <w:t>7.9</w:t>
            </w:r>
          </w:p>
        </w:tc>
        <w:tc>
          <w:tcPr>
            <w:tcW w:type="dxa" w:w="6413"/>
          </w:tcPr>
          <w:p>
            <w:pPr>
              <w:spacing w:after="40" w:line="240" w:lineRule="auto"/>
              <w:jc w:val="left"/>
            </w:pPr>
            <w:r/>
            <w:r>
              <w:rPr>
                <w:rFonts w:ascii="Times New Roman" w:hAnsi="Times New Roman"/>
                <w:sz w:val="22"/>
              </w:rPr>
              <w:t>Share of SHAP attribution by feature family across market regimes</w:t>
            </w:r>
          </w:p>
        </w:tc>
        <w:tc>
          <w:tcPr>
            <w:tcW w:type="dxa" w:w="1247"/>
          </w:tcPr>
          <w:p>
            <w:pPr>
              <w:spacing w:after="40" w:line="240" w:lineRule="auto"/>
              <w:jc w:val="center"/>
            </w:pPr>
            <w:r/>
            <w:r>
              <w:rPr>
                <w:rFonts w:ascii="Times New Roman" w:hAnsi="Times New Roman"/>
                <w:sz w:val="22"/>
              </w:rPr>
              <w:t>31</w:t>
            </w:r>
          </w:p>
        </w:tc>
      </w:tr>
      <w:tr>
        <w:trPr>
          <w:cantSplit/>
        </w:trPr>
        <w:tc>
          <w:tcPr>
            <w:tcW w:type="dxa" w:w="1247"/>
          </w:tcPr>
          <w:p>
            <w:pPr>
              <w:spacing w:after="40" w:line="240" w:lineRule="auto"/>
              <w:jc w:val="center"/>
            </w:pPr>
            <w:r/>
            <w:r>
              <w:rPr>
                <w:rFonts w:ascii="Times New Roman" w:hAnsi="Times New Roman"/>
                <w:sz w:val="22"/>
              </w:rPr>
              <w:t>7.10</w:t>
            </w:r>
          </w:p>
        </w:tc>
        <w:tc>
          <w:tcPr>
            <w:tcW w:type="dxa" w:w="6413"/>
          </w:tcPr>
          <w:p>
            <w:pPr>
              <w:spacing w:after="40" w:line="240" w:lineRule="auto"/>
              <w:jc w:val="left"/>
            </w:pPr>
            <w:r/>
            <w:r>
              <w:rPr>
                <w:rFonts w:ascii="Times New Roman" w:hAnsi="Times New Roman"/>
                <w:sz w:val="22"/>
              </w:rPr>
              <w:t>Comparison with models trained on shuffled labels</w:t>
            </w:r>
          </w:p>
        </w:tc>
        <w:tc>
          <w:tcPr>
            <w:tcW w:type="dxa" w:w="1247"/>
          </w:tcPr>
          <w:p>
            <w:pPr>
              <w:spacing w:after="40" w:line="240" w:lineRule="auto"/>
              <w:jc w:val="center"/>
            </w:pPr>
            <w:r/>
            <w:r>
              <w:rPr>
                <w:rFonts w:ascii="Times New Roman" w:hAnsi="Times New Roman"/>
                <w:sz w:val="22"/>
              </w:rPr>
              <w:t>32</w:t>
            </w:r>
          </w:p>
        </w:tc>
      </w:tr>
      <w:tr>
        <w:trPr>
          <w:cantSplit/>
        </w:trPr>
        <w:tc>
          <w:tcPr>
            <w:tcW w:type="dxa" w:w="1247"/>
          </w:tcPr>
          <w:p>
            <w:pPr>
              <w:spacing w:after="40" w:line="240" w:lineRule="auto"/>
              <w:jc w:val="center"/>
            </w:pPr>
            <w:r/>
            <w:r>
              <w:rPr>
                <w:rFonts w:ascii="Times New Roman" w:hAnsi="Times New Roman"/>
                <w:sz w:val="22"/>
              </w:rPr>
              <w:t>7.11</w:t>
            </w:r>
          </w:p>
        </w:tc>
        <w:tc>
          <w:tcPr>
            <w:tcW w:type="dxa" w:w="6413"/>
          </w:tcPr>
          <w:p>
            <w:pPr>
              <w:spacing w:after="40" w:line="240" w:lineRule="auto"/>
              <w:jc w:val="left"/>
            </w:pPr>
            <w:r/>
            <w:r>
              <w:rPr>
                <w:rFonts w:ascii="Times New Roman" w:hAnsi="Times New Roman"/>
                <w:sz w:val="22"/>
              </w:rPr>
              <w:t>Global agreement between four explainers, Kendall tau with top-5 overlap</w:t>
            </w:r>
          </w:p>
        </w:tc>
        <w:tc>
          <w:tcPr>
            <w:tcW w:type="dxa" w:w="1247"/>
          </w:tcPr>
          <w:p>
            <w:pPr>
              <w:spacing w:after="40" w:line="240" w:lineRule="auto"/>
              <w:jc w:val="center"/>
            </w:pPr>
            <w:r/>
            <w:r>
              <w:rPr>
                <w:rFonts w:ascii="Times New Roman" w:hAnsi="Times New Roman"/>
                <w:sz w:val="22"/>
              </w:rPr>
              <w:t>33</w:t>
            </w:r>
          </w:p>
        </w:tc>
      </w:tr>
      <w:tr>
        <w:trPr>
          <w:cantSplit/>
        </w:trPr>
        <w:tc>
          <w:tcPr>
            <w:tcW w:type="dxa" w:w="1247"/>
          </w:tcPr>
          <w:p>
            <w:pPr>
              <w:spacing w:after="40" w:line="240" w:lineRule="auto"/>
              <w:jc w:val="center"/>
            </w:pPr>
            <w:r/>
            <w:r>
              <w:rPr>
                <w:rFonts w:ascii="Times New Roman" w:hAnsi="Times New Roman"/>
                <w:sz w:val="22"/>
              </w:rPr>
              <w:t>7.12</w:t>
            </w:r>
          </w:p>
        </w:tc>
        <w:tc>
          <w:tcPr>
            <w:tcW w:type="dxa" w:w="6413"/>
          </w:tcPr>
          <w:p>
            <w:pPr>
              <w:spacing w:after="40" w:line="240" w:lineRule="auto"/>
              <w:jc w:val="left"/>
            </w:pPr>
            <w:r/>
            <w:r>
              <w:rPr>
                <w:rFonts w:ascii="Times New Roman" w:hAnsi="Times New Roman"/>
                <w:sz w:val="22"/>
              </w:rPr>
              <w:t>Reliability for individual forecasts, over 804 stock-days with five LIME seeds each</w:t>
            </w:r>
          </w:p>
        </w:tc>
        <w:tc>
          <w:tcPr>
            <w:tcW w:type="dxa" w:w="1247"/>
          </w:tcPr>
          <w:p>
            <w:pPr>
              <w:spacing w:after="40" w:line="240" w:lineRule="auto"/>
              <w:jc w:val="center"/>
            </w:pPr>
            <w:r/>
            <w:r>
              <w:rPr>
                <w:rFonts w:ascii="Times New Roman" w:hAnsi="Times New Roman"/>
                <w:sz w:val="22"/>
              </w:rPr>
              <w:t>33</w:t>
            </w:r>
          </w:p>
        </w:tc>
      </w:tr>
    </w:tbl>
    <w:p>
      <w:pPr>
        <w:keepNext w:val="0"/>
        <w:spacing w:line="276" w:lineRule="auto" w:after="80"/>
        <w:jc w:val="both"/>
      </w:pPr>
    </w:p>
    <w:p>
      <w:r>
        <w:br w:type="page"/>
      </w:r>
    </w:p>
    <w:p>
      <w:pPr>
        <w:keepNext w:val="0"/>
        <w:spacing w:line="360" w:lineRule="auto" w:after="320"/>
        <w:jc w:val="center"/>
      </w:pPr>
      <w:r>
        <w:rPr>
          <w:rFonts w:ascii="Times New Roman" w:hAnsi="Times New Roman"/>
          <w:b/>
          <w:i w:val="0"/>
          <w:sz w:val="32"/>
        </w:rPr>
        <w:t>LIST OF ABBREVIATIONS</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2278"/>
        <w:gridCol w:w="6628"/>
      </w:tblGrid>
      <w:tr>
        <w:trPr>
          <w:cantSplit/>
          <w:tblHeader/>
        </w:trPr>
        <w:tc>
          <w:tcPr>
            <w:tcW w:type="dxa" w:w="2278"/>
            <w:shd w:val="clear" w:color="auto" w:fill="D9E2F3"/>
          </w:tcPr>
          <w:p>
            <w:pPr>
              <w:spacing w:after="40" w:line="240" w:lineRule="auto"/>
              <w:jc w:val="center"/>
            </w:pPr>
            <w:r/>
            <w:r>
              <w:rPr>
                <w:rFonts w:ascii="Times New Roman" w:hAnsi="Times New Roman"/>
                <w:b/>
                <w:sz w:val="22"/>
              </w:rPr>
              <w:t>Abbreviation</w:t>
            </w:r>
          </w:p>
        </w:tc>
        <w:tc>
          <w:tcPr>
            <w:tcW w:type="dxa" w:w="6628"/>
            <w:shd w:val="clear" w:color="auto" w:fill="D9E2F3"/>
          </w:tcPr>
          <w:p>
            <w:pPr>
              <w:spacing w:after="40" w:line="240" w:lineRule="auto"/>
              <w:jc w:val="center"/>
            </w:pPr>
            <w:r/>
            <w:r>
              <w:rPr>
                <w:rFonts w:ascii="Times New Roman" w:hAnsi="Times New Roman"/>
                <w:b/>
                <w:sz w:val="22"/>
              </w:rPr>
              <w:t>Expansion</w:t>
            </w:r>
          </w:p>
        </w:tc>
      </w:tr>
      <w:tr>
        <w:trPr>
          <w:cantSplit/>
        </w:trPr>
        <w:tc>
          <w:tcPr>
            <w:tcW w:type="dxa" w:w="2278"/>
          </w:tcPr>
          <w:p>
            <w:pPr>
              <w:spacing w:after="40" w:line="240" w:lineRule="auto"/>
              <w:jc w:val="left"/>
            </w:pPr>
            <w:r/>
            <w:r>
              <w:rPr>
                <w:rFonts w:ascii="Times New Roman" w:hAnsi="Times New Roman"/>
                <w:sz w:val="22"/>
              </w:rPr>
              <w:t>AOPC</w:t>
            </w:r>
          </w:p>
        </w:tc>
        <w:tc>
          <w:tcPr>
            <w:tcW w:type="dxa" w:w="6628"/>
          </w:tcPr>
          <w:p>
            <w:pPr>
              <w:spacing w:after="40" w:line="240" w:lineRule="auto"/>
              <w:jc w:val="left"/>
            </w:pPr>
            <w:r/>
            <w:r>
              <w:rPr>
                <w:rFonts w:ascii="Times New Roman" w:hAnsi="Times New Roman"/>
                <w:sz w:val="22"/>
              </w:rPr>
              <w:t>Area Over the Perturbation Curve</w:t>
            </w:r>
          </w:p>
        </w:tc>
      </w:tr>
      <w:tr>
        <w:trPr>
          <w:cantSplit/>
        </w:trPr>
        <w:tc>
          <w:tcPr>
            <w:tcW w:type="dxa" w:w="2278"/>
          </w:tcPr>
          <w:p>
            <w:pPr>
              <w:spacing w:after="40" w:line="240" w:lineRule="auto"/>
              <w:jc w:val="left"/>
            </w:pPr>
            <w:r/>
            <w:r>
              <w:rPr>
                <w:rFonts w:ascii="Times New Roman" w:hAnsi="Times New Roman"/>
                <w:sz w:val="22"/>
              </w:rPr>
              <w:t>API</w:t>
            </w:r>
          </w:p>
        </w:tc>
        <w:tc>
          <w:tcPr>
            <w:tcW w:type="dxa" w:w="6628"/>
          </w:tcPr>
          <w:p>
            <w:pPr>
              <w:spacing w:after="40" w:line="240" w:lineRule="auto"/>
              <w:jc w:val="left"/>
            </w:pPr>
            <w:r/>
            <w:r>
              <w:rPr>
                <w:rFonts w:ascii="Times New Roman" w:hAnsi="Times New Roman"/>
                <w:sz w:val="22"/>
              </w:rPr>
              <w:t>Application Programming Interface</w:t>
            </w:r>
          </w:p>
        </w:tc>
      </w:tr>
      <w:tr>
        <w:trPr>
          <w:cantSplit/>
        </w:trPr>
        <w:tc>
          <w:tcPr>
            <w:tcW w:type="dxa" w:w="2278"/>
          </w:tcPr>
          <w:p>
            <w:pPr>
              <w:spacing w:after="40" w:line="240" w:lineRule="auto"/>
              <w:jc w:val="left"/>
            </w:pPr>
            <w:r/>
            <w:r>
              <w:rPr>
                <w:rFonts w:ascii="Times New Roman" w:hAnsi="Times New Roman"/>
                <w:sz w:val="22"/>
              </w:rPr>
              <w:t>ATR</w:t>
            </w:r>
          </w:p>
        </w:tc>
        <w:tc>
          <w:tcPr>
            <w:tcW w:type="dxa" w:w="6628"/>
          </w:tcPr>
          <w:p>
            <w:pPr>
              <w:spacing w:after="40" w:line="240" w:lineRule="auto"/>
              <w:jc w:val="left"/>
            </w:pPr>
            <w:r/>
            <w:r>
              <w:rPr>
                <w:rFonts w:ascii="Times New Roman" w:hAnsi="Times New Roman"/>
                <w:sz w:val="22"/>
              </w:rPr>
              <w:t>Average True Range</w:t>
            </w:r>
          </w:p>
        </w:tc>
      </w:tr>
      <w:tr>
        <w:trPr>
          <w:cantSplit/>
        </w:trPr>
        <w:tc>
          <w:tcPr>
            <w:tcW w:type="dxa" w:w="2278"/>
          </w:tcPr>
          <w:p>
            <w:pPr>
              <w:spacing w:after="40" w:line="240" w:lineRule="auto"/>
              <w:jc w:val="left"/>
            </w:pPr>
            <w:r/>
            <w:r>
              <w:rPr>
                <w:rFonts w:ascii="Times New Roman" w:hAnsi="Times New Roman"/>
                <w:sz w:val="22"/>
              </w:rPr>
              <w:t>AUC</w:t>
            </w:r>
          </w:p>
        </w:tc>
        <w:tc>
          <w:tcPr>
            <w:tcW w:type="dxa" w:w="6628"/>
          </w:tcPr>
          <w:p>
            <w:pPr>
              <w:spacing w:after="40" w:line="240" w:lineRule="auto"/>
              <w:jc w:val="left"/>
            </w:pPr>
            <w:r/>
            <w:r>
              <w:rPr>
                <w:rFonts w:ascii="Times New Roman" w:hAnsi="Times New Roman"/>
                <w:sz w:val="22"/>
              </w:rPr>
              <w:t>Area Under the Receiver Operating Characteristic Curve</w:t>
            </w:r>
          </w:p>
        </w:tc>
      </w:tr>
      <w:tr>
        <w:trPr>
          <w:cantSplit/>
        </w:trPr>
        <w:tc>
          <w:tcPr>
            <w:tcW w:type="dxa" w:w="2278"/>
          </w:tcPr>
          <w:p>
            <w:pPr>
              <w:spacing w:after="40" w:line="240" w:lineRule="auto"/>
              <w:jc w:val="left"/>
            </w:pPr>
            <w:r/>
            <w:r>
              <w:rPr>
                <w:rFonts w:ascii="Times New Roman" w:hAnsi="Times New Roman"/>
                <w:sz w:val="22"/>
              </w:rPr>
              <w:t>bp</w:t>
            </w:r>
          </w:p>
        </w:tc>
        <w:tc>
          <w:tcPr>
            <w:tcW w:type="dxa" w:w="6628"/>
          </w:tcPr>
          <w:p>
            <w:pPr>
              <w:spacing w:after="40" w:line="240" w:lineRule="auto"/>
              <w:jc w:val="left"/>
            </w:pPr>
            <w:r/>
            <w:r>
              <w:rPr>
                <w:rFonts w:ascii="Times New Roman" w:hAnsi="Times New Roman"/>
                <w:sz w:val="22"/>
              </w:rPr>
              <w:t>Basis Point (one hundredth of one per cent)</w:t>
            </w:r>
          </w:p>
        </w:tc>
      </w:tr>
      <w:tr>
        <w:trPr>
          <w:cantSplit/>
        </w:trPr>
        <w:tc>
          <w:tcPr>
            <w:tcW w:type="dxa" w:w="2278"/>
          </w:tcPr>
          <w:p>
            <w:pPr>
              <w:spacing w:after="40" w:line="240" w:lineRule="auto"/>
              <w:jc w:val="left"/>
            </w:pPr>
            <w:r/>
            <w:r>
              <w:rPr>
                <w:rFonts w:ascii="Times New Roman" w:hAnsi="Times New Roman"/>
                <w:sz w:val="22"/>
              </w:rPr>
              <w:t>CSV</w:t>
            </w:r>
          </w:p>
        </w:tc>
        <w:tc>
          <w:tcPr>
            <w:tcW w:type="dxa" w:w="6628"/>
          </w:tcPr>
          <w:p>
            <w:pPr>
              <w:spacing w:after="40" w:line="240" w:lineRule="auto"/>
              <w:jc w:val="left"/>
            </w:pPr>
            <w:r/>
            <w:r>
              <w:rPr>
                <w:rFonts w:ascii="Times New Roman" w:hAnsi="Times New Roman"/>
                <w:sz w:val="22"/>
              </w:rPr>
              <w:t>Comma-Separated Values</w:t>
            </w:r>
          </w:p>
        </w:tc>
      </w:tr>
      <w:tr>
        <w:trPr>
          <w:cantSplit/>
        </w:trPr>
        <w:tc>
          <w:tcPr>
            <w:tcW w:type="dxa" w:w="2278"/>
          </w:tcPr>
          <w:p>
            <w:pPr>
              <w:spacing w:after="40" w:line="240" w:lineRule="auto"/>
              <w:jc w:val="left"/>
            </w:pPr>
            <w:r/>
            <w:r>
              <w:rPr>
                <w:rFonts w:ascii="Times New Roman" w:hAnsi="Times New Roman"/>
                <w:sz w:val="22"/>
              </w:rPr>
              <w:t>DFD</w:t>
            </w:r>
          </w:p>
        </w:tc>
        <w:tc>
          <w:tcPr>
            <w:tcW w:type="dxa" w:w="6628"/>
          </w:tcPr>
          <w:p>
            <w:pPr>
              <w:spacing w:after="40" w:line="240" w:lineRule="auto"/>
              <w:jc w:val="left"/>
            </w:pPr>
            <w:r/>
            <w:r>
              <w:rPr>
                <w:rFonts w:ascii="Times New Roman" w:hAnsi="Times New Roman"/>
                <w:sz w:val="22"/>
              </w:rPr>
              <w:t>Data-Flow Diagram</w:t>
            </w:r>
          </w:p>
        </w:tc>
      </w:tr>
      <w:tr>
        <w:trPr>
          <w:cantSplit/>
        </w:trPr>
        <w:tc>
          <w:tcPr>
            <w:tcW w:type="dxa" w:w="2278"/>
          </w:tcPr>
          <w:p>
            <w:pPr>
              <w:spacing w:after="40" w:line="240" w:lineRule="auto"/>
              <w:jc w:val="left"/>
            </w:pPr>
            <w:r/>
            <w:r>
              <w:rPr>
                <w:rFonts w:ascii="Times New Roman" w:hAnsi="Times New Roman"/>
                <w:sz w:val="22"/>
              </w:rPr>
              <w:t>DM</w:t>
            </w:r>
          </w:p>
        </w:tc>
        <w:tc>
          <w:tcPr>
            <w:tcW w:type="dxa" w:w="6628"/>
          </w:tcPr>
          <w:p>
            <w:pPr>
              <w:spacing w:after="40" w:line="240" w:lineRule="auto"/>
              <w:jc w:val="left"/>
            </w:pPr>
            <w:r/>
            <w:r>
              <w:rPr>
                <w:rFonts w:ascii="Times New Roman" w:hAnsi="Times New Roman"/>
                <w:sz w:val="22"/>
              </w:rPr>
              <w:t>Diebold-Mariano (test of equal predictive accuracy)</w:t>
            </w:r>
          </w:p>
        </w:tc>
      </w:tr>
      <w:tr>
        <w:trPr>
          <w:cantSplit/>
        </w:trPr>
        <w:tc>
          <w:tcPr>
            <w:tcW w:type="dxa" w:w="2278"/>
          </w:tcPr>
          <w:p>
            <w:pPr>
              <w:spacing w:after="40" w:line="240" w:lineRule="auto"/>
              <w:jc w:val="left"/>
            </w:pPr>
            <w:r/>
            <w:r>
              <w:rPr>
                <w:rFonts w:ascii="Times New Roman" w:hAnsi="Times New Roman"/>
                <w:sz w:val="22"/>
              </w:rPr>
              <w:t>GICS</w:t>
            </w:r>
          </w:p>
        </w:tc>
        <w:tc>
          <w:tcPr>
            <w:tcW w:type="dxa" w:w="6628"/>
          </w:tcPr>
          <w:p>
            <w:pPr>
              <w:spacing w:after="40" w:line="240" w:lineRule="auto"/>
              <w:jc w:val="left"/>
            </w:pPr>
            <w:r/>
            <w:r>
              <w:rPr>
                <w:rFonts w:ascii="Times New Roman" w:hAnsi="Times New Roman"/>
                <w:sz w:val="22"/>
              </w:rPr>
              <w:t>Global Industry Classification Standard</w:t>
            </w:r>
          </w:p>
        </w:tc>
      </w:tr>
      <w:tr>
        <w:trPr>
          <w:cantSplit/>
        </w:trPr>
        <w:tc>
          <w:tcPr>
            <w:tcW w:type="dxa" w:w="2278"/>
          </w:tcPr>
          <w:p>
            <w:pPr>
              <w:spacing w:after="40" w:line="240" w:lineRule="auto"/>
              <w:jc w:val="left"/>
            </w:pPr>
            <w:r/>
            <w:r>
              <w:rPr>
                <w:rFonts w:ascii="Times New Roman" w:hAnsi="Times New Roman"/>
                <w:sz w:val="22"/>
              </w:rPr>
              <w:t>HAC</w:t>
            </w:r>
          </w:p>
        </w:tc>
        <w:tc>
          <w:tcPr>
            <w:tcW w:type="dxa" w:w="6628"/>
          </w:tcPr>
          <w:p>
            <w:pPr>
              <w:spacing w:after="40" w:line="240" w:lineRule="auto"/>
              <w:jc w:val="left"/>
            </w:pPr>
            <w:r/>
            <w:r>
              <w:rPr>
                <w:rFonts w:ascii="Times New Roman" w:hAnsi="Times New Roman"/>
                <w:sz w:val="22"/>
              </w:rPr>
              <w:t>Heteroskedasticity and Autocorrelation Consistent</w:t>
            </w:r>
          </w:p>
        </w:tc>
      </w:tr>
      <w:tr>
        <w:trPr>
          <w:cantSplit/>
        </w:trPr>
        <w:tc>
          <w:tcPr>
            <w:tcW w:type="dxa" w:w="2278"/>
          </w:tcPr>
          <w:p>
            <w:pPr>
              <w:spacing w:after="40" w:line="240" w:lineRule="auto"/>
              <w:jc w:val="left"/>
            </w:pPr>
            <w:r/>
            <w:r>
              <w:rPr>
                <w:rFonts w:ascii="Times New Roman" w:hAnsi="Times New Roman"/>
                <w:sz w:val="22"/>
              </w:rPr>
              <w:t>IC</w:t>
            </w:r>
          </w:p>
        </w:tc>
        <w:tc>
          <w:tcPr>
            <w:tcW w:type="dxa" w:w="6628"/>
          </w:tcPr>
          <w:p>
            <w:pPr>
              <w:spacing w:after="40" w:line="240" w:lineRule="auto"/>
              <w:jc w:val="left"/>
            </w:pPr>
            <w:r/>
            <w:r>
              <w:rPr>
                <w:rFonts w:ascii="Times New Roman" w:hAnsi="Times New Roman"/>
                <w:sz w:val="22"/>
              </w:rPr>
              <w:t>Information Coefficient</w:t>
            </w:r>
          </w:p>
        </w:tc>
      </w:tr>
      <w:tr>
        <w:trPr>
          <w:cantSplit/>
        </w:trPr>
        <w:tc>
          <w:tcPr>
            <w:tcW w:type="dxa" w:w="2278"/>
          </w:tcPr>
          <w:p>
            <w:pPr>
              <w:spacing w:after="40" w:line="240" w:lineRule="auto"/>
              <w:jc w:val="left"/>
            </w:pPr>
            <w:r/>
            <w:r>
              <w:rPr>
                <w:rFonts w:ascii="Times New Roman" w:hAnsi="Times New Roman"/>
                <w:sz w:val="22"/>
              </w:rPr>
              <w:t>ICIR</w:t>
            </w:r>
          </w:p>
        </w:tc>
        <w:tc>
          <w:tcPr>
            <w:tcW w:type="dxa" w:w="6628"/>
          </w:tcPr>
          <w:p>
            <w:pPr>
              <w:spacing w:after="40" w:line="240" w:lineRule="auto"/>
              <w:jc w:val="left"/>
            </w:pPr>
            <w:r/>
            <w:r>
              <w:rPr>
                <w:rFonts w:ascii="Times New Roman" w:hAnsi="Times New Roman"/>
                <w:sz w:val="22"/>
              </w:rPr>
              <w:t>Information Coefficient Information Ratio</w:t>
            </w:r>
          </w:p>
        </w:tc>
      </w:tr>
      <w:tr>
        <w:trPr>
          <w:cantSplit/>
        </w:trPr>
        <w:tc>
          <w:tcPr>
            <w:tcW w:type="dxa" w:w="2278"/>
          </w:tcPr>
          <w:p>
            <w:pPr>
              <w:spacing w:after="40" w:line="240" w:lineRule="auto"/>
              <w:jc w:val="left"/>
            </w:pPr>
            <w:r/>
            <w:r>
              <w:rPr>
                <w:rFonts w:ascii="Times New Roman" w:hAnsi="Times New Roman"/>
                <w:sz w:val="22"/>
              </w:rPr>
              <w:t>JSON</w:t>
            </w:r>
          </w:p>
        </w:tc>
        <w:tc>
          <w:tcPr>
            <w:tcW w:type="dxa" w:w="6628"/>
          </w:tcPr>
          <w:p>
            <w:pPr>
              <w:spacing w:after="40" w:line="240" w:lineRule="auto"/>
              <w:jc w:val="left"/>
            </w:pPr>
            <w:r/>
            <w:r>
              <w:rPr>
                <w:rFonts w:ascii="Times New Roman" w:hAnsi="Times New Roman"/>
                <w:sz w:val="22"/>
              </w:rPr>
              <w:t>JavaScript Object Notation</w:t>
            </w:r>
          </w:p>
        </w:tc>
      </w:tr>
      <w:tr>
        <w:trPr>
          <w:cantSplit/>
        </w:trPr>
        <w:tc>
          <w:tcPr>
            <w:tcW w:type="dxa" w:w="2278"/>
          </w:tcPr>
          <w:p>
            <w:pPr>
              <w:spacing w:after="40" w:line="240" w:lineRule="auto"/>
              <w:jc w:val="left"/>
            </w:pPr>
            <w:r/>
            <w:r>
              <w:rPr>
                <w:rFonts w:ascii="Times New Roman" w:hAnsi="Times New Roman"/>
                <w:sz w:val="22"/>
              </w:rPr>
              <w:t>LIME</w:t>
            </w:r>
          </w:p>
        </w:tc>
        <w:tc>
          <w:tcPr>
            <w:tcW w:type="dxa" w:w="6628"/>
          </w:tcPr>
          <w:p>
            <w:pPr>
              <w:spacing w:after="40" w:line="240" w:lineRule="auto"/>
              <w:jc w:val="left"/>
            </w:pPr>
            <w:r/>
            <w:r>
              <w:rPr>
                <w:rFonts w:ascii="Times New Roman" w:hAnsi="Times New Roman"/>
                <w:sz w:val="22"/>
              </w:rPr>
              <w:t>Local Interpretable Model-agnostic Explanations</w:t>
            </w:r>
          </w:p>
        </w:tc>
      </w:tr>
      <w:tr>
        <w:trPr>
          <w:cantSplit/>
        </w:trPr>
        <w:tc>
          <w:tcPr>
            <w:tcW w:type="dxa" w:w="2278"/>
          </w:tcPr>
          <w:p>
            <w:pPr>
              <w:spacing w:after="40" w:line="240" w:lineRule="auto"/>
              <w:jc w:val="left"/>
            </w:pPr>
            <w:r/>
            <w:r>
              <w:rPr>
                <w:rFonts w:ascii="Times New Roman" w:hAnsi="Times New Roman"/>
                <w:sz w:val="22"/>
              </w:rPr>
              <w:t>MACD</w:t>
            </w:r>
          </w:p>
        </w:tc>
        <w:tc>
          <w:tcPr>
            <w:tcW w:type="dxa" w:w="6628"/>
          </w:tcPr>
          <w:p>
            <w:pPr>
              <w:spacing w:after="40" w:line="240" w:lineRule="auto"/>
              <w:jc w:val="left"/>
            </w:pPr>
            <w:r/>
            <w:r>
              <w:rPr>
                <w:rFonts w:ascii="Times New Roman" w:hAnsi="Times New Roman"/>
                <w:sz w:val="22"/>
              </w:rPr>
              <w:t>Moving Average Convergence Divergence</w:t>
            </w:r>
          </w:p>
        </w:tc>
      </w:tr>
      <w:tr>
        <w:trPr>
          <w:cantSplit/>
        </w:trPr>
        <w:tc>
          <w:tcPr>
            <w:tcW w:type="dxa" w:w="2278"/>
          </w:tcPr>
          <w:p>
            <w:pPr>
              <w:spacing w:after="40" w:line="240" w:lineRule="auto"/>
              <w:jc w:val="left"/>
            </w:pPr>
            <w:r/>
            <w:r>
              <w:rPr>
                <w:rFonts w:ascii="Times New Roman" w:hAnsi="Times New Roman"/>
                <w:sz w:val="22"/>
              </w:rPr>
              <w:t>MAE</w:t>
            </w:r>
          </w:p>
        </w:tc>
        <w:tc>
          <w:tcPr>
            <w:tcW w:type="dxa" w:w="6628"/>
          </w:tcPr>
          <w:p>
            <w:pPr>
              <w:spacing w:after="40" w:line="240" w:lineRule="auto"/>
              <w:jc w:val="left"/>
            </w:pPr>
            <w:r/>
            <w:r>
              <w:rPr>
                <w:rFonts w:ascii="Times New Roman" w:hAnsi="Times New Roman"/>
                <w:sz w:val="22"/>
              </w:rPr>
              <w:t>Mean Absolute Error</w:t>
            </w:r>
          </w:p>
        </w:tc>
      </w:tr>
      <w:tr>
        <w:trPr>
          <w:cantSplit/>
        </w:trPr>
        <w:tc>
          <w:tcPr>
            <w:tcW w:type="dxa" w:w="2278"/>
          </w:tcPr>
          <w:p>
            <w:pPr>
              <w:spacing w:after="40" w:line="240" w:lineRule="auto"/>
              <w:jc w:val="left"/>
            </w:pPr>
            <w:r/>
            <w:r>
              <w:rPr>
                <w:rFonts w:ascii="Times New Roman" w:hAnsi="Times New Roman"/>
                <w:sz w:val="22"/>
              </w:rPr>
              <w:t>MAPE</w:t>
            </w:r>
          </w:p>
        </w:tc>
        <w:tc>
          <w:tcPr>
            <w:tcW w:type="dxa" w:w="6628"/>
          </w:tcPr>
          <w:p>
            <w:pPr>
              <w:spacing w:after="40" w:line="240" w:lineRule="auto"/>
              <w:jc w:val="left"/>
            </w:pPr>
            <w:r/>
            <w:r>
              <w:rPr>
                <w:rFonts w:ascii="Times New Roman" w:hAnsi="Times New Roman"/>
                <w:sz w:val="22"/>
              </w:rPr>
              <w:t>Mean Absolute Percentage Error</w:t>
            </w:r>
          </w:p>
        </w:tc>
      </w:tr>
      <w:tr>
        <w:trPr>
          <w:cantSplit/>
        </w:trPr>
        <w:tc>
          <w:tcPr>
            <w:tcW w:type="dxa" w:w="2278"/>
          </w:tcPr>
          <w:p>
            <w:pPr>
              <w:spacing w:after="40" w:line="240" w:lineRule="auto"/>
              <w:jc w:val="left"/>
            </w:pPr>
            <w:r/>
            <w:r>
              <w:rPr>
                <w:rFonts w:ascii="Times New Roman" w:hAnsi="Times New Roman"/>
                <w:sz w:val="22"/>
              </w:rPr>
              <w:t>MDI</w:t>
            </w:r>
          </w:p>
        </w:tc>
        <w:tc>
          <w:tcPr>
            <w:tcW w:type="dxa" w:w="6628"/>
          </w:tcPr>
          <w:p>
            <w:pPr>
              <w:spacing w:after="40" w:line="240" w:lineRule="auto"/>
              <w:jc w:val="left"/>
            </w:pPr>
            <w:r/>
            <w:r>
              <w:rPr>
                <w:rFonts w:ascii="Times New Roman" w:hAnsi="Times New Roman"/>
                <w:sz w:val="22"/>
              </w:rPr>
              <w:t>Mean Decrease in Impurity</w:t>
            </w:r>
          </w:p>
        </w:tc>
      </w:tr>
      <w:tr>
        <w:trPr>
          <w:cantSplit/>
        </w:trPr>
        <w:tc>
          <w:tcPr>
            <w:tcW w:type="dxa" w:w="2278"/>
          </w:tcPr>
          <w:p>
            <w:pPr>
              <w:spacing w:after="40" w:line="240" w:lineRule="auto"/>
              <w:jc w:val="left"/>
            </w:pPr>
            <w:r/>
            <w:r>
              <w:rPr>
                <w:rFonts w:ascii="Times New Roman" w:hAnsi="Times New Roman"/>
                <w:sz w:val="22"/>
              </w:rPr>
              <w:t>MSE</w:t>
            </w:r>
          </w:p>
        </w:tc>
        <w:tc>
          <w:tcPr>
            <w:tcW w:type="dxa" w:w="6628"/>
          </w:tcPr>
          <w:p>
            <w:pPr>
              <w:spacing w:after="40" w:line="240" w:lineRule="auto"/>
              <w:jc w:val="left"/>
            </w:pPr>
            <w:r/>
            <w:r>
              <w:rPr>
                <w:rFonts w:ascii="Times New Roman" w:hAnsi="Times New Roman"/>
                <w:sz w:val="22"/>
              </w:rPr>
              <w:t>Mean Squared Error</w:t>
            </w:r>
          </w:p>
        </w:tc>
      </w:tr>
      <w:tr>
        <w:trPr>
          <w:cantSplit/>
        </w:trPr>
        <w:tc>
          <w:tcPr>
            <w:tcW w:type="dxa" w:w="2278"/>
          </w:tcPr>
          <w:p>
            <w:pPr>
              <w:spacing w:after="40" w:line="240" w:lineRule="auto"/>
              <w:jc w:val="left"/>
            </w:pPr>
            <w:r/>
            <w:r>
              <w:rPr>
                <w:rFonts w:ascii="Times New Roman" w:hAnsi="Times New Roman"/>
                <w:sz w:val="22"/>
              </w:rPr>
              <w:t>OHLCV</w:t>
            </w:r>
          </w:p>
        </w:tc>
        <w:tc>
          <w:tcPr>
            <w:tcW w:type="dxa" w:w="6628"/>
          </w:tcPr>
          <w:p>
            <w:pPr>
              <w:spacing w:after="40" w:line="240" w:lineRule="auto"/>
              <w:jc w:val="left"/>
            </w:pPr>
            <w:r/>
            <w:r>
              <w:rPr>
                <w:rFonts w:ascii="Times New Roman" w:hAnsi="Times New Roman"/>
                <w:sz w:val="22"/>
              </w:rPr>
              <w:t>Open, High, Low, Close, Volume</w:t>
            </w:r>
          </w:p>
        </w:tc>
      </w:tr>
      <w:tr>
        <w:trPr>
          <w:cantSplit/>
        </w:trPr>
        <w:tc>
          <w:tcPr>
            <w:tcW w:type="dxa" w:w="2278"/>
          </w:tcPr>
          <w:p>
            <w:pPr>
              <w:spacing w:after="40" w:line="240" w:lineRule="auto"/>
              <w:jc w:val="left"/>
            </w:pPr>
            <w:r/>
            <w:r>
              <w:rPr>
                <w:rFonts w:ascii="Times New Roman" w:hAnsi="Times New Roman"/>
                <w:sz w:val="22"/>
              </w:rPr>
              <w:t>RF</w:t>
            </w:r>
          </w:p>
        </w:tc>
        <w:tc>
          <w:tcPr>
            <w:tcW w:type="dxa" w:w="6628"/>
          </w:tcPr>
          <w:p>
            <w:pPr>
              <w:spacing w:after="40" w:line="240" w:lineRule="auto"/>
              <w:jc w:val="left"/>
            </w:pPr>
            <w:r/>
            <w:r>
              <w:rPr>
                <w:rFonts w:ascii="Times New Roman" w:hAnsi="Times New Roman"/>
                <w:sz w:val="22"/>
              </w:rPr>
              <w:t>Random Forest</w:t>
            </w:r>
          </w:p>
        </w:tc>
      </w:tr>
      <w:tr>
        <w:trPr>
          <w:cantSplit/>
        </w:trPr>
        <w:tc>
          <w:tcPr>
            <w:tcW w:type="dxa" w:w="2278"/>
          </w:tcPr>
          <w:p>
            <w:pPr>
              <w:spacing w:after="40" w:line="240" w:lineRule="auto"/>
              <w:jc w:val="left"/>
            </w:pPr>
            <w:r/>
            <w:r>
              <w:rPr>
                <w:rFonts w:ascii="Times New Roman" w:hAnsi="Times New Roman"/>
                <w:sz w:val="22"/>
              </w:rPr>
              <w:t>RMSE</w:t>
            </w:r>
          </w:p>
        </w:tc>
        <w:tc>
          <w:tcPr>
            <w:tcW w:type="dxa" w:w="6628"/>
          </w:tcPr>
          <w:p>
            <w:pPr>
              <w:spacing w:after="40" w:line="240" w:lineRule="auto"/>
              <w:jc w:val="left"/>
            </w:pPr>
            <w:r/>
            <w:r>
              <w:rPr>
                <w:rFonts w:ascii="Times New Roman" w:hAnsi="Times New Roman"/>
                <w:sz w:val="22"/>
              </w:rPr>
              <w:t>Root Mean Squared Error</w:t>
            </w:r>
          </w:p>
        </w:tc>
      </w:tr>
      <w:tr>
        <w:trPr>
          <w:cantSplit/>
        </w:trPr>
        <w:tc>
          <w:tcPr>
            <w:tcW w:type="dxa" w:w="2278"/>
          </w:tcPr>
          <w:p>
            <w:pPr>
              <w:spacing w:after="40" w:line="240" w:lineRule="auto"/>
              <w:jc w:val="left"/>
            </w:pPr>
            <w:r/>
            <w:r>
              <w:rPr>
                <w:rFonts w:ascii="Times New Roman" w:hAnsi="Times New Roman"/>
                <w:sz w:val="22"/>
              </w:rPr>
              <w:t>RSI</w:t>
            </w:r>
          </w:p>
        </w:tc>
        <w:tc>
          <w:tcPr>
            <w:tcW w:type="dxa" w:w="6628"/>
          </w:tcPr>
          <w:p>
            <w:pPr>
              <w:spacing w:after="40" w:line="240" w:lineRule="auto"/>
              <w:jc w:val="left"/>
            </w:pPr>
            <w:r/>
            <w:r>
              <w:rPr>
                <w:rFonts w:ascii="Times New Roman" w:hAnsi="Times New Roman"/>
                <w:sz w:val="22"/>
              </w:rPr>
              <w:t>Relative Strength Index</w:t>
            </w:r>
          </w:p>
        </w:tc>
      </w:tr>
      <w:tr>
        <w:trPr>
          <w:cantSplit/>
        </w:trPr>
        <w:tc>
          <w:tcPr>
            <w:tcW w:type="dxa" w:w="2278"/>
          </w:tcPr>
          <w:p>
            <w:pPr>
              <w:spacing w:after="40" w:line="240" w:lineRule="auto"/>
              <w:jc w:val="left"/>
            </w:pPr>
            <w:r/>
            <w:r>
              <w:rPr>
                <w:rFonts w:ascii="Times New Roman" w:hAnsi="Times New Roman"/>
                <w:sz w:val="22"/>
              </w:rPr>
              <w:t>SHAP</w:t>
            </w:r>
          </w:p>
        </w:tc>
        <w:tc>
          <w:tcPr>
            <w:tcW w:type="dxa" w:w="6628"/>
          </w:tcPr>
          <w:p>
            <w:pPr>
              <w:spacing w:after="40" w:line="240" w:lineRule="auto"/>
              <w:jc w:val="left"/>
            </w:pPr>
            <w:r/>
            <w:r>
              <w:rPr>
                <w:rFonts w:ascii="Times New Roman" w:hAnsi="Times New Roman"/>
                <w:sz w:val="22"/>
              </w:rPr>
              <w:t>SHapley Additive exPlanations</w:t>
            </w:r>
          </w:p>
        </w:tc>
      </w:tr>
      <w:tr>
        <w:trPr>
          <w:cantSplit/>
        </w:trPr>
        <w:tc>
          <w:tcPr>
            <w:tcW w:type="dxa" w:w="2278"/>
          </w:tcPr>
          <w:p>
            <w:pPr>
              <w:spacing w:after="40" w:line="240" w:lineRule="auto"/>
              <w:jc w:val="left"/>
            </w:pPr>
            <w:r/>
            <w:r>
              <w:rPr>
                <w:rFonts w:ascii="Times New Roman" w:hAnsi="Times New Roman"/>
                <w:sz w:val="22"/>
              </w:rPr>
              <w:t>SMA</w:t>
            </w:r>
          </w:p>
        </w:tc>
        <w:tc>
          <w:tcPr>
            <w:tcW w:type="dxa" w:w="6628"/>
          </w:tcPr>
          <w:p>
            <w:pPr>
              <w:spacing w:after="40" w:line="240" w:lineRule="auto"/>
              <w:jc w:val="left"/>
            </w:pPr>
            <w:r/>
            <w:r>
              <w:rPr>
                <w:rFonts w:ascii="Times New Roman" w:hAnsi="Times New Roman"/>
                <w:sz w:val="22"/>
              </w:rPr>
              <w:t>Simple Moving Average</w:t>
            </w:r>
          </w:p>
        </w:tc>
      </w:tr>
      <w:tr>
        <w:trPr>
          <w:cantSplit/>
        </w:trPr>
        <w:tc>
          <w:tcPr>
            <w:tcW w:type="dxa" w:w="2278"/>
          </w:tcPr>
          <w:p>
            <w:pPr>
              <w:spacing w:after="40" w:line="240" w:lineRule="auto"/>
              <w:jc w:val="left"/>
            </w:pPr>
            <w:r/>
            <w:r>
              <w:rPr>
                <w:rFonts w:ascii="Times New Roman" w:hAnsi="Times New Roman"/>
                <w:sz w:val="22"/>
              </w:rPr>
              <w:t>TVD</w:t>
            </w:r>
          </w:p>
        </w:tc>
        <w:tc>
          <w:tcPr>
            <w:tcW w:type="dxa" w:w="6628"/>
          </w:tcPr>
          <w:p>
            <w:pPr>
              <w:spacing w:after="40" w:line="240" w:lineRule="auto"/>
              <w:jc w:val="left"/>
            </w:pPr>
            <w:r/>
            <w:r>
              <w:rPr>
                <w:rFonts w:ascii="Times New Roman" w:hAnsi="Times New Roman"/>
                <w:sz w:val="22"/>
              </w:rPr>
              <w:t>Total Variation Distance</w:t>
            </w:r>
          </w:p>
        </w:tc>
      </w:tr>
      <w:tr>
        <w:trPr>
          <w:cantSplit/>
        </w:trPr>
        <w:tc>
          <w:tcPr>
            <w:tcW w:type="dxa" w:w="2278"/>
          </w:tcPr>
          <w:p>
            <w:pPr>
              <w:spacing w:after="40" w:line="240" w:lineRule="auto"/>
              <w:jc w:val="left"/>
            </w:pPr>
            <w:r/>
            <w:r>
              <w:rPr>
                <w:rFonts w:ascii="Times New Roman" w:hAnsi="Times New Roman"/>
                <w:sz w:val="22"/>
              </w:rPr>
              <w:t>UML</w:t>
            </w:r>
          </w:p>
        </w:tc>
        <w:tc>
          <w:tcPr>
            <w:tcW w:type="dxa" w:w="6628"/>
          </w:tcPr>
          <w:p>
            <w:pPr>
              <w:spacing w:after="40" w:line="240" w:lineRule="auto"/>
              <w:jc w:val="left"/>
            </w:pPr>
            <w:r/>
            <w:r>
              <w:rPr>
                <w:rFonts w:ascii="Times New Roman" w:hAnsi="Times New Roman"/>
                <w:sz w:val="22"/>
              </w:rPr>
              <w:t>Unified Modeling Language</w:t>
            </w:r>
          </w:p>
        </w:tc>
      </w:tr>
      <w:tr>
        <w:trPr>
          <w:cantSplit/>
        </w:trPr>
        <w:tc>
          <w:tcPr>
            <w:tcW w:type="dxa" w:w="2278"/>
          </w:tcPr>
          <w:p>
            <w:pPr>
              <w:spacing w:after="40" w:line="240" w:lineRule="auto"/>
              <w:jc w:val="left"/>
            </w:pPr>
            <w:r/>
            <w:r>
              <w:rPr>
                <w:rFonts w:ascii="Times New Roman" w:hAnsi="Times New Roman"/>
                <w:sz w:val="22"/>
              </w:rPr>
              <w:t>XAI</w:t>
            </w:r>
          </w:p>
        </w:tc>
        <w:tc>
          <w:tcPr>
            <w:tcW w:type="dxa" w:w="6628"/>
          </w:tcPr>
          <w:p>
            <w:pPr>
              <w:spacing w:after="40" w:line="240" w:lineRule="auto"/>
              <w:jc w:val="left"/>
            </w:pPr>
            <w:r/>
            <w:r>
              <w:rPr>
                <w:rFonts w:ascii="Times New Roman" w:hAnsi="Times New Roman"/>
                <w:sz w:val="22"/>
              </w:rPr>
              <w:t>Explainable Artificial Intelligence</w:t>
            </w:r>
          </w:p>
        </w:tc>
      </w:tr>
    </w:tbl>
    <w:p>
      <w:pPr>
        <w:keepNext w:val="0"/>
        <w:spacing w:line="276" w:lineRule="auto" w:after="80"/>
        <w:jc w:val="both"/>
      </w:pPr>
    </w:p>
    <w:p>
      <w:r>
        <w:br w:type="page"/>
      </w:r>
    </w:p>
    <w:p>
      <w:pPr>
        <w:keepNext w:val="0"/>
        <w:spacing w:line="360" w:lineRule="auto" w:after="320"/>
        <w:jc w:val="center"/>
      </w:pPr>
      <w:r>
        <w:rPr>
          <w:rFonts w:ascii="Times New Roman" w:hAnsi="Times New Roman"/>
          <w:b/>
          <w:i w:val="0"/>
          <w:sz w:val="32"/>
        </w:rPr>
        <w:t>SYMBOLS AND NOTATIONS</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2278"/>
        <w:gridCol w:w="6628"/>
      </w:tblGrid>
      <w:tr>
        <w:trPr>
          <w:cantSplit/>
          <w:tblHeader/>
        </w:trPr>
        <w:tc>
          <w:tcPr>
            <w:tcW w:type="dxa" w:w="2278"/>
            <w:shd w:val="clear" w:color="auto" w:fill="D9E2F3"/>
          </w:tcPr>
          <w:p>
            <w:pPr>
              <w:spacing w:after="40" w:line="240" w:lineRule="auto"/>
              <w:jc w:val="center"/>
            </w:pPr>
            <w:r/>
            <w:r>
              <w:rPr>
                <w:rFonts w:ascii="Times New Roman" w:hAnsi="Times New Roman"/>
                <w:b/>
                <w:sz w:val="22"/>
              </w:rPr>
              <w:t>Symbol</w:t>
            </w:r>
          </w:p>
        </w:tc>
        <w:tc>
          <w:tcPr>
            <w:tcW w:type="dxa" w:w="6628"/>
            <w:shd w:val="clear" w:color="auto" w:fill="D9E2F3"/>
          </w:tcPr>
          <w:p>
            <w:pPr>
              <w:spacing w:after="40" w:line="240" w:lineRule="auto"/>
              <w:jc w:val="center"/>
            </w:pPr>
            <w:r/>
            <w:r>
              <w:rPr>
                <w:rFonts w:ascii="Times New Roman" w:hAnsi="Times New Roman"/>
                <w:b/>
                <w:sz w:val="22"/>
              </w:rPr>
              <w:t>Meaning</w:t>
            </w:r>
          </w:p>
        </w:tc>
      </w:tr>
      <w:tr>
        <w:trPr>
          <w:cantSplit/>
        </w:trPr>
        <w:tc>
          <w:tcPr>
            <w:tcW w:type="dxa" w:w="2278"/>
          </w:tcPr>
          <w:p>
            <w:pPr>
              <w:spacing w:after="40" w:line="240" w:lineRule="auto"/>
              <w:jc w:val="left"/>
            </w:pPr>
            <w:r/>
            <w:r>
              <w:rPr>
                <w:rFonts w:ascii="Times New Roman" w:hAnsi="Times New Roman"/>
                <w:sz w:val="22"/>
              </w:rPr>
              <w:t>x(i,t)</w:t>
            </w:r>
          </w:p>
        </w:tc>
        <w:tc>
          <w:tcPr>
            <w:tcW w:type="dxa" w:w="6628"/>
          </w:tcPr>
          <w:p>
            <w:pPr>
              <w:spacing w:after="40" w:line="240" w:lineRule="auto"/>
              <w:jc w:val="left"/>
            </w:pPr>
            <w:r/>
            <w:r>
              <w:rPr>
                <w:rFonts w:ascii="Times New Roman" w:hAnsi="Times New Roman"/>
                <w:sz w:val="22"/>
              </w:rPr>
              <w:t>Feature vector for stock i on trading day t, 32 dimensions</w:t>
            </w:r>
          </w:p>
        </w:tc>
      </w:tr>
      <w:tr>
        <w:trPr>
          <w:cantSplit/>
        </w:trPr>
        <w:tc>
          <w:tcPr>
            <w:tcW w:type="dxa" w:w="2278"/>
          </w:tcPr>
          <w:p>
            <w:pPr>
              <w:spacing w:after="40" w:line="240" w:lineRule="auto"/>
              <w:jc w:val="left"/>
            </w:pPr>
            <w:r/>
            <w:r>
              <w:rPr>
                <w:rFonts w:ascii="Times New Roman" w:hAnsi="Times New Roman"/>
                <w:sz w:val="22"/>
              </w:rPr>
              <w:t>r(i,t+1)</w:t>
            </w:r>
          </w:p>
        </w:tc>
        <w:tc>
          <w:tcPr>
            <w:tcW w:type="dxa" w:w="6628"/>
          </w:tcPr>
          <w:p>
            <w:pPr>
              <w:spacing w:after="40" w:line="240" w:lineRule="auto"/>
              <w:jc w:val="left"/>
            </w:pPr>
            <w:r/>
            <w:r>
              <w:rPr>
                <w:rFonts w:ascii="Times New Roman" w:hAnsi="Times New Roman"/>
                <w:sz w:val="22"/>
              </w:rPr>
              <w:t>Realised next-day log return of stock i</w:t>
            </w:r>
          </w:p>
        </w:tc>
      </w:tr>
      <w:tr>
        <w:trPr>
          <w:cantSplit/>
        </w:trPr>
        <w:tc>
          <w:tcPr>
            <w:tcW w:type="dxa" w:w="2278"/>
          </w:tcPr>
          <w:p>
            <w:pPr>
              <w:spacing w:after="40" w:line="240" w:lineRule="auto"/>
              <w:jc w:val="left"/>
            </w:pPr>
            <w:r/>
            <w:r>
              <w:rPr>
                <w:rFonts w:ascii="Times New Roman" w:hAnsi="Times New Roman"/>
                <w:sz w:val="22"/>
              </w:rPr>
              <w:t>r-hat</w:t>
            </w:r>
          </w:p>
        </w:tc>
        <w:tc>
          <w:tcPr>
            <w:tcW w:type="dxa" w:w="6628"/>
          </w:tcPr>
          <w:p>
            <w:pPr>
              <w:spacing w:after="40" w:line="240" w:lineRule="auto"/>
              <w:jc w:val="left"/>
            </w:pPr>
            <w:r/>
            <w:r>
              <w:rPr>
                <w:rFonts w:ascii="Times New Roman" w:hAnsi="Times New Roman"/>
                <w:sz w:val="22"/>
              </w:rPr>
              <w:t>Forecast next-day log return produced by the Random Forest</w:t>
            </w:r>
          </w:p>
        </w:tc>
      </w:tr>
      <w:tr>
        <w:trPr>
          <w:cantSplit/>
        </w:trPr>
        <w:tc>
          <w:tcPr>
            <w:tcW w:type="dxa" w:w="2278"/>
          </w:tcPr>
          <w:p>
            <w:pPr>
              <w:spacing w:after="40" w:line="240" w:lineRule="auto"/>
              <w:jc w:val="left"/>
            </w:pPr>
            <w:r/>
            <w:r>
              <w:rPr>
                <w:rFonts w:ascii="Times New Roman" w:hAnsi="Times New Roman"/>
                <w:sz w:val="22"/>
              </w:rPr>
              <w:t>P(i,t)</w:t>
            </w:r>
          </w:p>
        </w:tc>
        <w:tc>
          <w:tcPr>
            <w:tcW w:type="dxa" w:w="6628"/>
          </w:tcPr>
          <w:p>
            <w:pPr>
              <w:spacing w:after="40" w:line="240" w:lineRule="auto"/>
              <w:jc w:val="left"/>
            </w:pPr>
            <w:r/>
            <w:r>
              <w:rPr>
                <w:rFonts w:ascii="Times New Roman" w:hAnsi="Times New Roman"/>
                <w:sz w:val="22"/>
              </w:rPr>
              <w:t>Closing price of stock i on day t</w:t>
            </w:r>
          </w:p>
        </w:tc>
      </w:tr>
      <w:tr>
        <w:trPr>
          <w:cantSplit/>
        </w:trPr>
        <w:tc>
          <w:tcPr>
            <w:tcW w:type="dxa" w:w="2278"/>
          </w:tcPr>
          <w:p>
            <w:pPr>
              <w:spacing w:after="40" w:line="240" w:lineRule="auto"/>
              <w:jc w:val="left"/>
            </w:pPr>
            <w:r/>
            <w:r>
              <w:rPr>
                <w:rFonts w:ascii="Times New Roman" w:hAnsi="Times New Roman"/>
                <w:sz w:val="22"/>
              </w:rPr>
              <w:t>f</w:t>
            </w:r>
          </w:p>
        </w:tc>
        <w:tc>
          <w:tcPr>
            <w:tcW w:type="dxa" w:w="6628"/>
          </w:tcPr>
          <w:p>
            <w:pPr>
              <w:spacing w:after="40" w:line="240" w:lineRule="auto"/>
              <w:jc w:val="left"/>
            </w:pPr>
            <w:r/>
            <w:r>
              <w:rPr>
                <w:rFonts w:ascii="Times New Roman" w:hAnsi="Times New Roman"/>
                <w:sz w:val="22"/>
              </w:rPr>
              <w:t>The trained Random Forest regressor</w:t>
            </w:r>
          </w:p>
        </w:tc>
      </w:tr>
      <w:tr>
        <w:trPr>
          <w:cantSplit/>
        </w:trPr>
        <w:tc>
          <w:tcPr>
            <w:tcW w:type="dxa" w:w="2278"/>
          </w:tcPr>
          <w:p>
            <w:pPr>
              <w:spacing w:after="40" w:line="240" w:lineRule="auto"/>
              <w:jc w:val="left"/>
            </w:pPr>
            <w:r/>
            <w:r>
              <w:rPr>
                <w:rFonts w:ascii="Times New Roman" w:hAnsi="Times New Roman"/>
                <w:sz w:val="22"/>
              </w:rPr>
              <w:t>phi</w:t>
            </w:r>
          </w:p>
        </w:tc>
        <w:tc>
          <w:tcPr>
            <w:tcW w:type="dxa" w:w="6628"/>
          </w:tcPr>
          <w:p>
            <w:pPr>
              <w:spacing w:after="40" w:line="240" w:lineRule="auto"/>
              <w:jc w:val="left"/>
            </w:pPr>
            <w:r/>
            <w:r>
              <w:rPr>
                <w:rFonts w:ascii="Times New Roman" w:hAnsi="Times New Roman"/>
                <w:sz w:val="22"/>
              </w:rPr>
              <w:t>SHAP attribution vector for one forecast, 32 dimensions</w:t>
            </w:r>
          </w:p>
        </w:tc>
      </w:tr>
      <w:tr>
        <w:trPr>
          <w:cantSplit/>
        </w:trPr>
        <w:tc>
          <w:tcPr>
            <w:tcW w:type="dxa" w:w="2278"/>
          </w:tcPr>
          <w:p>
            <w:pPr>
              <w:spacing w:after="40" w:line="240" w:lineRule="auto"/>
              <w:jc w:val="left"/>
            </w:pPr>
            <w:r/>
            <w:r>
              <w:rPr>
                <w:rFonts w:ascii="Times New Roman" w:hAnsi="Times New Roman"/>
                <w:sz w:val="22"/>
              </w:rPr>
              <w:t>lambda</w:t>
            </w:r>
          </w:p>
        </w:tc>
        <w:tc>
          <w:tcPr>
            <w:tcW w:type="dxa" w:w="6628"/>
          </w:tcPr>
          <w:p>
            <w:pPr>
              <w:spacing w:after="40" w:line="240" w:lineRule="auto"/>
              <w:jc w:val="left"/>
            </w:pPr>
            <w:r/>
            <w:r>
              <w:rPr>
                <w:rFonts w:ascii="Times New Roman" w:hAnsi="Times New Roman"/>
                <w:sz w:val="22"/>
              </w:rPr>
              <w:t>LIME weight vector for one forecast, 32 dimensions</w:t>
            </w:r>
          </w:p>
        </w:tc>
      </w:tr>
      <w:tr>
        <w:trPr>
          <w:cantSplit/>
        </w:trPr>
        <w:tc>
          <w:tcPr>
            <w:tcW w:type="dxa" w:w="2278"/>
          </w:tcPr>
          <w:p>
            <w:pPr>
              <w:spacing w:after="40" w:line="240" w:lineRule="auto"/>
              <w:jc w:val="left"/>
            </w:pPr>
            <w:r/>
            <w:r>
              <w:rPr>
                <w:rFonts w:ascii="Times New Roman" w:hAnsi="Times New Roman"/>
                <w:sz w:val="22"/>
              </w:rPr>
              <w:t>tau</w:t>
            </w:r>
          </w:p>
        </w:tc>
        <w:tc>
          <w:tcPr>
            <w:tcW w:type="dxa" w:w="6628"/>
          </w:tcPr>
          <w:p>
            <w:pPr>
              <w:spacing w:after="40" w:line="240" w:lineRule="auto"/>
              <w:jc w:val="left"/>
            </w:pPr>
            <w:r/>
            <w:r>
              <w:rPr>
                <w:rFonts w:ascii="Times New Roman" w:hAnsi="Times New Roman"/>
                <w:sz w:val="22"/>
              </w:rPr>
              <w:t>Kendall rank correlation coefficient</w:t>
            </w:r>
          </w:p>
        </w:tc>
      </w:tr>
      <w:tr>
        <w:trPr>
          <w:cantSplit/>
        </w:trPr>
        <w:tc>
          <w:tcPr>
            <w:tcW w:type="dxa" w:w="2278"/>
          </w:tcPr>
          <w:p>
            <w:pPr>
              <w:spacing w:after="40" w:line="240" w:lineRule="auto"/>
              <w:jc w:val="left"/>
            </w:pPr>
            <w:r/>
            <w:r>
              <w:rPr>
                <w:rFonts w:ascii="Times New Roman" w:hAnsi="Times New Roman"/>
                <w:sz w:val="22"/>
              </w:rPr>
              <w:t>rho</w:t>
            </w:r>
          </w:p>
        </w:tc>
        <w:tc>
          <w:tcPr>
            <w:tcW w:type="dxa" w:w="6628"/>
          </w:tcPr>
          <w:p>
            <w:pPr>
              <w:spacing w:after="40" w:line="240" w:lineRule="auto"/>
              <w:jc w:val="left"/>
            </w:pPr>
            <w:r/>
            <w:r>
              <w:rPr>
                <w:rFonts w:ascii="Times New Roman" w:hAnsi="Times New Roman"/>
                <w:sz w:val="22"/>
              </w:rPr>
              <w:t>Spearman rank correlation coefficient</w:t>
            </w:r>
          </w:p>
        </w:tc>
      </w:tr>
      <w:tr>
        <w:trPr>
          <w:cantSplit/>
        </w:trPr>
        <w:tc>
          <w:tcPr>
            <w:tcW w:type="dxa" w:w="2278"/>
          </w:tcPr>
          <w:p>
            <w:pPr>
              <w:spacing w:after="40" w:line="240" w:lineRule="auto"/>
              <w:jc w:val="left"/>
            </w:pPr>
            <w:r/>
            <w:r>
              <w:rPr>
                <w:rFonts w:ascii="Times New Roman" w:hAnsi="Times New Roman"/>
                <w:sz w:val="22"/>
              </w:rPr>
              <w:t>k</w:t>
            </w:r>
          </w:p>
        </w:tc>
        <w:tc>
          <w:tcPr>
            <w:tcW w:type="dxa" w:w="6628"/>
          </w:tcPr>
          <w:p>
            <w:pPr>
              <w:spacing w:after="40" w:line="240" w:lineRule="auto"/>
              <w:jc w:val="left"/>
            </w:pPr>
            <w:r/>
            <w:r>
              <w:rPr>
                <w:rFonts w:ascii="Times New Roman" w:hAnsi="Times New Roman"/>
                <w:sz w:val="22"/>
              </w:rPr>
              <w:t>Number of features removed in a deletion test</w:t>
            </w:r>
          </w:p>
        </w:tc>
      </w:tr>
      <w:tr>
        <w:trPr>
          <w:cantSplit/>
        </w:trPr>
        <w:tc>
          <w:tcPr>
            <w:tcW w:type="dxa" w:w="2278"/>
          </w:tcPr>
          <w:p>
            <w:pPr>
              <w:spacing w:after="40" w:line="240" w:lineRule="auto"/>
              <w:jc w:val="left"/>
            </w:pPr>
            <w:r/>
            <w:r>
              <w:rPr>
                <w:rFonts w:ascii="Times New Roman" w:hAnsi="Times New Roman"/>
                <w:sz w:val="22"/>
              </w:rPr>
              <w:t>R-squared</w:t>
            </w:r>
          </w:p>
        </w:tc>
        <w:tc>
          <w:tcPr>
            <w:tcW w:type="dxa" w:w="6628"/>
          </w:tcPr>
          <w:p>
            <w:pPr>
              <w:spacing w:after="40" w:line="240" w:lineRule="auto"/>
              <w:jc w:val="left"/>
            </w:pPr>
            <w:r/>
            <w:r>
              <w:rPr>
                <w:rFonts w:ascii="Times New Roman" w:hAnsi="Times New Roman"/>
                <w:sz w:val="22"/>
              </w:rPr>
              <w:t>Out-of-sample coefficient of determination against a stated benchmark</w:t>
            </w:r>
          </w:p>
        </w:tc>
      </w:tr>
      <w:tr>
        <w:trPr>
          <w:cantSplit/>
        </w:trPr>
        <w:tc>
          <w:tcPr>
            <w:tcW w:type="dxa" w:w="2278"/>
          </w:tcPr>
          <w:p>
            <w:pPr>
              <w:spacing w:after="40" w:line="240" w:lineRule="auto"/>
              <w:jc w:val="left"/>
            </w:pPr>
            <w:r/>
            <w:r>
              <w:rPr>
                <w:rFonts w:ascii="Times New Roman" w:hAnsi="Times New Roman"/>
                <w:sz w:val="22"/>
              </w:rPr>
              <w:t>p</w:t>
            </w:r>
          </w:p>
        </w:tc>
        <w:tc>
          <w:tcPr>
            <w:tcW w:type="dxa" w:w="6628"/>
          </w:tcPr>
          <w:p>
            <w:pPr>
              <w:spacing w:after="40" w:line="240" w:lineRule="auto"/>
              <w:jc w:val="left"/>
            </w:pPr>
            <w:r/>
            <w:r>
              <w:rPr>
                <w:rFonts w:ascii="Times New Roman" w:hAnsi="Times New Roman"/>
                <w:sz w:val="22"/>
              </w:rPr>
              <w:t>Probability value of a statistical test</w:t>
            </w:r>
          </w:p>
        </w:tc>
      </w:tr>
    </w:tbl>
    <w:p>
      <w:pPr>
        <w:keepNext w:val="0"/>
        <w:spacing w:line="276" w:lineRule="auto" w:after="80"/>
        <w:jc w:val="both"/>
      </w:pPr>
    </w:p>
    <w:p>
      <w:r>
        <w:br w:type="page"/>
      </w:r>
    </w:p>
    <w:p>
      <w:pPr>
        <w:keepNext w:val="0"/>
        <w:spacing w:line="360" w:lineRule="auto" w:after="320"/>
        <w:jc w:val="center"/>
      </w:pPr>
      <w:r>
        <w:rPr>
          <w:rFonts w:ascii="Times New Roman" w:hAnsi="Times New Roman"/>
          <w:b/>
          <w:i w:val="0"/>
          <w:sz w:val="32"/>
        </w:rPr>
        <w:t>ABSTRACT</w:t>
      </w:r>
    </w:p>
    <w:p>
      <w:pPr>
        <w:keepNext w:val="0"/>
        <w:spacing w:line="276" w:lineRule="auto" w:after="160"/>
        <w:jc w:val="both"/>
      </w:pPr>
      <w:r>
        <w:rPr>
          <w:rFonts w:ascii="Times New Roman" w:hAnsi="Times New Roman"/>
          <w:b w:val="0"/>
          <w:i w:val="0"/>
          <w:sz w:val="24"/>
        </w:rPr>
        <w:t>Machine-learning models are widely used to forecast stock prices, and because such models are opaque, studies increasingly attach explainable-AI methods such as SHAP and LIME to describe what drove each forecast. Two weaknesses run through this literature. Accuracy is reported on the price level, where the naive forecast that tomorrow equals today already scores an R-squared above 0.999, so the reported figure describes the behaviour of daily stock prices rather than the quality of the model. And explanations are presented as findings without ever being tested, so an explanation that describes noise, a single random seed or a single market period is indistinguishable from one that describes a learned relationship.</w:t>
      </w:r>
    </w:p>
    <w:p>
      <w:pPr>
        <w:keepNext w:val="0"/>
        <w:spacing w:line="276" w:lineRule="auto" w:after="160"/>
        <w:jc w:val="both"/>
      </w:pPr>
      <w:r>
        <w:rPr>
          <w:rFonts w:ascii="Times New Roman" w:hAnsi="Times New Roman"/>
          <w:b w:val="0"/>
          <w:i w:val="0"/>
          <w:sz w:val="24"/>
        </w:rPr>
        <w:t>This project addresses both. A leakage-free Random Forest is trained walk-forward on 474 S&amp;P 500 stocks over 1,097,165 stock-days from March 2013 to May 2022, retrained at the start of each test year, and used to forecast the next-day log return for 405,545 out-of-sample stock-days. Skill is measured in return space first and in price space second. The same set of forecasts scores an R-squared of 0.9994 on the price level and +0.00013 on the return, a figure a Diebold-Mariano test cannot distinguish from predicting no change at all. A Random Forest trained directly on price levels reports an R-squared of 0.993 yet is significantly worse than naive persistence.</w:t>
      </w:r>
    </w:p>
    <w:p>
      <w:pPr>
        <w:keepNext w:val="0"/>
        <w:spacing w:line="276" w:lineRule="auto" w:after="160"/>
        <w:jc w:val="both"/>
      </w:pPr>
      <w:r>
        <w:rPr>
          <w:rFonts w:ascii="Times New Roman" w:hAnsi="Times New Roman"/>
          <w:b w:val="0"/>
          <w:i w:val="0"/>
          <w:sz w:val="24"/>
        </w:rPr>
        <w:t>Every forecast is then explained with TreeSHAP and LIME, and those explanations are subjected to a five-part reliability audit: faithfulness by feature-deletion tests against a random-order control, stability across five random seeds and across consecutive yearly retrains, agreement among four explainers, sanity against models trained on shuffled labels, and drift across four market regimes and eleven GICS sectors tested by permutation. SHAP is found to be faithful, with a fidelity correlation of at least 0.98 and a 13-fold separation from random deletion, and stable to the random seed at Kendall tau 0.85. LIME is markedly less reliable for individual forecasts: run-to-run rank correlation 0.45, a median surrogate fit of 0.17, and a different top feature from SHAP on 41 per cent of forecasts. Explanations drift significantly across regimes and sectors, and neither method identifies the features that actually improve accuracy.</w:t>
      </w:r>
    </w:p>
    <w:p>
      <w:pPr>
        <w:keepNext w:val="0"/>
        <w:spacing w:line="276" w:lineRule="auto" w:after="160"/>
        <w:jc w:val="both"/>
      </w:pPr>
      <w:r>
        <w:rPr>
          <w:rFonts w:ascii="Times New Roman" w:hAnsi="Times New Roman"/>
          <w:b w:val="0"/>
          <w:i w:val="0"/>
          <w:sz w:val="24"/>
        </w:rPr>
        <w:t>The audit also found a reproducibility defect in the standard LIME usage pattern, which had inflated the reported SHAP-LIME agreement from tau 0.58 to tau 0.73. The complete pipeline runs forward: the same features, hyperparameters and explanation code produce audited next-session forecasts for 431 currently traded stocks, served through an interactive page that recomputes every explanation at request time.</w:t>
      </w:r>
    </w:p>
    <w:p>
      <w:pPr>
        <w:sectPr>
          <w:footerReference w:type="default" r:id="rId10"/>
          <w:pgSz w:w="11906" w:h="16838"/>
          <w:pgMar w:top="1378" w:right="1321" w:bottom="1134" w:left="1678" w:header="720" w:footer="720" w:gutter="0"/>
          <w:cols w:space="720"/>
          <w:docGrid w:linePitch="360"/>
          <w:pgNumType w:fmt="lowerRoman" w:start="1"/>
        </w:sectPr>
      </w:pPr>
    </w:p>
    <w:p>
      <w:pPr>
        <w:keepNext/>
        <w:spacing w:line="360" w:lineRule="auto" w:after="200"/>
        <w:jc w:val="center"/>
      </w:pPr>
      <w:r>
        <w:rPr>
          <w:rFonts w:ascii="Times New Roman" w:hAnsi="Times New Roman"/>
          <w:b/>
          <w:i w:val="0"/>
          <w:sz w:val="28"/>
        </w:rPr>
        <w:t>CHAPTER 1</w:t>
      </w:r>
    </w:p>
    <w:p>
      <w:pPr>
        <w:keepNext/>
        <w:spacing w:line="360" w:lineRule="auto" w:after="320"/>
        <w:jc w:val="center"/>
      </w:pPr>
      <w:r>
        <w:rPr>
          <w:rFonts w:ascii="Times New Roman" w:hAnsi="Times New Roman"/>
          <w:b/>
          <w:i w:val="0"/>
          <w:sz w:val="28"/>
        </w:rPr>
        <w:t>1. INTRODUCTION</w:t>
      </w:r>
    </w:p>
    <w:p>
      <w:pPr>
        <w:keepNext/>
        <w:spacing w:line="240" w:lineRule="auto" w:after="160"/>
        <w:jc w:val="left"/>
      </w:pPr>
      <w:r>
        <w:rPr>
          <w:rFonts w:ascii="Times New Roman" w:hAnsi="Times New Roman"/>
          <w:b/>
          <w:i w:val="0"/>
          <w:sz w:val="26"/>
        </w:rPr>
        <w:t>1.1 Background</w:t>
      </w:r>
    </w:p>
    <w:p>
      <w:pPr>
        <w:keepNext w:val="0"/>
        <w:spacing w:line="276" w:lineRule="auto" w:after="120"/>
        <w:jc w:val="both"/>
      </w:pPr>
      <w:r>
        <w:rPr>
          <w:rFonts w:ascii="Times New Roman" w:hAnsi="Times New Roman"/>
          <w:b w:val="0"/>
          <w:i w:val="0"/>
          <w:sz w:val="24"/>
        </w:rPr>
        <w:t>Forecasting the next day's closing price of a listed company is one of the oldest applications of statistical learning, and tree ensembles have become the default tool for it. A Random Forest, introduced by Breiman in 2001, averages the predictions of many decision trees, each grown on a bootstrap sample of the data and a random subset of the inputs. It handles non-linear relationships without being told where they are, needs little tuning, and resists overfitting far better than a single deep tree. For price and volume data, where relationships are weak, noisy and unstable, those properties make it a sensible default.</w:t>
      </w:r>
    </w:p>
    <w:p>
      <w:pPr>
        <w:keepNext w:val="0"/>
        <w:spacing w:line="276" w:lineRule="auto" w:after="120"/>
        <w:jc w:val="both"/>
      </w:pPr>
      <w:r>
        <w:rPr>
          <w:rFonts w:ascii="Times New Roman" w:hAnsi="Times New Roman"/>
          <w:b w:val="0"/>
          <w:i w:val="0"/>
          <w:sz w:val="24"/>
        </w:rPr>
        <w:t>A Random Forest with three hundred trees is, however, not something a person can read. A risk officer asked to approve a model, or an investment committee asked to act on it, cannot inspect the ensemble and see why a particular stock was forecast to rise. This is the gap that explainable artificial intelligence is meant to close, and two methods dominate practice. SHAP, which derives from the Shapley value in cooperative game theory, divides a single forecast into additive contributions, one per input feature, so that the contributions and a base value sum exactly to the forecast. LIME approaches the same problem differently: it samples perturbed versions of one input, weights them by how close they are to the original, and fits a simple linear model to the predictions, whose coefficients then serve as the explanation.</w:t>
      </w:r>
    </w:p>
    <w:p>
      <w:pPr>
        <w:keepNext w:val="0"/>
        <w:spacing w:line="276" w:lineRule="auto" w:after="120"/>
        <w:jc w:val="both"/>
      </w:pPr>
      <w:r>
        <w:rPr>
          <w:rFonts w:ascii="Times New Roman" w:hAnsi="Times New Roman"/>
          <w:b w:val="0"/>
          <w:i w:val="0"/>
          <w:sz w:val="24"/>
        </w:rPr>
        <w:t>Both are now routine in published stock-forecasting work. A typical paper trains a tree ensemble, reports an accuracy figure, runs SHAP, and presents the resulting ranking of features as insight into what moves the market. The present project takes that pattern seriously enough to test it, and finds that both halves of it need qualification.</w:t>
      </w:r>
    </w:p>
    <w:p>
      <w:pPr>
        <w:keepNext/>
        <w:spacing w:line="240" w:lineRule="auto" w:after="160"/>
        <w:jc w:val="left"/>
      </w:pPr>
      <w:r>
        <w:rPr>
          <w:rFonts w:ascii="Times New Roman" w:hAnsi="Times New Roman"/>
          <w:b/>
          <w:i w:val="0"/>
          <w:sz w:val="26"/>
        </w:rPr>
        <w:t>1.2 Motivations</w:t>
      </w:r>
    </w:p>
    <w:p>
      <w:pPr>
        <w:keepNext w:val="0"/>
        <w:spacing w:line="276" w:lineRule="auto" w:after="120"/>
        <w:jc w:val="both"/>
      </w:pPr>
      <w:r>
        <w:rPr>
          <w:rFonts w:ascii="Times New Roman" w:hAnsi="Times New Roman"/>
          <w:b w:val="0"/>
          <w:i w:val="0"/>
          <w:sz w:val="24"/>
        </w:rPr>
        <w:t>Two weaknesses recur across recent work in this area, and together they motivate the whole of this project.</w:t>
      </w:r>
    </w:p>
    <w:p>
      <w:pPr>
        <w:keepNext/>
        <w:spacing w:line="240" w:lineRule="auto" w:after="120"/>
        <w:jc w:val="left"/>
      </w:pPr>
      <w:r>
        <w:rPr>
          <w:rFonts w:ascii="Times New Roman" w:hAnsi="Times New Roman"/>
          <w:b/>
          <w:i/>
          <w:sz w:val="24"/>
        </w:rPr>
        <w:t>1.2.1 Accuracy Reported in the Wrong Units</w:t>
      </w:r>
    </w:p>
    <w:p>
      <w:pPr>
        <w:keepNext w:val="0"/>
        <w:spacing w:line="276" w:lineRule="auto" w:after="120"/>
        <w:jc w:val="both"/>
      </w:pPr>
      <w:r>
        <w:rPr>
          <w:rFonts w:ascii="Times New Roman" w:hAnsi="Times New Roman"/>
          <w:b w:val="0"/>
          <w:i w:val="0"/>
          <w:sz w:val="24"/>
        </w:rPr>
        <w:t>Price forecasts are conventionally judged on the price level, using R-squared, mean absolute percentage error, or a derived figure described as accuracy. The difficulty is that a stock's price tomorrow is almost exactly its price today. The naive forecast that tomorrow equals today therefore achieves an R-squared of about 0.999 and a mean absolute percentage error of about 1.5 per cent on this dataset. A model that reports 98 per cent accuracy has reported a property of daily stock prices, not an achievement of its own.</w:t>
      </w:r>
    </w:p>
    <w:p>
      <w:pPr>
        <w:keepNext w:val="0"/>
        <w:spacing w:line="276" w:lineRule="auto" w:after="120"/>
        <w:jc w:val="both"/>
      </w:pPr>
      <w:r>
        <w:rPr>
          <w:rFonts w:ascii="Times New Roman" w:hAnsi="Times New Roman"/>
          <w:b w:val="0"/>
          <w:i w:val="0"/>
          <w:sz w:val="24"/>
        </w:rPr>
        <w:t>What a forecaster actually has to get right is the return, which is the change. Scored on returns, forecasts that look near-perfect on prices routinely explain less than a tenth of one per cent of the variance. Without reporting skill in return space, and without testing it against a naive benchmark, a reader cannot tell whether a model has any predictive value at all.</w:t>
      </w:r>
    </w:p>
    <w:p>
      <w:pPr>
        <w:keepNext/>
        <w:spacing w:line="240" w:lineRule="auto" w:after="120"/>
        <w:jc w:val="left"/>
      </w:pPr>
      <w:r>
        <w:rPr>
          <w:rFonts w:ascii="Times New Roman" w:hAnsi="Times New Roman"/>
          <w:b/>
          <w:i/>
          <w:sz w:val="24"/>
        </w:rPr>
        <w:t>1.2.2 Explanations Presented as Findings but Never Tested</w:t>
      </w:r>
    </w:p>
    <w:p>
      <w:pPr>
        <w:keepNext w:val="0"/>
        <w:spacing w:line="276" w:lineRule="auto" w:after="120"/>
        <w:jc w:val="both"/>
      </w:pPr>
      <w:r>
        <w:rPr>
          <w:rFonts w:ascii="Times New Roman" w:hAnsi="Times New Roman"/>
          <w:b w:val="0"/>
          <w:i w:val="0"/>
          <w:sz w:val="24"/>
        </w:rPr>
        <w:t>The second weakness concerns the explanations themselves. Studies report that volume, or volatility, or some technical indicator is the most important feature, and read that as a statement about the market. An explanation method, however, always returns a ranked list. It returns one whether or not the model uses those features, whether or not the ranking would survive a change of random seed, and whether or not the model learned anything at all. Nothing in a bar chart distinguishes a true explanation from a plausible one.</w:t>
      </w:r>
    </w:p>
    <w:p>
      <w:pPr>
        <w:keepNext/>
        <w:spacing w:line="240" w:lineRule="auto" w:after="200"/>
        <w:jc w:val="center"/>
      </w:pPr>
      <w:r>
        <w:rPr>
          <w:rFonts w:ascii="Times New Roman" w:hAnsi="Times New Roman"/>
          <w:b w:val="0"/>
          <w:i w:val="0"/>
          <w:sz w:val="20"/>
        </w:rPr>
        <w:t>Table 1.1  Properties an explanation must have, and the consequence of each failing</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1520"/>
        <w:gridCol w:w="3692"/>
        <w:gridCol w:w="3692"/>
      </w:tblGrid>
      <w:tr>
        <w:trPr>
          <w:cantSplit/>
          <w:tblHeader/>
        </w:trPr>
        <w:tc>
          <w:tcPr>
            <w:tcW w:type="dxa" w:w="1521"/>
            <w:shd w:val="clear" w:color="auto" w:fill="D9E2F3"/>
          </w:tcPr>
          <w:p>
            <w:pPr>
              <w:spacing w:after="40" w:line="240" w:lineRule="auto"/>
              <w:jc w:val="center"/>
            </w:pPr>
            <w:r/>
            <w:r>
              <w:rPr>
                <w:rFonts w:ascii="Times New Roman" w:hAnsi="Times New Roman"/>
                <w:b/>
                <w:sz w:val="19"/>
              </w:rPr>
              <w:t>Property</w:t>
            </w:r>
          </w:p>
        </w:tc>
        <w:tc>
          <w:tcPr>
            <w:tcW w:type="dxa" w:w="3693"/>
            <w:shd w:val="clear" w:color="auto" w:fill="D9E2F3"/>
          </w:tcPr>
          <w:p>
            <w:pPr>
              <w:spacing w:after="40" w:line="240" w:lineRule="auto"/>
              <w:jc w:val="center"/>
            </w:pPr>
            <w:r/>
            <w:r>
              <w:rPr>
                <w:rFonts w:ascii="Times New Roman" w:hAnsi="Times New Roman"/>
                <w:b/>
                <w:sz w:val="19"/>
              </w:rPr>
              <w:t>Question it answers</w:t>
            </w:r>
          </w:p>
        </w:tc>
        <w:tc>
          <w:tcPr>
            <w:tcW w:type="dxa" w:w="3693"/>
            <w:shd w:val="clear" w:color="auto" w:fill="D9E2F3"/>
          </w:tcPr>
          <w:p>
            <w:pPr>
              <w:spacing w:after="40" w:line="240" w:lineRule="auto"/>
              <w:jc w:val="center"/>
            </w:pPr>
            <w:r/>
            <w:r>
              <w:rPr>
                <w:rFonts w:ascii="Times New Roman" w:hAnsi="Times New Roman"/>
                <w:b/>
                <w:sz w:val="19"/>
              </w:rPr>
              <w:t>If it fails</w:t>
            </w:r>
          </w:p>
        </w:tc>
      </w:tr>
      <w:tr>
        <w:trPr>
          <w:cantSplit/>
        </w:trPr>
        <w:tc>
          <w:tcPr>
            <w:tcW w:type="dxa" w:w="1521"/>
          </w:tcPr>
          <w:p>
            <w:pPr>
              <w:spacing w:after="40" w:line="240" w:lineRule="auto"/>
              <w:jc w:val="left"/>
            </w:pPr>
            <w:r/>
            <w:r>
              <w:rPr>
                <w:rFonts w:ascii="Times New Roman" w:hAnsi="Times New Roman"/>
                <w:sz w:val="19"/>
              </w:rPr>
              <w:t>Faithful</w:t>
            </w:r>
          </w:p>
        </w:tc>
        <w:tc>
          <w:tcPr>
            <w:tcW w:type="dxa" w:w="3693"/>
          </w:tcPr>
          <w:p>
            <w:pPr>
              <w:spacing w:after="40" w:line="240" w:lineRule="auto"/>
              <w:jc w:val="center"/>
            </w:pPr>
            <w:r/>
            <w:r>
              <w:rPr>
                <w:rFonts w:ascii="Times New Roman" w:hAnsi="Times New Roman"/>
                <w:sz w:val="19"/>
              </w:rPr>
              <w:t>Does removing the features the explanation ranks highest actually change the forecast most?</w:t>
            </w:r>
          </w:p>
        </w:tc>
        <w:tc>
          <w:tcPr>
            <w:tcW w:type="dxa" w:w="3693"/>
          </w:tcPr>
          <w:p>
            <w:pPr>
              <w:spacing w:after="40" w:line="240" w:lineRule="auto"/>
              <w:jc w:val="center"/>
            </w:pPr>
            <w:r/>
            <w:r>
              <w:rPr>
                <w:rFonts w:ascii="Times New Roman" w:hAnsi="Times New Roman"/>
                <w:sz w:val="19"/>
              </w:rPr>
              <w:t>The explanation describes features the model does not use</w:t>
            </w:r>
          </w:p>
        </w:tc>
      </w:tr>
      <w:tr>
        <w:trPr>
          <w:cantSplit/>
        </w:trPr>
        <w:tc>
          <w:tcPr>
            <w:tcW w:type="dxa" w:w="1521"/>
          </w:tcPr>
          <w:p>
            <w:pPr>
              <w:spacing w:after="40" w:line="240" w:lineRule="auto"/>
              <w:jc w:val="left"/>
            </w:pPr>
            <w:r/>
            <w:r>
              <w:rPr>
                <w:rFonts w:ascii="Times New Roman" w:hAnsi="Times New Roman"/>
                <w:sz w:val="19"/>
              </w:rPr>
              <w:t>Stable</w:t>
            </w:r>
          </w:p>
        </w:tc>
        <w:tc>
          <w:tcPr>
            <w:tcW w:type="dxa" w:w="3693"/>
          </w:tcPr>
          <w:p>
            <w:pPr>
              <w:spacing w:after="40" w:line="240" w:lineRule="auto"/>
              <w:jc w:val="center"/>
            </w:pPr>
            <w:r/>
            <w:r>
              <w:rPr>
                <w:rFonts w:ascii="Times New Roman" w:hAnsi="Times New Roman"/>
                <w:sz w:val="19"/>
              </w:rPr>
              <w:t>Do the explanations survive re-seeding and retraining?</w:t>
            </w:r>
          </w:p>
        </w:tc>
        <w:tc>
          <w:tcPr>
            <w:tcW w:type="dxa" w:w="3693"/>
          </w:tcPr>
          <w:p>
            <w:pPr>
              <w:spacing w:after="40" w:line="240" w:lineRule="auto"/>
              <w:jc w:val="center"/>
            </w:pPr>
            <w:r/>
            <w:r>
              <w:rPr>
                <w:rFonts w:ascii="Times New Roman" w:hAnsi="Times New Roman"/>
                <w:sz w:val="19"/>
              </w:rPr>
              <w:t>The explanation is an artefact of one random seed or one training run</w:t>
            </w:r>
          </w:p>
        </w:tc>
      </w:tr>
      <w:tr>
        <w:trPr>
          <w:cantSplit/>
        </w:trPr>
        <w:tc>
          <w:tcPr>
            <w:tcW w:type="dxa" w:w="1521"/>
          </w:tcPr>
          <w:p>
            <w:pPr>
              <w:spacing w:after="40" w:line="240" w:lineRule="auto"/>
              <w:jc w:val="left"/>
            </w:pPr>
            <w:r/>
            <w:r>
              <w:rPr>
                <w:rFonts w:ascii="Times New Roman" w:hAnsi="Times New Roman"/>
                <w:sz w:val="19"/>
              </w:rPr>
              <w:t>Consistent</w:t>
            </w:r>
          </w:p>
        </w:tc>
        <w:tc>
          <w:tcPr>
            <w:tcW w:type="dxa" w:w="3693"/>
          </w:tcPr>
          <w:p>
            <w:pPr>
              <w:spacing w:after="40" w:line="240" w:lineRule="auto"/>
              <w:jc w:val="center"/>
            </w:pPr>
            <w:r/>
            <w:r>
              <w:rPr>
                <w:rFonts w:ascii="Times New Roman" w:hAnsi="Times New Roman"/>
                <w:sz w:val="19"/>
              </w:rPr>
              <w:t>Do SHAP, LIME and importance measures agree?</w:t>
            </w:r>
          </w:p>
        </w:tc>
        <w:tc>
          <w:tcPr>
            <w:tcW w:type="dxa" w:w="3693"/>
          </w:tcPr>
          <w:p>
            <w:pPr>
              <w:spacing w:after="40" w:line="240" w:lineRule="auto"/>
              <w:jc w:val="center"/>
            </w:pPr>
            <w:r/>
            <w:r>
              <w:rPr>
                <w:rFonts w:ascii="Times New Roman" w:hAnsi="Times New Roman"/>
                <w:sz w:val="19"/>
              </w:rPr>
              <w:t>Conclusions depend on which tool happened to be chosen</w:t>
            </w:r>
          </w:p>
        </w:tc>
      </w:tr>
      <w:tr>
        <w:trPr>
          <w:cantSplit/>
        </w:trPr>
        <w:tc>
          <w:tcPr>
            <w:tcW w:type="dxa" w:w="1521"/>
          </w:tcPr>
          <w:p>
            <w:pPr>
              <w:spacing w:after="40" w:line="240" w:lineRule="auto"/>
              <w:jc w:val="left"/>
            </w:pPr>
            <w:r/>
            <w:r>
              <w:rPr>
                <w:rFonts w:ascii="Times New Roman" w:hAnsi="Times New Roman"/>
                <w:sz w:val="19"/>
              </w:rPr>
              <w:t>Meaningful</w:t>
            </w:r>
          </w:p>
        </w:tc>
        <w:tc>
          <w:tcPr>
            <w:tcW w:type="dxa" w:w="3693"/>
          </w:tcPr>
          <w:p>
            <w:pPr>
              <w:spacing w:after="40" w:line="240" w:lineRule="auto"/>
              <w:jc w:val="center"/>
            </w:pPr>
            <w:r/>
            <w:r>
              <w:rPr>
                <w:rFonts w:ascii="Times New Roman" w:hAnsi="Times New Roman"/>
                <w:sz w:val="19"/>
              </w:rPr>
              <w:t>Do they differ from the explanations of a model trained on shuffled labels?</w:t>
            </w:r>
          </w:p>
        </w:tc>
        <w:tc>
          <w:tcPr>
            <w:tcW w:type="dxa" w:w="3693"/>
          </w:tcPr>
          <w:p>
            <w:pPr>
              <w:spacing w:after="40" w:line="240" w:lineRule="auto"/>
              <w:jc w:val="center"/>
            </w:pPr>
            <w:r/>
            <w:r>
              <w:rPr>
                <w:rFonts w:ascii="Times New Roman" w:hAnsi="Times New Roman"/>
                <w:sz w:val="19"/>
              </w:rPr>
              <w:t>The explanation reflects feature structure, not a learned relationship</w:t>
            </w:r>
          </w:p>
        </w:tc>
      </w:tr>
      <w:tr>
        <w:trPr>
          <w:cantSplit/>
        </w:trPr>
        <w:tc>
          <w:tcPr>
            <w:tcW w:type="dxa" w:w="1521"/>
          </w:tcPr>
          <w:p>
            <w:pPr>
              <w:spacing w:after="40" w:line="240" w:lineRule="auto"/>
              <w:jc w:val="left"/>
            </w:pPr>
            <w:r/>
            <w:r>
              <w:rPr>
                <w:rFonts w:ascii="Times New Roman" w:hAnsi="Times New Roman"/>
                <w:sz w:val="19"/>
              </w:rPr>
              <w:t>Contextual</w:t>
            </w:r>
          </w:p>
        </w:tc>
        <w:tc>
          <w:tcPr>
            <w:tcW w:type="dxa" w:w="3693"/>
          </w:tcPr>
          <w:p>
            <w:pPr>
              <w:spacing w:after="40" w:line="240" w:lineRule="auto"/>
              <w:jc w:val="center"/>
            </w:pPr>
            <w:r/>
            <w:r>
              <w:rPr>
                <w:rFonts w:ascii="Times New Roman" w:hAnsi="Times New Roman"/>
                <w:sz w:val="19"/>
              </w:rPr>
              <w:t>Do they change across market regimes and sectors?</w:t>
            </w:r>
          </w:p>
        </w:tc>
        <w:tc>
          <w:tcPr>
            <w:tcW w:type="dxa" w:w="3693"/>
          </w:tcPr>
          <w:p>
            <w:pPr>
              <w:spacing w:after="40" w:line="240" w:lineRule="auto"/>
              <w:jc w:val="center"/>
            </w:pPr>
            <w:r/>
            <w:r>
              <w:rPr>
                <w:rFonts w:ascii="Times New Roman" w:hAnsi="Times New Roman"/>
                <w:sz w:val="19"/>
              </w:rPr>
              <w:t>A single global explanation misrepresents specific periods or sectors</w:t>
            </w:r>
          </w:p>
        </w:tc>
      </w:tr>
    </w:tbl>
    <w:p>
      <w:pPr>
        <w:keepNext w:val="0"/>
        <w:spacing w:line="276" w:lineRule="auto" w:after="80"/>
        <w:jc w:val="both"/>
      </w:pPr>
    </w:p>
    <w:p>
      <w:pPr>
        <w:keepNext w:val="0"/>
        <w:spacing w:line="276" w:lineRule="auto" w:after="120"/>
        <w:jc w:val="both"/>
      </w:pPr>
      <w:r>
        <w:rPr>
          <w:rFonts w:ascii="Times New Roman" w:hAnsi="Times New Roman"/>
          <w:b w:val="0"/>
          <w:i w:val="0"/>
          <w:sz w:val="24"/>
        </w:rPr>
        <w:t>In finance these are not academic concerns. A misleading explanation can justify a position, pass a model through a governance process it should not have passed, and lose money. The motivation for this project is therefore to build a forecaster that is measured honestly, and then to test its explanations rather than presenting them.</w:t>
      </w:r>
    </w:p>
    <w:p>
      <w:pPr>
        <w:keepNext/>
        <w:spacing w:line="240" w:lineRule="auto" w:after="160"/>
        <w:jc w:val="left"/>
      </w:pPr>
      <w:r>
        <w:rPr>
          <w:rFonts w:ascii="Times New Roman" w:hAnsi="Times New Roman"/>
          <w:b/>
          <w:i w:val="0"/>
          <w:sz w:val="26"/>
        </w:rPr>
        <w:t>1.3 Scope of the Project</w:t>
      </w:r>
    </w:p>
    <w:p>
      <w:pPr>
        <w:keepNext w:val="0"/>
        <w:spacing w:line="276" w:lineRule="auto" w:after="120"/>
        <w:jc w:val="both"/>
      </w:pPr>
      <w:r>
        <w:rPr>
          <w:rFonts w:ascii="Times New Roman" w:hAnsi="Times New Roman"/>
          <w:b w:val="0"/>
          <w:i w:val="0"/>
          <w:sz w:val="24"/>
        </w:rPr>
        <w:t>The following are within scope:</w:t>
      </w:r>
    </w:p>
    <w:p>
      <w:pPr>
        <w:pStyle w:val="ListBullet"/>
        <w:spacing w:line="276" w:lineRule="auto" w:after="60"/>
        <w:jc w:val="both"/>
      </w:pPr>
      <w:r>
        <w:rPr>
          <w:rFonts w:ascii="Times New Roman" w:hAnsi="Times New Roman"/>
          <w:sz w:val="24"/>
        </w:rPr>
        <w:t>Daily data at one-day-ahead horizon, for constituents of the S&amp;P 500 index.</w:t>
      </w:r>
    </w:p>
    <w:p>
      <w:pPr>
        <w:pStyle w:val="ListBullet"/>
        <w:spacing w:line="276" w:lineRule="auto" w:after="60"/>
        <w:jc w:val="both"/>
      </w:pPr>
      <w:r>
        <w:rPr>
          <w:rFonts w:ascii="Times New Roman" w:hAnsi="Times New Roman"/>
          <w:sz w:val="24"/>
        </w:rPr>
        <w:t>Features derived from price and volume only, computed from information available at or before the close of the day on which the forecast is made.</w:t>
      </w:r>
    </w:p>
    <w:p>
      <w:pPr>
        <w:pStyle w:val="ListBullet"/>
        <w:spacing w:line="276" w:lineRule="auto" w:after="60"/>
        <w:jc w:val="both"/>
      </w:pPr>
      <w:r>
        <w:rPr>
          <w:rFonts w:ascii="Times New Roman" w:hAnsi="Times New Roman"/>
          <w:sz w:val="24"/>
        </w:rPr>
        <w:t>Post-hoc explanation of a trained model using SHAP and LIME, together with permutation importance and mean decrease in impurity as comparison explainers.</w:t>
      </w:r>
    </w:p>
    <w:p>
      <w:pPr>
        <w:pStyle w:val="ListBullet"/>
        <w:spacing w:line="276" w:lineRule="auto" w:after="60"/>
        <w:jc w:val="both"/>
      </w:pPr>
      <w:r>
        <w:rPr>
          <w:rFonts w:ascii="Times New Roman" w:hAnsi="Times New Roman"/>
          <w:sz w:val="24"/>
        </w:rPr>
        <w:t>A reliability audit of those explanations covering faithfulness, stability, explainer agreement, sanity against signal-free models, and drift across market regimes and sectors.</w:t>
      </w:r>
    </w:p>
    <w:p>
      <w:pPr>
        <w:pStyle w:val="ListBullet"/>
        <w:spacing w:line="276" w:lineRule="auto" w:after="60"/>
        <w:jc w:val="both"/>
      </w:pPr>
      <w:r>
        <w:rPr>
          <w:rFonts w:ascii="Times New Roman" w:hAnsi="Times New Roman"/>
          <w:sz w:val="24"/>
        </w:rPr>
        <w:t>A working demonstration that applies the identical pipeline to the next trading session, so that no step can depend on knowing the outcome.</w:t>
      </w:r>
    </w:p>
    <w:p>
      <w:pPr>
        <w:keepNext w:val="0"/>
        <w:spacing w:line="276" w:lineRule="auto" w:after="120"/>
        <w:jc w:val="both"/>
      </w:pPr>
      <w:r>
        <w:rPr>
          <w:rFonts w:ascii="Times New Roman" w:hAnsi="Times New Roman"/>
          <w:b w:val="0"/>
          <w:i w:val="0"/>
          <w:sz w:val="24"/>
        </w:rPr>
        <w:t>The following are outside scope:</w:t>
      </w:r>
    </w:p>
    <w:p>
      <w:pPr>
        <w:pStyle w:val="ListBullet"/>
        <w:spacing w:line="276" w:lineRule="auto" w:after="60"/>
        <w:jc w:val="both"/>
      </w:pPr>
      <w:r>
        <w:rPr>
          <w:rFonts w:ascii="Times New Roman" w:hAnsi="Times New Roman"/>
          <w:sz w:val="24"/>
        </w:rPr>
        <w:t>News, sentiment, fundamental and macroeconomic data.</w:t>
      </w:r>
    </w:p>
    <w:p>
      <w:pPr>
        <w:pStyle w:val="ListBullet"/>
        <w:spacing w:line="276" w:lineRule="auto" w:after="60"/>
        <w:jc w:val="both"/>
      </w:pPr>
      <w:r>
        <w:rPr>
          <w:rFonts w:ascii="Times New Roman" w:hAnsi="Times New Roman"/>
          <w:sz w:val="24"/>
        </w:rPr>
        <w:t>Intraday data and horizons shorter or longer than one trading day.</w:t>
      </w:r>
    </w:p>
    <w:p>
      <w:pPr>
        <w:pStyle w:val="ListBullet"/>
        <w:spacing w:line="276" w:lineRule="auto" w:after="60"/>
        <w:jc w:val="both"/>
      </w:pPr>
      <w:r>
        <w:rPr>
          <w:rFonts w:ascii="Times New Roman" w:hAnsi="Times New Roman"/>
          <w:sz w:val="24"/>
        </w:rPr>
        <w:t>Realistic execution modelling. A single flat ten basis point round-trip cost is applied to the decile portfolio as a sanity check, but slippage, market impact, borrowing costs and capacity are not modelled.</w:t>
      </w:r>
    </w:p>
    <w:p>
      <w:pPr>
        <w:pStyle w:val="ListBullet"/>
        <w:spacing w:line="276" w:lineRule="auto" w:after="60"/>
        <w:jc w:val="both"/>
      </w:pPr>
      <w:r>
        <w:rPr>
          <w:rFonts w:ascii="Times New Roman" w:hAnsi="Times New Roman"/>
          <w:sz w:val="24"/>
        </w:rPr>
        <w:t>Portfolio construction and optimisation.</w:t>
      </w:r>
    </w:p>
    <w:p>
      <w:pPr>
        <w:pStyle w:val="ListBullet"/>
        <w:spacing w:line="276" w:lineRule="auto" w:after="60"/>
        <w:jc w:val="both"/>
      </w:pPr>
      <w:r>
        <w:rPr>
          <w:rFonts w:ascii="Times New Roman" w:hAnsi="Times New Roman"/>
          <w:sz w:val="24"/>
        </w:rPr>
        <w:t>Deep-learning architectures. The project concerns the reliability of explanations for a tree ensemble, and TreeSHAP is exact only for tree models.</w:t>
      </w:r>
    </w:p>
    <w:p>
      <w:pPr>
        <w:keepNext w:val="0"/>
        <w:spacing w:line="276" w:lineRule="auto" w:after="120"/>
        <w:jc w:val="both"/>
      </w:pPr>
      <w:r>
        <w:rPr>
          <w:rFonts w:ascii="Times New Roman" w:hAnsi="Times New Roman"/>
          <w:b w:val="0"/>
          <w:i w:val="0"/>
          <w:sz w:val="24"/>
        </w:rPr>
        <w:t>The project is a study of forecasting and of explanation reliability. It is not a trading system, and the results reported in Chapter 7 are the reason it should not be used as one.</w:t>
      </w:r>
    </w:p>
    <w:p>
      <w:pPr>
        <w:keepNext/>
        <w:pageBreakBefore/>
        <w:spacing w:line="360" w:lineRule="auto" w:after="200"/>
        <w:jc w:val="center"/>
      </w:pPr>
      <w:r>
        <w:rPr>
          <w:rFonts w:ascii="Times New Roman" w:hAnsi="Times New Roman"/>
          <w:b/>
          <w:i w:val="0"/>
          <w:sz w:val="28"/>
        </w:rPr>
        <w:t>CHAPTER 2</w:t>
      </w:r>
    </w:p>
    <w:p>
      <w:pPr>
        <w:keepNext/>
        <w:spacing w:line="360" w:lineRule="auto" w:after="320"/>
        <w:jc w:val="center"/>
      </w:pPr>
      <w:r>
        <w:rPr>
          <w:rFonts w:ascii="Times New Roman" w:hAnsi="Times New Roman"/>
          <w:b/>
          <w:i w:val="0"/>
          <w:sz w:val="28"/>
        </w:rPr>
        <w:t>2. PROJECT DESCRIPTION AND GOALS</w:t>
      </w:r>
    </w:p>
    <w:p>
      <w:pPr>
        <w:keepNext/>
        <w:spacing w:line="240" w:lineRule="auto" w:after="160"/>
        <w:jc w:val="left"/>
      </w:pPr>
      <w:r>
        <w:rPr>
          <w:rFonts w:ascii="Times New Roman" w:hAnsi="Times New Roman"/>
          <w:b/>
          <w:i w:val="0"/>
          <w:sz w:val="26"/>
        </w:rPr>
        <w:t>2.1 Literature Review</w:t>
      </w:r>
    </w:p>
    <w:p>
      <w:pPr>
        <w:keepNext w:val="0"/>
        <w:spacing w:line="276" w:lineRule="auto" w:after="120"/>
        <w:jc w:val="both"/>
      </w:pPr>
      <w:r>
        <w:rPr>
          <w:rFonts w:ascii="Times New Roman" w:hAnsi="Times New Roman"/>
          <w:b w:val="0"/>
          <w:i w:val="0"/>
          <w:sz w:val="24"/>
        </w:rPr>
        <w:t>Five recent papers, published in 2025 and 2026, are closest to this work. Each predicts stock prices or returns with a tree-based or comparable model, explains the model with SHAP or LIME, or examines the stability of explanations.</w:t>
      </w:r>
    </w:p>
    <w:p>
      <w:pPr>
        <w:keepNext/>
        <w:spacing w:line="240" w:lineRule="auto" w:after="200"/>
        <w:jc w:val="center"/>
      </w:pPr>
      <w:r>
        <w:rPr>
          <w:rFonts w:ascii="Times New Roman" w:hAnsi="Times New Roman"/>
          <w:b w:val="0"/>
          <w:i w:val="0"/>
          <w:sz w:val="20"/>
        </w:rPr>
        <w:t>Table 2.1  Recent work on explainable stock prediction, and the gap each leaves</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463"/>
        <w:gridCol w:w="2504"/>
        <w:gridCol w:w="3154"/>
        <w:gridCol w:w="2783"/>
      </w:tblGrid>
      <w:tr>
        <w:trPr>
          <w:cantSplit/>
          <w:tblHeader/>
        </w:trPr>
        <w:tc>
          <w:tcPr>
            <w:tcW w:type="dxa" w:w="464"/>
            <w:shd w:val="clear" w:color="auto" w:fill="D9E2F3"/>
          </w:tcPr>
          <w:p>
            <w:pPr>
              <w:spacing w:after="40" w:line="240" w:lineRule="auto"/>
              <w:jc w:val="center"/>
            </w:pPr>
            <w:r/>
            <w:r>
              <w:rPr>
                <w:rFonts w:ascii="Times New Roman" w:hAnsi="Times New Roman"/>
                <w:b/>
                <w:sz w:val="19"/>
              </w:rPr>
              <w:t>No.</w:t>
            </w:r>
          </w:p>
        </w:tc>
        <w:tc>
          <w:tcPr>
            <w:tcW w:type="dxa" w:w="2505"/>
            <w:shd w:val="clear" w:color="auto" w:fill="D9E2F3"/>
          </w:tcPr>
          <w:p>
            <w:pPr>
              <w:spacing w:after="40" w:line="240" w:lineRule="auto"/>
              <w:jc w:val="center"/>
            </w:pPr>
            <w:r/>
            <w:r>
              <w:rPr>
                <w:rFonts w:ascii="Times New Roman" w:hAnsi="Times New Roman"/>
                <w:b/>
                <w:sz w:val="19"/>
              </w:rPr>
              <w:t>Paper and venue</w:t>
            </w:r>
          </w:p>
        </w:tc>
        <w:tc>
          <w:tcPr>
            <w:tcW w:type="dxa" w:w="3154"/>
            <w:shd w:val="clear" w:color="auto" w:fill="D9E2F3"/>
          </w:tcPr>
          <w:p>
            <w:pPr>
              <w:spacing w:after="40" w:line="240" w:lineRule="auto"/>
              <w:jc w:val="center"/>
            </w:pPr>
            <w:r/>
            <w:r>
              <w:rPr>
                <w:rFonts w:ascii="Times New Roman" w:hAnsi="Times New Roman"/>
                <w:b/>
                <w:sz w:val="19"/>
              </w:rPr>
              <w:t>Methodology</w:t>
            </w:r>
          </w:p>
        </w:tc>
        <w:tc>
          <w:tcPr>
            <w:tcW w:type="dxa" w:w="2783"/>
            <w:shd w:val="clear" w:color="auto" w:fill="D9E2F3"/>
          </w:tcPr>
          <w:p>
            <w:pPr>
              <w:spacing w:after="40" w:line="240" w:lineRule="auto"/>
              <w:jc w:val="center"/>
            </w:pPr>
            <w:r/>
            <w:r>
              <w:rPr>
                <w:rFonts w:ascii="Times New Roman" w:hAnsi="Times New Roman"/>
                <w:b/>
                <w:sz w:val="19"/>
              </w:rPr>
              <w:t>Gap</w:t>
            </w:r>
          </w:p>
        </w:tc>
      </w:tr>
      <w:tr>
        <w:trPr>
          <w:cantSplit/>
        </w:trPr>
        <w:tc>
          <w:tcPr>
            <w:tcW w:type="dxa" w:w="464"/>
          </w:tcPr>
          <w:p>
            <w:pPr>
              <w:spacing w:after="40" w:line="240" w:lineRule="auto"/>
              <w:jc w:val="left"/>
            </w:pPr>
            <w:r/>
            <w:r>
              <w:rPr>
                <w:rFonts w:ascii="Times New Roman" w:hAnsi="Times New Roman"/>
                <w:sz w:val="19"/>
              </w:rPr>
              <w:t>1</w:t>
            </w:r>
          </w:p>
        </w:tc>
        <w:tc>
          <w:tcPr>
            <w:tcW w:type="dxa" w:w="2505"/>
          </w:tcPr>
          <w:p>
            <w:pPr>
              <w:spacing w:after="40" w:line="240" w:lineRule="auto"/>
              <w:jc w:val="center"/>
            </w:pPr>
            <w:r/>
            <w:r>
              <w:rPr>
                <w:rFonts w:ascii="Times New Roman" w:hAnsi="Times New Roman"/>
                <w:sz w:val="19"/>
              </w:rPr>
              <w:t>Indra et al., Stock Return Prediction on the LQ45 Market Index Using a Machine Learning Algorithm Based on Technical Indicators. Journal of Risk and Financial Management, 2025</w:t>
            </w:r>
          </w:p>
        </w:tc>
        <w:tc>
          <w:tcPr>
            <w:tcW w:type="dxa" w:w="3154"/>
          </w:tcPr>
          <w:p>
            <w:pPr>
              <w:spacing w:after="40" w:line="240" w:lineRule="auto"/>
              <w:jc w:val="center"/>
            </w:pPr>
            <w:r/>
            <w:r>
              <w:rPr>
                <w:rFonts w:ascii="Times New Roman" w:hAnsi="Times New Roman"/>
                <w:sz w:val="19"/>
              </w:rPr>
              <w:t>Random Forest, XGBoost, linear and Ridge regression on technical indicators for six Indonesian stocks at 5- and 21-day horizons; SHAP used to rank features</w:t>
            </w:r>
          </w:p>
        </w:tc>
        <w:tc>
          <w:tcPr>
            <w:tcW w:type="dxa" w:w="2783"/>
          </w:tcPr>
          <w:p>
            <w:pPr>
              <w:spacing w:after="40" w:line="240" w:lineRule="auto"/>
              <w:jc w:val="center"/>
            </w:pPr>
            <w:r/>
            <w:r>
              <w:rPr>
                <w:rFonts w:ascii="Times New Roman" w:hAnsi="Times New Roman"/>
                <w:sz w:val="19"/>
              </w:rPr>
              <w:t>Only six stocks. SHAP results are reported but never checked for correctness or stability.</w:t>
            </w:r>
          </w:p>
        </w:tc>
      </w:tr>
      <w:tr>
        <w:trPr>
          <w:cantSplit/>
        </w:trPr>
        <w:tc>
          <w:tcPr>
            <w:tcW w:type="dxa" w:w="464"/>
          </w:tcPr>
          <w:p>
            <w:pPr>
              <w:spacing w:after="40" w:line="240" w:lineRule="auto"/>
              <w:jc w:val="left"/>
            </w:pPr>
            <w:r/>
            <w:r>
              <w:rPr>
                <w:rFonts w:ascii="Times New Roman" w:hAnsi="Times New Roman"/>
                <w:sz w:val="19"/>
              </w:rPr>
              <w:t>2</w:t>
            </w:r>
          </w:p>
        </w:tc>
        <w:tc>
          <w:tcPr>
            <w:tcW w:type="dxa" w:w="2505"/>
          </w:tcPr>
          <w:p>
            <w:pPr>
              <w:spacing w:after="40" w:line="240" w:lineRule="auto"/>
              <w:jc w:val="center"/>
            </w:pPr>
            <w:r/>
            <w:r>
              <w:rPr>
                <w:rFonts w:ascii="Times New Roman" w:hAnsi="Times New Roman"/>
                <w:sz w:val="19"/>
              </w:rPr>
              <w:t>Lee and Cai, Comparing model-specific and model-agnostic feature importance methods using machine learning with technical indicators. Machine Learning with Applications, 2025</w:t>
            </w:r>
          </w:p>
        </w:tc>
        <w:tc>
          <w:tcPr>
            <w:tcW w:type="dxa" w:w="3154"/>
          </w:tcPr>
          <w:p>
            <w:pPr>
              <w:spacing w:after="40" w:line="240" w:lineRule="auto"/>
              <w:jc w:val="center"/>
            </w:pPr>
            <w:r/>
            <w:r>
              <w:rPr>
                <w:rFonts w:ascii="Times New Roman" w:hAnsi="Times New Roman"/>
                <w:sz w:val="19"/>
              </w:rPr>
              <w:t>Random Forest and neural networks across the eleven NASDAQ sectors; compares feature importance methods as a tool for selecting indicators</w:t>
            </w:r>
          </w:p>
        </w:tc>
        <w:tc>
          <w:tcPr>
            <w:tcW w:type="dxa" w:w="2783"/>
          </w:tcPr>
          <w:p>
            <w:pPr>
              <w:spacing w:after="40" w:line="240" w:lineRule="auto"/>
              <w:jc w:val="center"/>
            </w:pPr>
            <w:r/>
            <w:r>
              <w:rPr>
                <w:rFonts w:ascii="Times New Roman" w:hAnsi="Times New Roman"/>
                <w:sz w:val="19"/>
              </w:rPr>
              <w:t>Importance methods are used only to select features. Whether the explanations are trustworthy, or change over time, is not examined.</w:t>
            </w:r>
          </w:p>
        </w:tc>
      </w:tr>
      <w:tr>
        <w:trPr>
          <w:cantSplit/>
        </w:trPr>
        <w:tc>
          <w:tcPr>
            <w:tcW w:type="dxa" w:w="464"/>
          </w:tcPr>
          <w:p>
            <w:pPr>
              <w:spacing w:after="40" w:line="240" w:lineRule="auto"/>
              <w:jc w:val="left"/>
            </w:pPr>
            <w:r/>
            <w:r>
              <w:rPr>
                <w:rFonts w:ascii="Times New Roman" w:hAnsi="Times New Roman"/>
                <w:sz w:val="19"/>
              </w:rPr>
              <w:t>3</w:t>
            </w:r>
          </w:p>
        </w:tc>
        <w:tc>
          <w:tcPr>
            <w:tcW w:type="dxa" w:w="2505"/>
          </w:tcPr>
          <w:p>
            <w:pPr>
              <w:spacing w:after="40" w:line="240" w:lineRule="auto"/>
              <w:jc w:val="center"/>
            </w:pPr>
            <w:r/>
            <w:r>
              <w:rPr>
                <w:rFonts w:ascii="Times New Roman" w:hAnsi="Times New Roman"/>
                <w:sz w:val="19"/>
              </w:rPr>
              <w:t>Manikrao et al., An Explainable AI for Stock Market Prediction. Journal of Computational and Cognitive Engineering, 2025</w:t>
            </w:r>
          </w:p>
        </w:tc>
        <w:tc>
          <w:tcPr>
            <w:tcW w:type="dxa" w:w="3154"/>
          </w:tcPr>
          <w:p>
            <w:pPr>
              <w:spacing w:after="40" w:line="240" w:lineRule="auto"/>
              <w:jc w:val="center"/>
            </w:pPr>
            <w:r/>
            <w:r>
              <w:rPr>
                <w:rFonts w:ascii="Times New Roman" w:hAnsi="Times New Roman"/>
                <w:sz w:val="19"/>
              </w:rPr>
              <w:t>LSTM with attention over sentiment and technical indicators, compared against Random Forest and XGBoost; SHAP and LIME used side by side</w:t>
            </w:r>
          </w:p>
        </w:tc>
        <w:tc>
          <w:tcPr>
            <w:tcW w:type="dxa" w:w="2783"/>
          </w:tcPr>
          <w:p>
            <w:pPr>
              <w:spacing w:after="40" w:line="240" w:lineRule="auto"/>
              <w:jc w:val="center"/>
            </w:pPr>
            <w:r/>
            <w:r>
              <w:rPr>
                <w:rFonts w:ascii="Times New Roman" w:hAnsi="Times New Roman"/>
                <w:sz w:val="19"/>
              </w:rPr>
              <w:t>SHAP and LIME are presented together but never compared, and LIME is never re-run to see whether it returns the same answer.</w:t>
            </w:r>
          </w:p>
        </w:tc>
      </w:tr>
      <w:tr>
        <w:trPr>
          <w:cantSplit/>
        </w:trPr>
        <w:tc>
          <w:tcPr>
            <w:tcW w:type="dxa" w:w="464"/>
          </w:tcPr>
          <w:p>
            <w:pPr>
              <w:spacing w:after="40" w:line="240" w:lineRule="auto"/>
              <w:jc w:val="left"/>
            </w:pPr>
            <w:r/>
            <w:r>
              <w:rPr>
                <w:rFonts w:ascii="Times New Roman" w:hAnsi="Times New Roman"/>
                <w:sz w:val="19"/>
              </w:rPr>
              <w:t>4</w:t>
            </w:r>
          </w:p>
        </w:tc>
        <w:tc>
          <w:tcPr>
            <w:tcW w:type="dxa" w:w="2505"/>
          </w:tcPr>
          <w:p>
            <w:pPr>
              <w:spacing w:after="40" w:line="240" w:lineRule="auto"/>
              <w:jc w:val="center"/>
            </w:pPr>
            <w:r/>
            <w:r>
              <w:rPr>
                <w:rFonts w:ascii="Times New Roman" w:hAnsi="Times New Roman"/>
                <w:sz w:val="19"/>
              </w:rPr>
              <w:t>Pagliaro, Regime-Aware LightGBM for Stock Market Forecasting. Electronics, 2026</w:t>
            </w:r>
          </w:p>
        </w:tc>
        <w:tc>
          <w:tcPr>
            <w:tcW w:type="dxa" w:w="3154"/>
          </w:tcPr>
          <w:p>
            <w:pPr>
              <w:spacing w:after="40" w:line="240" w:lineRule="auto"/>
              <w:jc w:val="center"/>
            </w:pPr>
            <w:r/>
            <w:r>
              <w:rPr>
                <w:rFonts w:ascii="Times New Roman" w:hAnsi="Times New Roman"/>
                <w:sz w:val="19"/>
              </w:rPr>
              <w:t>LightGBM on 51 NASDAQ-100 stocks with a walk-forward design adjusted for bull and bear phases; explanations shown to differ by phase</w:t>
            </w:r>
          </w:p>
        </w:tc>
        <w:tc>
          <w:tcPr>
            <w:tcW w:type="dxa" w:w="2783"/>
          </w:tcPr>
          <w:p>
            <w:pPr>
              <w:spacing w:after="40" w:line="240" w:lineRule="auto"/>
              <w:jc w:val="center"/>
            </w:pPr>
            <w:r/>
            <w:r>
              <w:rPr>
                <w:rFonts w:ascii="Times New Roman" w:hAnsi="Times New Roman"/>
                <w:sz w:val="19"/>
              </w:rPr>
              <w:t>The claim that explanations change across phases is asserted qualitatively, not tested statistically, and covers only 51 stocks.</w:t>
            </w:r>
          </w:p>
        </w:tc>
      </w:tr>
      <w:tr>
        <w:trPr>
          <w:cantSplit/>
        </w:trPr>
        <w:tc>
          <w:tcPr>
            <w:tcW w:type="dxa" w:w="464"/>
          </w:tcPr>
          <w:p>
            <w:pPr>
              <w:spacing w:after="40" w:line="240" w:lineRule="auto"/>
              <w:jc w:val="left"/>
            </w:pPr>
            <w:r/>
            <w:r>
              <w:rPr>
                <w:rFonts w:ascii="Times New Roman" w:hAnsi="Times New Roman"/>
                <w:sz w:val="19"/>
              </w:rPr>
              <w:t>5</w:t>
            </w:r>
          </w:p>
        </w:tc>
        <w:tc>
          <w:tcPr>
            <w:tcW w:type="dxa" w:w="2505"/>
          </w:tcPr>
          <w:p>
            <w:pPr>
              <w:spacing w:after="40" w:line="240" w:lineRule="auto"/>
              <w:jc w:val="center"/>
            </w:pPr>
            <w:r/>
            <w:r>
              <w:rPr>
                <w:rFonts w:ascii="Times New Roman" w:hAnsi="Times New Roman"/>
                <w:sz w:val="19"/>
              </w:rPr>
              <w:t>Song et al., Attention Integration Strategies in MLP-Based Stock Movement Prediction. Electronics, 2026</w:t>
            </w:r>
          </w:p>
        </w:tc>
        <w:tc>
          <w:tcPr>
            <w:tcW w:type="dxa" w:w="3154"/>
          </w:tcPr>
          <w:p>
            <w:pPr>
              <w:spacing w:after="40" w:line="240" w:lineRule="auto"/>
              <w:jc w:val="center"/>
            </w:pPr>
            <w:r/>
            <w:r>
              <w:rPr>
                <w:rFonts w:ascii="Times New Roman" w:hAnsi="Times New Roman"/>
                <w:sz w:val="19"/>
              </w:rPr>
              <w:t>Multi-layer perceptron variants trained 1,600 times with different random seeds on 20 stocks drawn from the CSI 300 and the S&amp;P 500</w:t>
            </w:r>
          </w:p>
        </w:tc>
        <w:tc>
          <w:tcPr>
            <w:tcW w:type="dxa" w:w="2783"/>
          </w:tcPr>
          <w:p>
            <w:pPr>
              <w:spacing w:after="40" w:line="240" w:lineRule="auto"/>
              <w:jc w:val="center"/>
            </w:pPr>
            <w:r/>
            <w:r>
              <w:rPr>
                <w:rFonts w:ascii="Times New Roman" w:hAnsi="Times New Roman"/>
                <w:sz w:val="19"/>
              </w:rPr>
              <w:t>Establishes that explanations move with the random seed, but only for neural networks, not for a Random Forest explained by SHAP or LIME.</w:t>
            </w:r>
          </w:p>
        </w:tc>
      </w:tr>
    </w:tbl>
    <w:p>
      <w:pPr>
        <w:keepNext w:val="0"/>
        <w:spacing w:line="276" w:lineRule="auto" w:after="80"/>
        <w:jc w:val="both"/>
      </w:pPr>
    </w:p>
    <w:p>
      <w:pPr>
        <w:keepNext w:val="0"/>
        <w:spacing w:line="276" w:lineRule="auto" w:after="120"/>
        <w:jc w:val="both"/>
      </w:pPr>
      <w:r>
        <w:rPr>
          <w:rFonts w:ascii="Times New Roman" w:hAnsi="Times New Roman"/>
          <w:b w:val="0"/>
          <w:i w:val="0"/>
          <w:sz w:val="24"/>
        </w:rPr>
        <w:t>Taken together, these papers establish the practice this project examines. Papers 1 and 3 report explanations as findings. Paper 2 treats importance as a feature-selection device. Paper 4 observes regime dependence without testing it. Paper 5 demonstrates seed sensitivity, which is precisely the kind of check the others omit, but does so for a different model family.</w:t>
      </w:r>
    </w:p>
    <w:p>
      <w:pPr>
        <w:keepNext/>
        <w:spacing w:line="240" w:lineRule="auto" w:after="160"/>
        <w:jc w:val="left"/>
      </w:pPr>
      <w:r>
        <w:rPr>
          <w:rFonts w:ascii="Times New Roman" w:hAnsi="Times New Roman"/>
          <w:b/>
          <w:i w:val="0"/>
          <w:sz w:val="26"/>
        </w:rPr>
        <w:t>2.2 Research Gap</w:t>
      </w:r>
    </w:p>
    <w:p>
      <w:pPr>
        <w:keepNext/>
        <w:spacing w:line="240" w:lineRule="auto" w:after="200"/>
        <w:jc w:val="center"/>
      </w:pPr>
      <w:r>
        <w:rPr>
          <w:rFonts w:ascii="Times New Roman" w:hAnsi="Times New Roman"/>
          <w:b w:val="0"/>
          <w:i w:val="0"/>
          <w:sz w:val="20"/>
        </w:rPr>
        <w:t>Table 2.2  What is missing from the reviewed work, and how this project supplies it</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3364"/>
        <w:gridCol w:w="1583"/>
        <w:gridCol w:w="3958"/>
      </w:tblGrid>
      <w:tr>
        <w:trPr>
          <w:cantSplit/>
          <w:tblHeader/>
        </w:trPr>
        <w:tc>
          <w:tcPr>
            <w:tcW w:type="dxa" w:w="3365"/>
            <w:shd w:val="clear" w:color="auto" w:fill="D9E2F3"/>
          </w:tcPr>
          <w:p>
            <w:pPr>
              <w:spacing w:after="40" w:line="240" w:lineRule="auto"/>
              <w:jc w:val="center"/>
            </w:pPr>
            <w:r/>
            <w:r>
              <w:rPr>
                <w:rFonts w:ascii="Times New Roman" w:hAnsi="Times New Roman"/>
                <w:b/>
                <w:sz w:val="19"/>
              </w:rPr>
              <w:t>Missing element</w:t>
            </w:r>
          </w:p>
        </w:tc>
        <w:tc>
          <w:tcPr>
            <w:tcW w:type="dxa" w:w="1583"/>
            <w:shd w:val="clear" w:color="auto" w:fill="D9E2F3"/>
          </w:tcPr>
          <w:p>
            <w:pPr>
              <w:spacing w:after="40" w:line="240" w:lineRule="auto"/>
              <w:jc w:val="center"/>
            </w:pPr>
            <w:r/>
            <w:r>
              <w:rPr>
                <w:rFonts w:ascii="Times New Roman" w:hAnsi="Times New Roman"/>
                <w:b/>
                <w:sz w:val="19"/>
              </w:rPr>
              <w:t>Papers affected</w:t>
            </w:r>
          </w:p>
        </w:tc>
        <w:tc>
          <w:tcPr>
            <w:tcW w:type="dxa" w:w="3958"/>
            <w:shd w:val="clear" w:color="auto" w:fill="D9E2F3"/>
          </w:tcPr>
          <w:p>
            <w:pPr>
              <w:spacing w:after="40" w:line="240" w:lineRule="auto"/>
              <w:jc w:val="center"/>
            </w:pPr>
            <w:r/>
            <w:r>
              <w:rPr>
                <w:rFonts w:ascii="Times New Roman" w:hAnsi="Times New Roman"/>
                <w:b/>
                <w:sz w:val="19"/>
              </w:rPr>
              <w:t>Addressed here by</w:t>
            </w:r>
          </w:p>
        </w:tc>
      </w:tr>
      <w:tr>
        <w:trPr>
          <w:cantSplit/>
        </w:trPr>
        <w:tc>
          <w:tcPr>
            <w:tcW w:type="dxa" w:w="3365"/>
          </w:tcPr>
          <w:p>
            <w:pPr>
              <w:spacing w:after="40" w:line="240" w:lineRule="auto"/>
              <w:jc w:val="left"/>
            </w:pPr>
            <w:r/>
            <w:r>
              <w:rPr>
                <w:rFonts w:ascii="Times New Roman" w:hAnsi="Times New Roman"/>
                <w:sz w:val="19"/>
              </w:rPr>
              <w:t>Faithfulness: evidence that the explanation points at features the model really uses</w:t>
            </w:r>
          </w:p>
        </w:tc>
        <w:tc>
          <w:tcPr>
            <w:tcW w:type="dxa" w:w="1583"/>
          </w:tcPr>
          <w:p>
            <w:pPr>
              <w:spacing w:after="40" w:line="240" w:lineRule="auto"/>
              <w:jc w:val="center"/>
            </w:pPr>
            <w:r/>
            <w:r>
              <w:rPr>
                <w:rFonts w:ascii="Times New Roman" w:hAnsi="Times New Roman"/>
                <w:sz w:val="19"/>
              </w:rPr>
              <w:t>1, 3</w:t>
            </w:r>
          </w:p>
        </w:tc>
        <w:tc>
          <w:tcPr>
            <w:tcW w:type="dxa" w:w="3958"/>
          </w:tcPr>
          <w:p>
            <w:pPr>
              <w:spacing w:after="40" w:line="240" w:lineRule="auto"/>
              <w:jc w:val="center"/>
            </w:pPr>
            <w:r/>
            <w:r>
              <w:rPr>
                <w:rFonts w:ascii="Times New Roman" w:hAnsi="Times New Roman"/>
                <w:sz w:val="19"/>
              </w:rPr>
              <w:t>Deletion tests in which removing top-ranked features must change the forecast more than removing random ones</w:t>
            </w:r>
          </w:p>
        </w:tc>
      </w:tr>
      <w:tr>
        <w:trPr>
          <w:cantSplit/>
        </w:trPr>
        <w:tc>
          <w:tcPr>
            <w:tcW w:type="dxa" w:w="3365"/>
          </w:tcPr>
          <w:p>
            <w:pPr>
              <w:spacing w:after="40" w:line="240" w:lineRule="auto"/>
              <w:jc w:val="left"/>
            </w:pPr>
            <w:r/>
            <w:r>
              <w:rPr>
                <w:rFonts w:ascii="Times New Roman" w:hAnsi="Times New Roman"/>
                <w:sz w:val="19"/>
              </w:rPr>
              <w:t>Stability under re-seeding, retraining and repeated explanation</w:t>
            </w:r>
          </w:p>
        </w:tc>
        <w:tc>
          <w:tcPr>
            <w:tcW w:type="dxa" w:w="1583"/>
          </w:tcPr>
          <w:p>
            <w:pPr>
              <w:spacing w:after="40" w:line="240" w:lineRule="auto"/>
              <w:jc w:val="center"/>
            </w:pPr>
            <w:r/>
            <w:r>
              <w:rPr>
                <w:rFonts w:ascii="Times New Roman" w:hAnsi="Times New Roman"/>
                <w:sz w:val="19"/>
              </w:rPr>
              <w:t>1, 3, 5</w:t>
            </w:r>
          </w:p>
        </w:tc>
        <w:tc>
          <w:tcPr>
            <w:tcW w:type="dxa" w:w="3958"/>
          </w:tcPr>
          <w:p>
            <w:pPr>
              <w:spacing w:after="40" w:line="240" w:lineRule="auto"/>
              <w:jc w:val="center"/>
            </w:pPr>
            <w:r/>
            <w:r>
              <w:rPr>
                <w:rFonts w:ascii="Times New Roman" w:hAnsi="Times New Roman"/>
                <w:sz w:val="19"/>
              </w:rPr>
              <w:t>Five random seeds, four consecutive yearly retrains, and five LIME runs per forecast</w:t>
            </w:r>
          </w:p>
        </w:tc>
      </w:tr>
      <w:tr>
        <w:trPr>
          <w:cantSplit/>
        </w:trPr>
        <w:tc>
          <w:tcPr>
            <w:tcW w:type="dxa" w:w="3365"/>
          </w:tcPr>
          <w:p>
            <w:pPr>
              <w:spacing w:after="40" w:line="240" w:lineRule="auto"/>
              <w:jc w:val="left"/>
            </w:pPr>
            <w:r/>
            <w:r>
              <w:rPr>
                <w:rFonts w:ascii="Times New Roman" w:hAnsi="Times New Roman"/>
                <w:sz w:val="19"/>
              </w:rPr>
              <w:t>Agreement between explainers</w:t>
            </w:r>
          </w:p>
        </w:tc>
        <w:tc>
          <w:tcPr>
            <w:tcW w:type="dxa" w:w="1583"/>
          </w:tcPr>
          <w:p>
            <w:pPr>
              <w:spacing w:after="40" w:line="240" w:lineRule="auto"/>
              <w:jc w:val="center"/>
            </w:pPr>
            <w:r/>
            <w:r>
              <w:rPr>
                <w:rFonts w:ascii="Times New Roman" w:hAnsi="Times New Roman"/>
                <w:sz w:val="19"/>
              </w:rPr>
              <w:t>2, 3</w:t>
            </w:r>
          </w:p>
        </w:tc>
        <w:tc>
          <w:tcPr>
            <w:tcW w:type="dxa" w:w="3958"/>
          </w:tcPr>
          <w:p>
            <w:pPr>
              <w:spacing w:after="40" w:line="240" w:lineRule="auto"/>
              <w:jc w:val="center"/>
            </w:pPr>
            <w:r/>
            <w:r>
              <w:rPr>
                <w:rFonts w:ascii="Times New Roman" w:hAnsi="Times New Roman"/>
                <w:sz w:val="19"/>
              </w:rPr>
              <w:t>TreeSHAP against LIME, permutation importance and mean decrease in impurity</w:t>
            </w:r>
          </w:p>
        </w:tc>
      </w:tr>
      <w:tr>
        <w:trPr>
          <w:cantSplit/>
        </w:trPr>
        <w:tc>
          <w:tcPr>
            <w:tcW w:type="dxa" w:w="3365"/>
          </w:tcPr>
          <w:p>
            <w:pPr>
              <w:spacing w:after="40" w:line="240" w:lineRule="auto"/>
              <w:jc w:val="left"/>
            </w:pPr>
            <w:r/>
            <w:r>
              <w:rPr>
                <w:rFonts w:ascii="Times New Roman" w:hAnsi="Times New Roman"/>
                <w:sz w:val="19"/>
              </w:rPr>
              <w:t>Statistical testing of regime and sector dependence</w:t>
            </w:r>
          </w:p>
        </w:tc>
        <w:tc>
          <w:tcPr>
            <w:tcW w:type="dxa" w:w="1583"/>
          </w:tcPr>
          <w:p>
            <w:pPr>
              <w:spacing w:after="40" w:line="240" w:lineRule="auto"/>
              <w:jc w:val="center"/>
            </w:pPr>
            <w:r/>
            <w:r>
              <w:rPr>
                <w:rFonts w:ascii="Times New Roman" w:hAnsi="Times New Roman"/>
                <w:sz w:val="19"/>
              </w:rPr>
              <w:t>2, 4</w:t>
            </w:r>
          </w:p>
        </w:tc>
        <w:tc>
          <w:tcPr>
            <w:tcW w:type="dxa" w:w="3958"/>
          </w:tcPr>
          <w:p>
            <w:pPr>
              <w:spacing w:after="40" w:line="240" w:lineRule="auto"/>
              <w:jc w:val="center"/>
            </w:pPr>
            <w:r/>
            <w:r>
              <w:rPr>
                <w:rFonts w:ascii="Times New Roman" w:hAnsi="Times New Roman"/>
                <w:sz w:val="19"/>
              </w:rPr>
              <w:t>Permutation tests across four market regimes and eleven GICS sectors</w:t>
            </w:r>
          </w:p>
        </w:tc>
      </w:tr>
      <w:tr>
        <w:trPr>
          <w:cantSplit/>
        </w:trPr>
        <w:tc>
          <w:tcPr>
            <w:tcW w:type="dxa" w:w="3365"/>
          </w:tcPr>
          <w:p>
            <w:pPr>
              <w:spacing w:after="40" w:line="240" w:lineRule="auto"/>
              <w:jc w:val="left"/>
            </w:pPr>
            <w:r/>
            <w:r>
              <w:rPr>
                <w:rFonts w:ascii="Times New Roman" w:hAnsi="Times New Roman"/>
                <w:sz w:val="19"/>
              </w:rPr>
              <w:t>A broad stock universe</w:t>
            </w:r>
          </w:p>
        </w:tc>
        <w:tc>
          <w:tcPr>
            <w:tcW w:type="dxa" w:w="1583"/>
          </w:tcPr>
          <w:p>
            <w:pPr>
              <w:spacing w:after="40" w:line="240" w:lineRule="auto"/>
              <w:jc w:val="center"/>
            </w:pPr>
            <w:r/>
            <w:r>
              <w:rPr>
                <w:rFonts w:ascii="Times New Roman" w:hAnsi="Times New Roman"/>
                <w:sz w:val="19"/>
              </w:rPr>
              <w:t>1, 4, 5 (six to 51 stocks)</w:t>
            </w:r>
          </w:p>
        </w:tc>
        <w:tc>
          <w:tcPr>
            <w:tcW w:type="dxa" w:w="3958"/>
          </w:tcPr>
          <w:p>
            <w:pPr>
              <w:spacing w:after="40" w:line="240" w:lineRule="auto"/>
              <w:jc w:val="center"/>
            </w:pPr>
            <w:r/>
            <w:r>
              <w:rPr>
                <w:rFonts w:ascii="Times New Roman" w:hAnsi="Times New Roman"/>
                <w:sz w:val="19"/>
              </w:rPr>
              <w:t>474 S&amp;P 500 constituents</w:t>
            </w:r>
          </w:p>
        </w:tc>
      </w:tr>
    </w:tbl>
    <w:p>
      <w:pPr>
        <w:keepNext w:val="0"/>
        <w:spacing w:line="276" w:lineRule="auto" w:after="80"/>
        <w:jc w:val="both"/>
      </w:pPr>
    </w:p>
    <w:p>
      <w:pPr>
        <w:keepNext w:val="0"/>
        <w:spacing w:line="276" w:lineRule="auto" w:after="200"/>
        <w:ind w:left="567"/>
        <w:jc w:val="both"/>
      </w:pPr>
      <w:r>
        <w:rPr>
          <w:rFonts w:ascii="Times New Roman" w:hAnsi="Times New Roman"/>
          <w:b w:val="0"/>
          <w:i/>
          <w:sz w:val="24"/>
        </w:rPr>
        <w:t>No published study tests, for a Random Forest stock price model, whether SHAP and LIME explanations are faithful to the model, stable when the model or the explainer is re-run, in agreement with one another, and consistent across market phases such as the COVID crash and across sectors. This project supplies that test on 474 S&amp;P 500 stocks, with forecast accuracy benchmarked against naive persistence throughout.</w:t>
      </w:r>
    </w:p>
    <w:p>
      <w:pPr>
        <w:keepNext/>
        <w:spacing w:line="240" w:lineRule="auto" w:after="160"/>
        <w:jc w:val="left"/>
      </w:pPr>
      <w:r>
        <w:rPr>
          <w:rFonts w:ascii="Times New Roman" w:hAnsi="Times New Roman"/>
          <w:b/>
          <w:i w:val="0"/>
          <w:sz w:val="26"/>
        </w:rPr>
        <w:t>2.3 Objectives</w:t>
      </w:r>
    </w:p>
    <w:p>
      <w:pPr>
        <w:spacing w:line="276" w:lineRule="auto" w:after="60"/>
        <w:ind w:left="567" w:hanging="567"/>
        <w:jc w:val="both"/>
      </w:pPr>
      <w:r>
        <w:rPr>
          <w:rFonts w:ascii="Times New Roman" w:hAnsi="Times New Roman"/>
          <w:sz w:val="24"/>
        </w:rPr>
        <w:t>1.</w:t>
        <w:tab/>
        <w:t>Build a leakage-free, walk-forward Random Forest that forecasts the next-day closing price for 474 S&amp;P 500 stocks.</w:t>
      </w:r>
    </w:p>
    <w:p>
      <w:pPr>
        <w:spacing w:line="276" w:lineRule="auto" w:after="60"/>
        <w:ind w:left="567" w:hanging="567"/>
        <w:jc w:val="both"/>
      </w:pPr>
      <w:r>
        <w:rPr>
          <w:rFonts w:ascii="Times New Roman" w:hAnsi="Times New Roman"/>
          <w:sz w:val="24"/>
        </w:rPr>
        <w:t>2.</w:t>
        <w:tab/>
        <w:t>Measure its skill in return space first, using out-of-sample R-squared against both a zero-return and a drift benchmark, the information coefficient, directional accuracy and a decile portfolio, with Diebold-Mariano and binomial significance tests against naive persistence; report price-space accuracy second, for comparability with the literature.</w:t>
      </w:r>
    </w:p>
    <w:p>
      <w:pPr>
        <w:spacing w:line="276" w:lineRule="auto" w:after="60"/>
        <w:ind w:left="567" w:hanging="567"/>
        <w:jc w:val="both"/>
      </w:pPr>
      <w:r>
        <w:rPr>
          <w:rFonts w:ascii="Times New Roman" w:hAnsi="Times New Roman"/>
          <w:sz w:val="24"/>
        </w:rPr>
        <w:t>3.</w:t>
        <w:tab/>
        <w:t>Explain every sampled forecast with TreeSHAP and LIME, and compare four explainers.</w:t>
      </w:r>
    </w:p>
    <w:p>
      <w:pPr>
        <w:spacing w:line="276" w:lineRule="auto" w:after="60"/>
        <w:ind w:left="567" w:hanging="567"/>
        <w:jc w:val="both"/>
      </w:pPr>
      <w:r>
        <w:rPr>
          <w:rFonts w:ascii="Times New Roman" w:hAnsi="Times New Roman"/>
          <w:sz w:val="24"/>
        </w:rPr>
        <w:t>4.</w:t>
        <w:tab/>
        <w:t>Audit those explanations for faithfulness, stability and sanity against models trained on shuffled labels.</w:t>
      </w:r>
    </w:p>
    <w:p>
      <w:pPr>
        <w:spacing w:line="276" w:lineRule="auto" w:after="60"/>
        <w:ind w:left="567" w:hanging="567"/>
        <w:jc w:val="both"/>
      </w:pPr>
      <w:r>
        <w:rPr>
          <w:rFonts w:ascii="Times New Roman" w:hAnsi="Times New Roman"/>
          <w:sz w:val="24"/>
        </w:rPr>
        <w:t>5.</w:t>
        <w:tab/>
        <w:t>Test explanation drift across market regimes and GICS sectors with permutation tests.</w:t>
      </w:r>
    </w:p>
    <w:p>
      <w:pPr>
        <w:spacing w:line="276" w:lineRule="auto" w:after="60"/>
        <w:ind w:left="567" w:hanging="567"/>
        <w:jc w:val="both"/>
      </w:pPr>
      <w:r>
        <w:rPr>
          <w:rFonts w:ascii="Times New Roman" w:hAnsi="Times New Roman"/>
          <w:sz w:val="24"/>
        </w:rPr>
        <w:t>6.</w:t>
        <w:tab/>
        <w:t>Demonstrate the whole pipeline running forward on a trading session that has not yet happened, with every explanation recomputed at request time.</w:t>
      </w:r>
    </w:p>
    <w:p>
      <w:pPr>
        <w:keepNext/>
        <w:spacing w:line="240" w:lineRule="auto" w:after="160"/>
        <w:jc w:val="left"/>
      </w:pPr>
      <w:r>
        <w:rPr>
          <w:rFonts w:ascii="Times New Roman" w:hAnsi="Times New Roman"/>
          <w:b/>
          <w:i w:val="0"/>
          <w:sz w:val="26"/>
        </w:rPr>
        <w:t>2.4 Problem Statement</w:t>
      </w:r>
    </w:p>
    <w:p>
      <w:pPr>
        <w:keepNext w:val="0"/>
        <w:spacing w:line="276" w:lineRule="auto" w:after="200"/>
        <w:ind w:left="567"/>
        <w:jc w:val="both"/>
      </w:pPr>
      <w:r>
        <w:rPr>
          <w:rFonts w:ascii="Times New Roman" w:hAnsi="Times New Roman"/>
          <w:b w:val="0"/>
          <w:i/>
          <w:sz w:val="24"/>
        </w:rPr>
        <w:t>Given daily price and volume data for 474 S&amp;P 500 stocks from 2012 to 2022, build a Random Forest that forecasts each stock's next-day closing price, measure its accuracy against naive and learned baselines with significance tests, and explain every forecast with SHAP and LIME. Then determine whether those explanations can be trusted: whether they are faithful to the model, stable across random seeds and yearly retraining, consistent with each other and with importance-based explainers, different from the explanations of a model with no real signal, and consistent across market regimes and GICS sectors.</w:t>
      </w:r>
    </w:p>
    <w:p>
      <w:pPr>
        <w:keepNext/>
        <w:spacing w:line="240" w:lineRule="auto" w:after="120"/>
        <w:jc w:val="left"/>
      </w:pPr>
      <w:r>
        <w:rPr>
          <w:rFonts w:ascii="Times New Roman" w:hAnsi="Times New Roman"/>
          <w:b/>
          <w:i/>
          <w:sz w:val="24"/>
        </w:rPr>
        <w:t>2.4.1 Formal Definition</w:t>
      </w:r>
    </w:p>
    <w:p>
      <w:pPr>
        <w:keepNext/>
        <w:spacing w:line="240" w:lineRule="auto" w:after="200"/>
        <w:jc w:val="center"/>
      </w:pPr>
      <w:r>
        <w:rPr>
          <w:rFonts w:ascii="Times New Roman" w:hAnsi="Times New Roman"/>
          <w:b w:val="0"/>
          <w:i w:val="0"/>
          <w:sz w:val="20"/>
        </w:rPr>
        <w:t>Table 2.3  Formal specification of the forecasting and explanation problem</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1955"/>
        <w:gridCol w:w="6951"/>
      </w:tblGrid>
      <w:tr>
        <w:trPr>
          <w:cantSplit/>
          <w:tblHeader/>
        </w:trPr>
        <w:tc>
          <w:tcPr>
            <w:tcW w:type="dxa" w:w="1955"/>
            <w:shd w:val="clear" w:color="auto" w:fill="D9E2F3"/>
          </w:tcPr>
          <w:p>
            <w:pPr>
              <w:spacing w:after="40" w:line="240" w:lineRule="auto"/>
              <w:jc w:val="center"/>
            </w:pPr>
            <w:r/>
            <w:r>
              <w:rPr>
                <w:rFonts w:ascii="Times New Roman" w:hAnsi="Times New Roman"/>
                <w:b/>
                <w:sz w:val="19"/>
              </w:rPr>
              <w:t>Element</w:t>
            </w:r>
          </w:p>
        </w:tc>
        <w:tc>
          <w:tcPr>
            <w:tcW w:type="dxa" w:w="6951"/>
            <w:shd w:val="clear" w:color="auto" w:fill="D9E2F3"/>
          </w:tcPr>
          <w:p>
            <w:pPr>
              <w:spacing w:after="40" w:line="240" w:lineRule="auto"/>
              <w:jc w:val="center"/>
            </w:pPr>
            <w:r/>
            <w:r>
              <w:rPr>
                <w:rFonts w:ascii="Times New Roman" w:hAnsi="Times New Roman"/>
                <w:b/>
                <w:sz w:val="19"/>
              </w:rPr>
              <w:t>Definition</w:t>
            </w:r>
          </w:p>
        </w:tc>
      </w:tr>
      <w:tr>
        <w:trPr>
          <w:cantSplit/>
        </w:trPr>
        <w:tc>
          <w:tcPr>
            <w:tcW w:type="dxa" w:w="1955"/>
          </w:tcPr>
          <w:p>
            <w:pPr>
              <w:spacing w:after="40" w:line="240" w:lineRule="auto"/>
              <w:jc w:val="left"/>
            </w:pPr>
            <w:r/>
            <w:r>
              <w:rPr>
                <w:rFonts w:ascii="Times New Roman" w:hAnsi="Times New Roman"/>
                <w:sz w:val="19"/>
              </w:rPr>
              <w:t>Universe</w:t>
            </w:r>
          </w:p>
        </w:tc>
        <w:tc>
          <w:tcPr>
            <w:tcW w:type="dxa" w:w="6951"/>
          </w:tcPr>
          <w:p>
            <w:pPr>
              <w:spacing w:after="40" w:line="240" w:lineRule="auto"/>
              <w:jc w:val="center"/>
            </w:pPr>
            <w:r/>
            <w:r>
              <w:rPr>
                <w:rFonts w:ascii="Times New Roman" w:hAnsi="Times New Roman"/>
                <w:sz w:val="19"/>
              </w:rPr>
              <w:t>N = 474 S&amp;P 500 stocks indexed by i, trading days indexed by t</w:t>
            </w:r>
          </w:p>
        </w:tc>
      </w:tr>
      <w:tr>
        <w:trPr>
          <w:cantSplit/>
        </w:trPr>
        <w:tc>
          <w:tcPr>
            <w:tcW w:type="dxa" w:w="1955"/>
          </w:tcPr>
          <w:p>
            <w:pPr>
              <w:spacing w:after="40" w:line="240" w:lineRule="auto"/>
              <w:jc w:val="left"/>
            </w:pPr>
            <w:r/>
            <w:r>
              <w:rPr>
                <w:rFonts w:ascii="Times New Roman" w:hAnsi="Times New Roman"/>
                <w:sz w:val="19"/>
              </w:rPr>
              <w:t>Input</w:t>
            </w:r>
          </w:p>
        </w:tc>
        <w:tc>
          <w:tcPr>
            <w:tcW w:type="dxa" w:w="6951"/>
          </w:tcPr>
          <w:p>
            <w:pPr>
              <w:spacing w:after="40" w:line="240" w:lineRule="auto"/>
              <w:jc w:val="center"/>
            </w:pPr>
            <w:r/>
            <w:r>
              <w:rPr>
                <w:rFonts w:ascii="Times New Roman" w:hAnsi="Times New Roman"/>
                <w:sz w:val="19"/>
              </w:rPr>
              <w:t>A feature vector x(i,t) in 32 dimensions, computed only from prices and volumes up to and including the close of day t, in seven families</w:t>
            </w:r>
          </w:p>
        </w:tc>
      </w:tr>
      <w:tr>
        <w:trPr>
          <w:cantSplit/>
        </w:trPr>
        <w:tc>
          <w:tcPr>
            <w:tcW w:type="dxa" w:w="1955"/>
          </w:tcPr>
          <w:p>
            <w:pPr>
              <w:spacing w:after="40" w:line="240" w:lineRule="auto"/>
              <w:jc w:val="left"/>
            </w:pPr>
            <w:r/>
            <w:r>
              <w:rPr>
                <w:rFonts w:ascii="Times New Roman" w:hAnsi="Times New Roman"/>
                <w:sz w:val="19"/>
              </w:rPr>
              <w:t>Output</w:t>
            </w:r>
          </w:p>
        </w:tc>
        <w:tc>
          <w:tcPr>
            <w:tcW w:type="dxa" w:w="6951"/>
          </w:tcPr>
          <w:p>
            <w:pPr>
              <w:spacing w:after="40" w:line="240" w:lineRule="auto"/>
              <w:jc w:val="center"/>
            </w:pPr>
            <w:r/>
            <w:r>
              <w:rPr>
                <w:rFonts w:ascii="Times New Roman" w:hAnsi="Times New Roman"/>
                <w:sz w:val="19"/>
              </w:rPr>
              <w:t>A forecast of the next-day closing price P-hat(i,t+1)</w:t>
            </w:r>
          </w:p>
        </w:tc>
      </w:tr>
      <w:tr>
        <w:trPr>
          <w:cantSplit/>
        </w:trPr>
        <w:tc>
          <w:tcPr>
            <w:tcW w:type="dxa" w:w="1955"/>
          </w:tcPr>
          <w:p>
            <w:pPr>
              <w:spacing w:after="40" w:line="240" w:lineRule="auto"/>
              <w:jc w:val="left"/>
            </w:pPr>
            <w:r/>
            <w:r>
              <w:rPr>
                <w:rFonts w:ascii="Times New Roman" w:hAnsi="Times New Roman"/>
                <w:sz w:val="19"/>
              </w:rPr>
              <w:t>Model</w:t>
            </w:r>
          </w:p>
        </w:tc>
        <w:tc>
          <w:tcPr>
            <w:tcW w:type="dxa" w:w="6951"/>
          </w:tcPr>
          <w:p>
            <w:pPr>
              <w:spacing w:after="40" w:line="240" w:lineRule="auto"/>
              <w:jc w:val="center"/>
            </w:pPr>
            <w:r/>
            <w:r>
              <w:rPr>
                <w:rFonts w:ascii="Times New Roman" w:hAnsi="Times New Roman"/>
                <w:sz w:val="19"/>
              </w:rPr>
              <w:t>A Random Forest f predicting the next-day log return, r-hat = f(x(i,t)); the price forecast is P(i,t) multiplied by exp(r-hat)</w:t>
            </w:r>
          </w:p>
        </w:tc>
      </w:tr>
      <w:tr>
        <w:trPr>
          <w:cantSplit/>
        </w:trPr>
        <w:tc>
          <w:tcPr>
            <w:tcW w:type="dxa" w:w="1955"/>
          </w:tcPr>
          <w:p>
            <w:pPr>
              <w:spacing w:after="40" w:line="240" w:lineRule="auto"/>
              <w:jc w:val="left"/>
            </w:pPr>
            <w:r/>
            <w:r>
              <w:rPr>
                <w:rFonts w:ascii="Times New Roman" w:hAnsi="Times New Roman"/>
                <w:sz w:val="19"/>
              </w:rPr>
              <w:t>Explanations</w:t>
            </w:r>
          </w:p>
        </w:tc>
        <w:tc>
          <w:tcPr>
            <w:tcW w:type="dxa" w:w="6951"/>
          </w:tcPr>
          <w:p>
            <w:pPr>
              <w:spacing w:after="40" w:line="240" w:lineRule="auto"/>
              <w:jc w:val="center"/>
            </w:pPr>
            <w:r/>
            <w:r>
              <w:rPr>
                <w:rFonts w:ascii="Times New Roman" w:hAnsi="Times New Roman"/>
                <w:sz w:val="19"/>
              </w:rPr>
              <w:t>A SHAP vector phi and a LIME weight vector lambda, each in 32 dimensions, for every explained forecast</w:t>
            </w:r>
          </w:p>
        </w:tc>
      </w:tr>
      <w:tr>
        <w:trPr>
          <w:cantSplit/>
        </w:trPr>
        <w:tc>
          <w:tcPr>
            <w:tcW w:type="dxa" w:w="1955"/>
          </w:tcPr>
          <w:p>
            <w:pPr>
              <w:spacing w:after="40" w:line="240" w:lineRule="auto"/>
              <w:jc w:val="left"/>
            </w:pPr>
            <w:r/>
            <w:r>
              <w:rPr>
                <w:rFonts w:ascii="Times New Roman" w:hAnsi="Times New Roman"/>
                <w:sz w:val="19"/>
              </w:rPr>
              <w:t>Evaluation</w:t>
            </w:r>
          </w:p>
        </w:tc>
        <w:tc>
          <w:tcPr>
            <w:tcW w:type="dxa" w:w="6951"/>
          </w:tcPr>
          <w:p>
            <w:pPr>
              <w:spacing w:after="40" w:line="240" w:lineRule="auto"/>
              <w:jc w:val="center"/>
            </w:pPr>
            <w:r/>
            <w:r>
              <w:rPr>
                <w:rFonts w:ascii="Times New Roman" w:hAnsi="Times New Roman"/>
                <w:sz w:val="19"/>
              </w:rPr>
              <w:t>Primary: return-space skill against zero-return and drift benchmarks, tested with Diebold-Mariano. Secondary: price-space accuracy. Plus a five-part reliability audit of phi and lambda</w:t>
            </w:r>
          </w:p>
        </w:tc>
      </w:tr>
    </w:tbl>
    <w:p>
      <w:pPr>
        <w:keepNext w:val="0"/>
        <w:spacing w:line="276" w:lineRule="auto" w:after="80"/>
        <w:jc w:val="both"/>
      </w:pPr>
    </w:p>
    <w:p>
      <w:pPr>
        <w:keepNext/>
        <w:spacing w:line="240" w:lineRule="auto" w:after="120"/>
        <w:jc w:val="left"/>
      </w:pPr>
      <w:r>
        <w:rPr>
          <w:rFonts w:ascii="Times New Roman" w:hAnsi="Times New Roman"/>
          <w:b/>
          <w:i/>
          <w:sz w:val="24"/>
        </w:rPr>
        <w:t>2.4.2 Research Questions</w:t>
      </w:r>
    </w:p>
    <w:p>
      <w:pPr>
        <w:keepNext/>
        <w:spacing w:line="240" w:lineRule="auto" w:after="200"/>
        <w:jc w:val="center"/>
      </w:pPr>
      <w:r>
        <w:rPr>
          <w:rFonts w:ascii="Times New Roman" w:hAnsi="Times New Roman"/>
          <w:b w:val="0"/>
          <w:i w:val="0"/>
          <w:sz w:val="20"/>
        </w:rPr>
        <w:t>Table 2.4  Research questions addressed by this project</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868"/>
        <w:gridCol w:w="8037"/>
      </w:tblGrid>
      <w:tr>
        <w:trPr>
          <w:cantSplit/>
          <w:tblHeader/>
        </w:trPr>
        <w:tc>
          <w:tcPr>
            <w:tcW w:type="dxa" w:w="869"/>
            <w:shd w:val="clear" w:color="auto" w:fill="D9E2F3"/>
          </w:tcPr>
          <w:p>
            <w:pPr>
              <w:spacing w:after="40" w:line="240" w:lineRule="auto"/>
              <w:jc w:val="center"/>
            </w:pPr>
            <w:r/>
            <w:r>
              <w:rPr>
                <w:rFonts w:ascii="Times New Roman" w:hAnsi="Times New Roman"/>
                <w:b/>
                <w:sz w:val="19"/>
              </w:rPr>
              <w:t>No.</w:t>
            </w:r>
          </w:p>
        </w:tc>
        <w:tc>
          <w:tcPr>
            <w:tcW w:type="dxa" w:w="8038"/>
            <w:shd w:val="clear" w:color="auto" w:fill="D9E2F3"/>
          </w:tcPr>
          <w:p>
            <w:pPr>
              <w:spacing w:after="40" w:line="240" w:lineRule="auto"/>
              <w:jc w:val="center"/>
            </w:pPr>
            <w:r/>
            <w:r>
              <w:rPr>
                <w:rFonts w:ascii="Times New Roman" w:hAnsi="Times New Roman"/>
                <w:b/>
                <w:sz w:val="19"/>
              </w:rPr>
              <w:t>Research question</w:t>
            </w:r>
          </w:p>
        </w:tc>
      </w:tr>
      <w:tr>
        <w:trPr>
          <w:cantSplit/>
        </w:trPr>
        <w:tc>
          <w:tcPr>
            <w:tcW w:type="dxa" w:w="869"/>
          </w:tcPr>
          <w:p>
            <w:pPr>
              <w:spacing w:after="40" w:line="240" w:lineRule="auto"/>
              <w:jc w:val="left"/>
            </w:pPr>
            <w:r/>
            <w:r>
              <w:rPr>
                <w:rFonts w:ascii="Times New Roman" w:hAnsi="Times New Roman"/>
                <w:sz w:val="19"/>
              </w:rPr>
              <w:t>RQ1</w:t>
            </w:r>
          </w:p>
        </w:tc>
        <w:tc>
          <w:tcPr>
            <w:tcW w:type="dxa" w:w="8038"/>
          </w:tcPr>
          <w:p>
            <w:pPr>
              <w:spacing w:after="40" w:line="240" w:lineRule="auto"/>
              <w:jc w:val="center"/>
            </w:pPr>
            <w:r/>
            <w:r>
              <w:rPr>
                <w:rFonts w:ascii="Times New Roman" w:hAnsi="Times New Roman"/>
                <w:sz w:val="19"/>
              </w:rPr>
              <w:t>How much skill does the Random Forest have on the quantity it predicts, the next-day return, and how much of its apparent price-level accuracy survives once it is scored in return space against naive persistence?</w:t>
            </w:r>
          </w:p>
        </w:tc>
      </w:tr>
      <w:tr>
        <w:trPr>
          <w:cantSplit/>
        </w:trPr>
        <w:tc>
          <w:tcPr>
            <w:tcW w:type="dxa" w:w="869"/>
          </w:tcPr>
          <w:p>
            <w:pPr>
              <w:spacing w:after="40" w:line="240" w:lineRule="auto"/>
              <w:jc w:val="left"/>
            </w:pPr>
            <w:r/>
            <w:r>
              <w:rPr>
                <w:rFonts w:ascii="Times New Roman" w:hAnsi="Times New Roman"/>
                <w:sz w:val="19"/>
              </w:rPr>
              <w:t>RQ2</w:t>
            </w:r>
          </w:p>
        </w:tc>
        <w:tc>
          <w:tcPr>
            <w:tcW w:type="dxa" w:w="8038"/>
          </w:tcPr>
          <w:p>
            <w:pPr>
              <w:spacing w:after="40" w:line="240" w:lineRule="auto"/>
              <w:jc w:val="center"/>
            </w:pPr>
            <w:r/>
            <w:r>
              <w:rPr>
                <w:rFonts w:ascii="Times New Roman" w:hAnsi="Times New Roman"/>
                <w:sz w:val="19"/>
              </w:rPr>
              <w:t>Which features and feature families drive the forecasts, globally and for individual stock-days?</w:t>
            </w:r>
          </w:p>
        </w:tc>
      </w:tr>
      <w:tr>
        <w:trPr>
          <w:cantSplit/>
        </w:trPr>
        <w:tc>
          <w:tcPr>
            <w:tcW w:type="dxa" w:w="869"/>
          </w:tcPr>
          <w:p>
            <w:pPr>
              <w:spacing w:after="40" w:line="240" w:lineRule="auto"/>
              <w:jc w:val="left"/>
            </w:pPr>
            <w:r/>
            <w:r>
              <w:rPr>
                <w:rFonts w:ascii="Times New Roman" w:hAnsi="Times New Roman"/>
                <w:sz w:val="19"/>
              </w:rPr>
              <w:t>RQ3</w:t>
            </w:r>
          </w:p>
        </w:tc>
        <w:tc>
          <w:tcPr>
            <w:tcW w:type="dxa" w:w="8038"/>
          </w:tcPr>
          <w:p>
            <w:pPr>
              <w:spacing w:after="40" w:line="240" w:lineRule="auto"/>
              <w:jc w:val="center"/>
            </w:pPr>
            <w:r/>
            <w:r>
              <w:rPr>
                <w:rFonts w:ascii="Times New Roman" w:hAnsi="Times New Roman"/>
                <w:sz w:val="19"/>
              </w:rPr>
              <w:t>Are the SHAP explanations faithful to the model, and stable across random seeds and yearly retraining?</w:t>
            </w:r>
          </w:p>
        </w:tc>
      </w:tr>
      <w:tr>
        <w:trPr>
          <w:cantSplit/>
        </w:trPr>
        <w:tc>
          <w:tcPr>
            <w:tcW w:type="dxa" w:w="869"/>
          </w:tcPr>
          <w:p>
            <w:pPr>
              <w:spacing w:after="40" w:line="240" w:lineRule="auto"/>
              <w:jc w:val="left"/>
            </w:pPr>
            <w:r/>
            <w:r>
              <w:rPr>
                <w:rFonts w:ascii="Times New Roman" w:hAnsi="Times New Roman"/>
                <w:sz w:val="19"/>
              </w:rPr>
              <w:t>RQ4</w:t>
            </w:r>
          </w:p>
        </w:tc>
        <w:tc>
          <w:tcPr>
            <w:tcW w:type="dxa" w:w="8038"/>
          </w:tcPr>
          <w:p>
            <w:pPr>
              <w:spacing w:after="40" w:line="240" w:lineRule="auto"/>
              <w:jc w:val="center"/>
            </w:pPr>
            <w:r/>
            <w:r>
              <w:rPr>
                <w:rFonts w:ascii="Times New Roman" w:hAnsi="Times New Roman"/>
                <w:sz w:val="19"/>
              </w:rPr>
              <w:t>Do the explanations change significantly across market regimes and GICS sectors?</w:t>
            </w:r>
          </w:p>
        </w:tc>
      </w:tr>
      <w:tr>
        <w:trPr>
          <w:cantSplit/>
        </w:trPr>
        <w:tc>
          <w:tcPr>
            <w:tcW w:type="dxa" w:w="869"/>
          </w:tcPr>
          <w:p>
            <w:pPr>
              <w:spacing w:after="40" w:line="240" w:lineRule="auto"/>
              <w:jc w:val="left"/>
            </w:pPr>
            <w:r/>
            <w:r>
              <w:rPr>
                <w:rFonts w:ascii="Times New Roman" w:hAnsi="Times New Roman"/>
                <w:sz w:val="19"/>
              </w:rPr>
              <w:t>RQ5</w:t>
            </w:r>
          </w:p>
        </w:tc>
        <w:tc>
          <w:tcPr>
            <w:tcW w:type="dxa" w:w="8038"/>
          </w:tcPr>
          <w:p>
            <w:pPr>
              <w:spacing w:after="40" w:line="240" w:lineRule="auto"/>
              <w:jc w:val="center"/>
            </w:pPr>
            <w:r/>
            <w:r>
              <w:rPr>
                <w:rFonts w:ascii="Times New Roman" w:hAnsi="Times New Roman"/>
                <w:sz w:val="19"/>
              </w:rPr>
              <w:t>Do the explanations differ from those of models trained on shuffled, signal-free labels?</w:t>
            </w:r>
          </w:p>
        </w:tc>
      </w:tr>
      <w:tr>
        <w:trPr>
          <w:cantSplit/>
        </w:trPr>
        <w:tc>
          <w:tcPr>
            <w:tcW w:type="dxa" w:w="869"/>
          </w:tcPr>
          <w:p>
            <w:pPr>
              <w:spacing w:after="40" w:line="240" w:lineRule="auto"/>
              <w:jc w:val="left"/>
            </w:pPr>
            <w:r/>
            <w:r>
              <w:rPr>
                <w:rFonts w:ascii="Times New Roman" w:hAnsi="Times New Roman"/>
                <w:sz w:val="19"/>
              </w:rPr>
              <w:t>RQ6</w:t>
            </w:r>
          </w:p>
        </w:tc>
        <w:tc>
          <w:tcPr>
            <w:tcW w:type="dxa" w:w="8038"/>
          </w:tcPr>
          <w:p>
            <w:pPr>
              <w:spacing w:after="40" w:line="240" w:lineRule="auto"/>
              <w:jc w:val="center"/>
            </w:pPr>
            <w:r/>
            <w:r>
              <w:rPr>
                <w:rFonts w:ascii="Times New Roman" w:hAnsi="Times New Roman"/>
                <w:sz w:val="19"/>
              </w:rPr>
              <w:t>Do SHAP and LIME agree, and which is more stable and faithful for this model?</w:t>
            </w:r>
          </w:p>
        </w:tc>
      </w:tr>
    </w:tbl>
    <w:p>
      <w:pPr>
        <w:keepNext w:val="0"/>
        <w:spacing w:line="276" w:lineRule="auto" w:after="80"/>
        <w:jc w:val="both"/>
      </w:pPr>
    </w:p>
    <w:p>
      <w:pPr>
        <w:keepNext/>
        <w:spacing w:line="240" w:lineRule="auto" w:after="160"/>
        <w:jc w:val="left"/>
      </w:pPr>
      <w:r>
        <w:rPr>
          <w:rFonts w:ascii="Times New Roman" w:hAnsi="Times New Roman"/>
          <w:b/>
          <w:i w:val="0"/>
          <w:sz w:val="26"/>
        </w:rPr>
        <w:t>2.5 Project Plan</w:t>
      </w:r>
    </w:p>
    <w:p>
      <w:pPr>
        <w:keepNext w:val="0"/>
        <w:spacing w:line="276" w:lineRule="auto" w:after="120"/>
        <w:jc w:val="both"/>
      </w:pPr>
      <w:r>
        <w:rPr>
          <w:rFonts w:ascii="Times New Roman" w:hAnsi="Times New Roman"/>
          <w:b w:val="0"/>
          <w:i w:val="0"/>
          <w:sz w:val="24"/>
        </w:rPr>
        <w:t>The work was organised as six stages, each writing its own artifact to disk so that any stage can be re-run or inspected without repeating the ones before it. The design decision that governs the schedule is that the test period is touched only once, at the end: hyperparameters are chosen on a validation year, and the walk-forward test runs afterwards.</w:t>
      </w:r>
    </w:p>
    <w:p>
      <w:pPr>
        <w:keepNext/>
        <w:spacing w:line="240" w:lineRule="auto" w:after="200"/>
        <w:jc w:val="center"/>
      </w:pPr>
      <w:r>
        <w:rPr>
          <w:rFonts w:ascii="Times New Roman" w:hAnsi="Times New Roman"/>
          <w:b w:val="0"/>
          <w:i w:val="0"/>
          <w:sz w:val="20"/>
        </w:rPr>
        <w:t>Table 2.5  Project plan by stage</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791"/>
        <w:gridCol w:w="4750"/>
        <w:gridCol w:w="3364"/>
      </w:tblGrid>
      <w:tr>
        <w:trPr>
          <w:cantSplit/>
          <w:tblHeader/>
        </w:trPr>
        <w:tc>
          <w:tcPr>
            <w:tcW w:type="dxa" w:w="792"/>
            <w:shd w:val="clear" w:color="auto" w:fill="D9E2F3"/>
          </w:tcPr>
          <w:p>
            <w:pPr>
              <w:spacing w:after="40" w:line="240" w:lineRule="auto"/>
              <w:jc w:val="center"/>
            </w:pPr>
            <w:r/>
            <w:r>
              <w:rPr>
                <w:rFonts w:ascii="Times New Roman" w:hAnsi="Times New Roman"/>
                <w:b/>
                <w:sz w:val="19"/>
              </w:rPr>
              <w:t>Stage</w:t>
            </w:r>
          </w:p>
        </w:tc>
        <w:tc>
          <w:tcPr>
            <w:tcW w:type="dxa" w:w="4750"/>
            <w:shd w:val="clear" w:color="auto" w:fill="D9E2F3"/>
          </w:tcPr>
          <w:p>
            <w:pPr>
              <w:spacing w:after="40" w:line="240" w:lineRule="auto"/>
              <w:jc w:val="center"/>
            </w:pPr>
            <w:r/>
            <w:r>
              <w:rPr>
                <w:rFonts w:ascii="Times New Roman" w:hAnsi="Times New Roman"/>
                <w:b/>
                <w:sz w:val="19"/>
              </w:rPr>
              <w:t>Activity</w:t>
            </w:r>
          </w:p>
        </w:tc>
        <w:tc>
          <w:tcPr>
            <w:tcW w:type="dxa" w:w="3365"/>
            <w:shd w:val="clear" w:color="auto" w:fill="D9E2F3"/>
          </w:tcPr>
          <w:p>
            <w:pPr>
              <w:spacing w:after="40" w:line="240" w:lineRule="auto"/>
              <w:jc w:val="center"/>
            </w:pPr>
            <w:r/>
            <w:r>
              <w:rPr>
                <w:rFonts w:ascii="Times New Roman" w:hAnsi="Times New Roman"/>
                <w:b/>
                <w:sz w:val="19"/>
              </w:rPr>
              <w:t>Deliverable</w:t>
            </w:r>
          </w:p>
        </w:tc>
      </w:tr>
      <w:tr>
        <w:trPr>
          <w:cantSplit/>
        </w:trPr>
        <w:tc>
          <w:tcPr>
            <w:tcW w:type="dxa" w:w="792"/>
          </w:tcPr>
          <w:p>
            <w:pPr>
              <w:spacing w:after="40" w:line="240" w:lineRule="auto"/>
              <w:jc w:val="left"/>
            </w:pPr>
            <w:r/>
            <w:r>
              <w:rPr>
                <w:rFonts w:ascii="Times New Roman" w:hAnsi="Times New Roman"/>
                <w:sz w:val="19"/>
              </w:rPr>
              <w:t>1</w:t>
            </w:r>
          </w:p>
        </w:tc>
        <w:tc>
          <w:tcPr>
            <w:tcW w:type="dxa" w:w="4750"/>
          </w:tcPr>
          <w:p>
            <w:pPr>
              <w:spacing w:after="40" w:line="240" w:lineRule="auto"/>
              <w:jc w:val="center"/>
            </w:pPr>
            <w:r/>
            <w:r>
              <w:rPr>
                <w:rFonts w:ascii="Times New Roman" w:hAnsi="Times New Roman"/>
                <w:sz w:val="19"/>
              </w:rPr>
              <w:t>Literature survey and gap analysis; selection of the benchmark dataset</w:t>
            </w:r>
          </w:p>
        </w:tc>
        <w:tc>
          <w:tcPr>
            <w:tcW w:type="dxa" w:w="3365"/>
          </w:tcPr>
          <w:p>
            <w:pPr>
              <w:spacing w:after="40" w:line="240" w:lineRule="auto"/>
              <w:jc w:val="center"/>
            </w:pPr>
            <w:r/>
            <w:r>
              <w:rPr>
                <w:rFonts w:ascii="Times New Roman" w:hAnsi="Times New Roman"/>
                <w:sz w:val="19"/>
              </w:rPr>
              <w:t>Reviewed set of five papers; stated research gap</w:t>
            </w:r>
          </w:p>
        </w:tc>
      </w:tr>
      <w:tr>
        <w:trPr>
          <w:cantSplit/>
        </w:trPr>
        <w:tc>
          <w:tcPr>
            <w:tcW w:type="dxa" w:w="792"/>
          </w:tcPr>
          <w:p>
            <w:pPr>
              <w:spacing w:after="40" w:line="240" w:lineRule="auto"/>
              <w:jc w:val="left"/>
            </w:pPr>
            <w:r/>
            <w:r>
              <w:rPr>
                <w:rFonts w:ascii="Times New Roman" w:hAnsi="Times New Roman"/>
                <w:sz w:val="19"/>
              </w:rPr>
              <w:t>2</w:t>
            </w:r>
          </w:p>
        </w:tc>
        <w:tc>
          <w:tcPr>
            <w:tcW w:type="dxa" w:w="4750"/>
          </w:tcPr>
          <w:p>
            <w:pPr>
              <w:spacing w:after="40" w:line="240" w:lineRule="auto"/>
              <w:jc w:val="center"/>
            </w:pPr>
            <w:r/>
            <w:r>
              <w:rPr>
                <w:rFonts w:ascii="Times New Roman" w:hAnsi="Times New Roman"/>
                <w:sz w:val="19"/>
              </w:rPr>
              <w:t>Data acquisition and cleaning; diagnosis of the three defects in the raw panel</w:t>
            </w:r>
          </w:p>
        </w:tc>
        <w:tc>
          <w:tcPr>
            <w:tcW w:type="dxa" w:w="3365"/>
          </w:tcPr>
          <w:p>
            <w:pPr>
              <w:spacing w:after="40" w:line="240" w:lineRule="auto"/>
              <w:jc w:val="center"/>
            </w:pPr>
            <w:r/>
            <w:r>
              <w:rPr>
                <w:rFonts w:ascii="Times New Roman" w:hAnsi="Times New Roman"/>
                <w:sz w:val="19"/>
              </w:rPr>
              <w:t>panel_clean.pkl</w:t>
            </w:r>
          </w:p>
        </w:tc>
      </w:tr>
      <w:tr>
        <w:trPr>
          <w:cantSplit/>
        </w:trPr>
        <w:tc>
          <w:tcPr>
            <w:tcW w:type="dxa" w:w="792"/>
          </w:tcPr>
          <w:p>
            <w:pPr>
              <w:spacing w:after="40" w:line="240" w:lineRule="auto"/>
              <w:jc w:val="left"/>
            </w:pPr>
            <w:r/>
            <w:r>
              <w:rPr>
                <w:rFonts w:ascii="Times New Roman" w:hAnsi="Times New Roman"/>
                <w:sz w:val="19"/>
              </w:rPr>
              <w:t>3</w:t>
            </w:r>
          </w:p>
        </w:tc>
        <w:tc>
          <w:tcPr>
            <w:tcW w:type="dxa" w:w="4750"/>
          </w:tcPr>
          <w:p>
            <w:pPr>
              <w:spacing w:after="40" w:line="240" w:lineRule="auto"/>
              <w:jc w:val="center"/>
            </w:pPr>
            <w:r/>
            <w:r>
              <w:rPr>
                <w:rFonts w:ascii="Times New Roman" w:hAnsi="Times New Roman"/>
                <w:sz w:val="19"/>
              </w:rPr>
              <w:t>Feature engineering, with leakage control verified on wide date-by-ticker tables</w:t>
            </w:r>
          </w:p>
        </w:tc>
        <w:tc>
          <w:tcPr>
            <w:tcW w:type="dxa" w:w="3365"/>
          </w:tcPr>
          <w:p>
            <w:pPr>
              <w:spacing w:after="40" w:line="240" w:lineRule="auto"/>
              <w:jc w:val="center"/>
            </w:pPr>
            <w:r/>
            <w:r>
              <w:rPr>
                <w:rFonts w:ascii="Times New Roman" w:hAnsi="Times New Roman"/>
                <w:sz w:val="19"/>
              </w:rPr>
              <w:t>features.pkl, 32 features in seven families</w:t>
            </w:r>
          </w:p>
        </w:tc>
      </w:tr>
      <w:tr>
        <w:trPr>
          <w:cantSplit/>
        </w:trPr>
        <w:tc>
          <w:tcPr>
            <w:tcW w:type="dxa" w:w="792"/>
          </w:tcPr>
          <w:p>
            <w:pPr>
              <w:spacing w:after="40" w:line="240" w:lineRule="auto"/>
              <w:jc w:val="left"/>
            </w:pPr>
            <w:r/>
            <w:r>
              <w:rPr>
                <w:rFonts w:ascii="Times New Roman" w:hAnsi="Times New Roman"/>
                <w:sz w:val="19"/>
              </w:rPr>
              <w:t>4</w:t>
            </w:r>
          </w:p>
        </w:tc>
        <w:tc>
          <w:tcPr>
            <w:tcW w:type="dxa" w:w="4750"/>
          </w:tcPr>
          <w:p>
            <w:pPr>
              <w:spacing w:after="40" w:line="240" w:lineRule="auto"/>
              <w:jc w:val="center"/>
            </w:pPr>
            <w:r/>
            <w:r>
              <w:rPr>
                <w:rFonts w:ascii="Times New Roman" w:hAnsi="Times New Roman"/>
                <w:sz w:val="19"/>
              </w:rPr>
              <w:t>Hyperparameter tuning on the validation year; walk-forward training</w:t>
            </w:r>
          </w:p>
        </w:tc>
        <w:tc>
          <w:tcPr>
            <w:tcW w:type="dxa" w:w="3365"/>
          </w:tcPr>
          <w:p>
            <w:pPr>
              <w:spacing w:after="40" w:line="240" w:lineRule="auto"/>
              <w:jc w:val="center"/>
            </w:pPr>
            <w:r/>
            <w:r>
              <w:rPr>
                <w:rFonts w:ascii="Times New Roman" w:hAnsi="Times New Roman"/>
                <w:sz w:val="19"/>
              </w:rPr>
              <w:t>tuning.json, four yearly models, 405,545 forecasts</w:t>
            </w:r>
          </w:p>
        </w:tc>
      </w:tr>
      <w:tr>
        <w:trPr>
          <w:cantSplit/>
        </w:trPr>
        <w:tc>
          <w:tcPr>
            <w:tcW w:type="dxa" w:w="792"/>
          </w:tcPr>
          <w:p>
            <w:pPr>
              <w:spacing w:after="40" w:line="240" w:lineRule="auto"/>
              <w:jc w:val="left"/>
            </w:pPr>
            <w:r/>
            <w:r>
              <w:rPr>
                <w:rFonts w:ascii="Times New Roman" w:hAnsi="Times New Roman"/>
                <w:sz w:val="19"/>
              </w:rPr>
              <w:t>5</w:t>
            </w:r>
          </w:p>
        </w:tc>
        <w:tc>
          <w:tcPr>
            <w:tcW w:type="dxa" w:w="4750"/>
          </w:tcPr>
          <w:p>
            <w:pPr>
              <w:spacing w:after="40" w:line="240" w:lineRule="auto"/>
              <w:jc w:val="center"/>
            </w:pPr>
            <w:r/>
            <w:r>
              <w:rPr>
                <w:rFonts w:ascii="Times New Roman" w:hAnsi="Times New Roman"/>
                <w:sz w:val="19"/>
              </w:rPr>
              <w:t>Evaluation in return and price space, with significance tests and a decile portfolio</w:t>
            </w:r>
          </w:p>
        </w:tc>
        <w:tc>
          <w:tcPr>
            <w:tcW w:type="dxa" w:w="3365"/>
          </w:tcPr>
          <w:p>
            <w:pPr>
              <w:spacing w:after="40" w:line="240" w:lineRule="auto"/>
              <w:jc w:val="center"/>
            </w:pPr>
            <w:r/>
            <w:r>
              <w:rPr>
                <w:rFonts w:ascii="Times New Roman" w:hAnsi="Times New Roman"/>
                <w:sz w:val="19"/>
              </w:rPr>
              <w:t>metrics.json and five result figures</w:t>
            </w:r>
          </w:p>
        </w:tc>
      </w:tr>
      <w:tr>
        <w:trPr>
          <w:cantSplit/>
        </w:trPr>
        <w:tc>
          <w:tcPr>
            <w:tcW w:type="dxa" w:w="792"/>
          </w:tcPr>
          <w:p>
            <w:pPr>
              <w:spacing w:after="40" w:line="240" w:lineRule="auto"/>
              <w:jc w:val="left"/>
            </w:pPr>
            <w:r/>
            <w:r>
              <w:rPr>
                <w:rFonts w:ascii="Times New Roman" w:hAnsi="Times New Roman"/>
                <w:sz w:val="19"/>
              </w:rPr>
              <w:t>6</w:t>
            </w:r>
          </w:p>
        </w:tc>
        <w:tc>
          <w:tcPr>
            <w:tcW w:type="dxa" w:w="4750"/>
          </w:tcPr>
          <w:p>
            <w:pPr>
              <w:spacing w:after="40" w:line="240" w:lineRule="auto"/>
              <w:jc w:val="center"/>
            </w:pPr>
            <w:r/>
            <w:r>
              <w:rPr>
                <w:rFonts w:ascii="Times New Roman" w:hAnsi="Times New Roman"/>
                <w:sz w:val="19"/>
              </w:rPr>
              <w:t>Explanation with TreeSHAP and LIME, and the five-part reliability audit</w:t>
            </w:r>
          </w:p>
        </w:tc>
        <w:tc>
          <w:tcPr>
            <w:tcW w:type="dxa" w:w="3365"/>
          </w:tcPr>
          <w:p>
            <w:pPr>
              <w:spacing w:after="40" w:line="240" w:lineRule="auto"/>
              <w:jc w:val="center"/>
            </w:pPr>
            <w:r/>
            <w:r>
              <w:rPr>
                <w:rFonts w:ascii="Times New Roman" w:hAnsi="Times New Roman"/>
                <w:sz w:val="19"/>
              </w:rPr>
              <w:t>xai.json, lime.json and ten further figures</w:t>
            </w:r>
          </w:p>
        </w:tc>
      </w:tr>
      <w:tr>
        <w:trPr>
          <w:cantSplit/>
        </w:trPr>
        <w:tc>
          <w:tcPr>
            <w:tcW w:type="dxa" w:w="792"/>
          </w:tcPr>
          <w:p>
            <w:pPr>
              <w:spacing w:after="40" w:line="240" w:lineRule="auto"/>
              <w:jc w:val="left"/>
            </w:pPr>
            <w:r/>
            <w:r>
              <w:rPr>
                <w:rFonts w:ascii="Times New Roman" w:hAnsi="Times New Roman"/>
                <w:sz w:val="19"/>
              </w:rPr>
              <w:t>7</w:t>
            </w:r>
          </w:p>
        </w:tc>
        <w:tc>
          <w:tcPr>
            <w:tcW w:type="dxa" w:w="4750"/>
          </w:tcPr>
          <w:p>
            <w:pPr>
              <w:spacing w:after="40" w:line="240" w:lineRule="auto"/>
              <w:jc w:val="center"/>
            </w:pPr>
            <w:r/>
            <w:r>
              <w:rPr>
                <w:rFonts w:ascii="Times New Roman" w:hAnsi="Times New Roman"/>
                <w:sz w:val="19"/>
              </w:rPr>
              <w:t>Live forecasting and the interactive demonstration</w:t>
            </w:r>
          </w:p>
        </w:tc>
        <w:tc>
          <w:tcPr>
            <w:tcW w:type="dxa" w:w="3365"/>
          </w:tcPr>
          <w:p>
            <w:pPr>
              <w:spacing w:after="40" w:line="240" w:lineRule="auto"/>
              <w:jc w:val="center"/>
            </w:pPr>
            <w:r/>
            <w:r>
              <w:rPr>
                <w:rFonts w:ascii="Times New Roman" w:hAnsi="Times New Roman"/>
                <w:sz w:val="19"/>
              </w:rPr>
              <w:t>live_forecast.pkl, the served audit page</w:t>
            </w:r>
          </w:p>
        </w:tc>
      </w:tr>
    </w:tbl>
    <w:p>
      <w:pPr>
        <w:keepNext w:val="0"/>
        <w:spacing w:line="276" w:lineRule="auto" w:after="80"/>
        <w:jc w:val="both"/>
      </w:pPr>
    </w:p>
    <w:p>
      <w:pPr>
        <w:keepNext/>
        <w:pageBreakBefore/>
        <w:spacing w:line="360" w:lineRule="auto" w:after="200"/>
        <w:jc w:val="center"/>
      </w:pPr>
      <w:r>
        <w:rPr>
          <w:rFonts w:ascii="Times New Roman" w:hAnsi="Times New Roman"/>
          <w:b/>
          <w:i w:val="0"/>
          <w:sz w:val="28"/>
        </w:rPr>
        <w:t>CHAPTER 3</w:t>
      </w:r>
    </w:p>
    <w:p>
      <w:pPr>
        <w:keepNext/>
        <w:spacing w:line="360" w:lineRule="auto" w:after="320"/>
        <w:jc w:val="center"/>
      </w:pPr>
      <w:r>
        <w:rPr>
          <w:rFonts w:ascii="Times New Roman" w:hAnsi="Times New Roman"/>
          <w:b/>
          <w:i w:val="0"/>
          <w:sz w:val="28"/>
        </w:rPr>
        <w:t>3. TECHNICAL SPECIFICATION</w:t>
      </w:r>
    </w:p>
    <w:p>
      <w:pPr>
        <w:keepNext/>
        <w:spacing w:line="240" w:lineRule="auto" w:after="160"/>
        <w:jc w:val="left"/>
      </w:pPr>
      <w:r>
        <w:rPr>
          <w:rFonts w:ascii="Times New Roman" w:hAnsi="Times New Roman"/>
          <w:b/>
          <w:i w:val="0"/>
          <w:sz w:val="26"/>
        </w:rPr>
        <w:t>3.1 Requirements</w:t>
      </w:r>
    </w:p>
    <w:p>
      <w:pPr>
        <w:keepNext/>
        <w:spacing w:line="240" w:lineRule="auto" w:after="120"/>
        <w:jc w:val="left"/>
      </w:pPr>
      <w:r>
        <w:rPr>
          <w:rFonts w:ascii="Times New Roman" w:hAnsi="Times New Roman"/>
          <w:b/>
          <w:i/>
          <w:sz w:val="24"/>
        </w:rPr>
        <w:t>3.1.1 Functional Requirements</w:t>
      </w:r>
    </w:p>
    <w:p>
      <w:pPr>
        <w:keepNext/>
        <w:spacing w:line="240" w:lineRule="auto" w:after="200"/>
        <w:jc w:val="center"/>
      </w:pPr>
      <w:r>
        <w:rPr>
          <w:rFonts w:ascii="Times New Roman" w:hAnsi="Times New Roman"/>
          <w:b w:val="0"/>
          <w:i w:val="0"/>
          <w:sz w:val="20"/>
        </w:rPr>
        <w:t>Table 3.1  Functional requirements</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868"/>
        <w:gridCol w:w="8037"/>
      </w:tblGrid>
      <w:tr>
        <w:trPr>
          <w:cantSplit/>
          <w:tblHeader/>
        </w:trPr>
        <w:tc>
          <w:tcPr>
            <w:tcW w:type="dxa" w:w="869"/>
            <w:shd w:val="clear" w:color="auto" w:fill="D9E2F3"/>
          </w:tcPr>
          <w:p>
            <w:pPr>
              <w:spacing w:after="40" w:line="240" w:lineRule="auto"/>
              <w:jc w:val="center"/>
            </w:pPr>
            <w:r/>
            <w:r>
              <w:rPr>
                <w:rFonts w:ascii="Times New Roman" w:hAnsi="Times New Roman"/>
                <w:b/>
                <w:sz w:val="19"/>
              </w:rPr>
              <w:t>ID</w:t>
            </w:r>
          </w:p>
        </w:tc>
        <w:tc>
          <w:tcPr>
            <w:tcW w:type="dxa" w:w="8038"/>
            <w:shd w:val="clear" w:color="auto" w:fill="D9E2F3"/>
          </w:tcPr>
          <w:p>
            <w:pPr>
              <w:spacing w:after="40" w:line="240" w:lineRule="auto"/>
              <w:jc w:val="center"/>
            </w:pPr>
            <w:r/>
            <w:r>
              <w:rPr>
                <w:rFonts w:ascii="Times New Roman" w:hAnsi="Times New Roman"/>
                <w:b/>
                <w:sz w:val="19"/>
              </w:rPr>
              <w:t>Requirement</w:t>
            </w:r>
          </w:p>
        </w:tc>
      </w:tr>
      <w:tr>
        <w:trPr>
          <w:cantSplit/>
        </w:trPr>
        <w:tc>
          <w:tcPr>
            <w:tcW w:type="dxa" w:w="869"/>
          </w:tcPr>
          <w:p>
            <w:pPr>
              <w:spacing w:after="40" w:line="240" w:lineRule="auto"/>
              <w:jc w:val="left"/>
            </w:pPr>
            <w:r/>
            <w:r>
              <w:rPr>
                <w:rFonts w:ascii="Times New Roman" w:hAnsi="Times New Roman"/>
                <w:sz w:val="19"/>
              </w:rPr>
              <w:t>FR1</w:t>
            </w:r>
          </w:p>
        </w:tc>
        <w:tc>
          <w:tcPr>
            <w:tcW w:type="dxa" w:w="8038"/>
          </w:tcPr>
          <w:p>
            <w:pPr>
              <w:spacing w:after="40" w:line="240" w:lineRule="auto"/>
              <w:jc w:val="center"/>
            </w:pPr>
            <w:r/>
            <w:r>
              <w:rPr>
                <w:rFonts w:ascii="Times New Roman" w:hAnsi="Times New Roman"/>
                <w:sz w:val="19"/>
              </w:rPr>
              <w:t>The system shall load daily OHLCV data for 474 S&amp;P 500 stocks and repair the three known data defects before use.</w:t>
            </w:r>
          </w:p>
        </w:tc>
      </w:tr>
      <w:tr>
        <w:trPr>
          <w:cantSplit/>
        </w:trPr>
        <w:tc>
          <w:tcPr>
            <w:tcW w:type="dxa" w:w="869"/>
          </w:tcPr>
          <w:p>
            <w:pPr>
              <w:spacing w:after="40" w:line="240" w:lineRule="auto"/>
              <w:jc w:val="left"/>
            </w:pPr>
            <w:r/>
            <w:r>
              <w:rPr>
                <w:rFonts w:ascii="Times New Roman" w:hAnsi="Times New Roman"/>
                <w:sz w:val="19"/>
              </w:rPr>
              <w:t>FR2</w:t>
            </w:r>
          </w:p>
        </w:tc>
        <w:tc>
          <w:tcPr>
            <w:tcW w:type="dxa" w:w="8038"/>
          </w:tcPr>
          <w:p>
            <w:pPr>
              <w:spacing w:after="40" w:line="240" w:lineRule="auto"/>
              <w:jc w:val="center"/>
            </w:pPr>
            <w:r/>
            <w:r>
              <w:rPr>
                <w:rFonts w:ascii="Times New Roman" w:hAnsi="Times New Roman"/>
                <w:sz w:val="19"/>
              </w:rPr>
              <w:t>The system shall compute 32 technical, volatility, volume and market-context features per stock-day, using only information available at or before that day's close.</w:t>
            </w:r>
          </w:p>
        </w:tc>
      </w:tr>
      <w:tr>
        <w:trPr>
          <w:cantSplit/>
        </w:trPr>
        <w:tc>
          <w:tcPr>
            <w:tcW w:type="dxa" w:w="869"/>
          </w:tcPr>
          <w:p>
            <w:pPr>
              <w:spacing w:after="40" w:line="240" w:lineRule="auto"/>
              <w:jc w:val="left"/>
            </w:pPr>
            <w:r/>
            <w:r>
              <w:rPr>
                <w:rFonts w:ascii="Times New Roman" w:hAnsi="Times New Roman"/>
                <w:sz w:val="19"/>
              </w:rPr>
              <w:t>FR3</w:t>
            </w:r>
          </w:p>
        </w:tc>
        <w:tc>
          <w:tcPr>
            <w:tcW w:type="dxa" w:w="8038"/>
          </w:tcPr>
          <w:p>
            <w:pPr>
              <w:spacing w:after="40" w:line="240" w:lineRule="auto"/>
              <w:jc w:val="center"/>
            </w:pPr>
            <w:r/>
            <w:r>
              <w:rPr>
                <w:rFonts w:ascii="Times New Roman" w:hAnsi="Times New Roman"/>
                <w:sz w:val="19"/>
              </w:rPr>
              <w:t>The system shall train a Random Forest to predict the next-day log return, and shall derive price forecasts from it rather than training on price levels.</w:t>
            </w:r>
          </w:p>
        </w:tc>
      </w:tr>
      <w:tr>
        <w:trPr>
          <w:cantSplit/>
        </w:trPr>
        <w:tc>
          <w:tcPr>
            <w:tcW w:type="dxa" w:w="869"/>
          </w:tcPr>
          <w:p>
            <w:pPr>
              <w:spacing w:after="40" w:line="240" w:lineRule="auto"/>
              <w:jc w:val="left"/>
            </w:pPr>
            <w:r/>
            <w:r>
              <w:rPr>
                <w:rFonts w:ascii="Times New Roman" w:hAnsi="Times New Roman"/>
                <w:sz w:val="19"/>
              </w:rPr>
              <w:t>FR4</w:t>
            </w:r>
          </w:p>
        </w:tc>
        <w:tc>
          <w:tcPr>
            <w:tcW w:type="dxa" w:w="8038"/>
          </w:tcPr>
          <w:p>
            <w:pPr>
              <w:spacing w:after="40" w:line="240" w:lineRule="auto"/>
              <w:jc w:val="center"/>
            </w:pPr>
            <w:r/>
            <w:r>
              <w:rPr>
                <w:rFonts w:ascii="Times New Roman" w:hAnsi="Times New Roman"/>
                <w:sz w:val="19"/>
              </w:rPr>
              <w:t>The system shall retrain walk-forward at the start of each test year on all prior data, and shall never use test-period data for tuning or design.</w:t>
            </w:r>
          </w:p>
        </w:tc>
      </w:tr>
      <w:tr>
        <w:trPr>
          <w:cantSplit/>
        </w:trPr>
        <w:tc>
          <w:tcPr>
            <w:tcW w:type="dxa" w:w="869"/>
          </w:tcPr>
          <w:p>
            <w:pPr>
              <w:spacing w:after="40" w:line="240" w:lineRule="auto"/>
              <w:jc w:val="left"/>
            </w:pPr>
            <w:r/>
            <w:r>
              <w:rPr>
                <w:rFonts w:ascii="Times New Roman" w:hAnsi="Times New Roman"/>
                <w:sz w:val="19"/>
              </w:rPr>
              <w:t>FR5</w:t>
            </w:r>
          </w:p>
        </w:tc>
        <w:tc>
          <w:tcPr>
            <w:tcW w:type="dxa" w:w="8038"/>
          </w:tcPr>
          <w:p>
            <w:pPr>
              <w:spacing w:after="40" w:line="240" w:lineRule="auto"/>
              <w:jc w:val="center"/>
            </w:pPr>
            <w:r/>
            <w:r>
              <w:rPr>
                <w:rFonts w:ascii="Times New Roman" w:hAnsi="Times New Roman"/>
                <w:sz w:val="19"/>
              </w:rPr>
              <w:t>The system shall produce forecasts from five comparison models: naive persistence, historical drift, Ridge regression, a price-level Random Forest and a direction classifier.</w:t>
            </w:r>
          </w:p>
        </w:tc>
      </w:tr>
      <w:tr>
        <w:trPr>
          <w:cantSplit/>
        </w:trPr>
        <w:tc>
          <w:tcPr>
            <w:tcW w:type="dxa" w:w="869"/>
          </w:tcPr>
          <w:p>
            <w:pPr>
              <w:spacing w:after="40" w:line="240" w:lineRule="auto"/>
              <w:jc w:val="left"/>
            </w:pPr>
            <w:r/>
            <w:r>
              <w:rPr>
                <w:rFonts w:ascii="Times New Roman" w:hAnsi="Times New Roman"/>
                <w:sz w:val="19"/>
              </w:rPr>
              <w:t>FR6</w:t>
            </w:r>
          </w:p>
        </w:tc>
        <w:tc>
          <w:tcPr>
            <w:tcW w:type="dxa" w:w="8038"/>
          </w:tcPr>
          <w:p>
            <w:pPr>
              <w:spacing w:after="40" w:line="240" w:lineRule="auto"/>
              <w:jc w:val="center"/>
            </w:pPr>
            <w:r/>
            <w:r>
              <w:rPr>
                <w:rFonts w:ascii="Times New Roman" w:hAnsi="Times New Roman"/>
                <w:sz w:val="19"/>
              </w:rPr>
              <w:t>The system shall report return-space skill as the primary result and price-space accuracy as a secondary result, for the whole test set and broken down by year, market regime and GICS sector.</w:t>
            </w:r>
          </w:p>
        </w:tc>
      </w:tr>
      <w:tr>
        <w:trPr>
          <w:cantSplit/>
        </w:trPr>
        <w:tc>
          <w:tcPr>
            <w:tcW w:type="dxa" w:w="869"/>
          </w:tcPr>
          <w:p>
            <w:pPr>
              <w:spacing w:after="40" w:line="240" w:lineRule="auto"/>
              <w:jc w:val="left"/>
            </w:pPr>
            <w:r/>
            <w:r>
              <w:rPr>
                <w:rFonts w:ascii="Times New Roman" w:hAnsi="Times New Roman"/>
                <w:sz w:val="19"/>
              </w:rPr>
              <w:t>FR7</w:t>
            </w:r>
          </w:p>
        </w:tc>
        <w:tc>
          <w:tcPr>
            <w:tcW w:type="dxa" w:w="8038"/>
          </w:tcPr>
          <w:p>
            <w:pPr>
              <w:spacing w:after="40" w:line="240" w:lineRule="auto"/>
              <w:jc w:val="center"/>
            </w:pPr>
            <w:r/>
            <w:r>
              <w:rPr>
                <w:rFonts w:ascii="Times New Roman" w:hAnsi="Times New Roman"/>
                <w:sz w:val="19"/>
              </w:rPr>
              <w:t>The system shall test each model against its benchmark with a Diebold-Mariano test, and directional accuracy against the majority rule with a binomial test.</w:t>
            </w:r>
          </w:p>
        </w:tc>
      </w:tr>
      <w:tr>
        <w:trPr>
          <w:cantSplit/>
        </w:trPr>
        <w:tc>
          <w:tcPr>
            <w:tcW w:type="dxa" w:w="869"/>
          </w:tcPr>
          <w:p>
            <w:pPr>
              <w:spacing w:after="40" w:line="240" w:lineRule="auto"/>
              <w:jc w:val="left"/>
            </w:pPr>
            <w:r/>
            <w:r>
              <w:rPr>
                <w:rFonts w:ascii="Times New Roman" w:hAnsi="Times New Roman"/>
                <w:sz w:val="19"/>
              </w:rPr>
              <w:t>FR8</w:t>
            </w:r>
          </w:p>
        </w:tc>
        <w:tc>
          <w:tcPr>
            <w:tcW w:type="dxa" w:w="8038"/>
          </w:tcPr>
          <w:p>
            <w:pPr>
              <w:spacing w:after="40" w:line="240" w:lineRule="auto"/>
              <w:jc w:val="center"/>
            </w:pPr>
            <w:r/>
            <w:r>
              <w:rPr>
                <w:rFonts w:ascii="Times New Roman" w:hAnsi="Times New Roman"/>
                <w:sz w:val="19"/>
              </w:rPr>
              <w:t>The system shall compute exact TreeSHAP attributions for a stratified sample of at least 35,000 stock-days, and shall verify SHAP additivity.</w:t>
            </w:r>
          </w:p>
        </w:tc>
      </w:tr>
      <w:tr>
        <w:trPr>
          <w:cantSplit/>
        </w:trPr>
        <w:tc>
          <w:tcPr>
            <w:tcW w:type="dxa" w:w="869"/>
          </w:tcPr>
          <w:p>
            <w:pPr>
              <w:spacing w:after="40" w:line="240" w:lineRule="auto"/>
              <w:jc w:val="left"/>
            </w:pPr>
            <w:r/>
            <w:r>
              <w:rPr>
                <w:rFonts w:ascii="Times New Roman" w:hAnsi="Times New Roman"/>
                <w:sz w:val="19"/>
              </w:rPr>
              <w:t>FR9</w:t>
            </w:r>
          </w:p>
        </w:tc>
        <w:tc>
          <w:tcPr>
            <w:tcW w:type="dxa" w:w="8038"/>
          </w:tcPr>
          <w:p>
            <w:pPr>
              <w:spacing w:after="40" w:line="240" w:lineRule="auto"/>
              <w:jc w:val="center"/>
            </w:pPr>
            <w:r/>
            <w:r>
              <w:rPr>
                <w:rFonts w:ascii="Times New Roman" w:hAnsi="Times New Roman"/>
                <w:sz w:val="19"/>
              </w:rPr>
              <w:t>The system shall compute LIME explanations for a sample of stock-days with at least five random seeds each, to measure run-to-run stability.</w:t>
            </w:r>
          </w:p>
        </w:tc>
      </w:tr>
      <w:tr>
        <w:trPr>
          <w:cantSplit/>
        </w:trPr>
        <w:tc>
          <w:tcPr>
            <w:tcW w:type="dxa" w:w="869"/>
          </w:tcPr>
          <w:p>
            <w:pPr>
              <w:spacing w:after="40" w:line="240" w:lineRule="auto"/>
              <w:jc w:val="left"/>
            </w:pPr>
            <w:r/>
            <w:r>
              <w:rPr>
                <w:rFonts w:ascii="Times New Roman" w:hAnsi="Times New Roman"/>
                <w:sz w:val="19"/>
              </w:rPr>
              <w:t>FR10</w:t>
            </w:r>
          </w:p>
        </w:tc>
        <w:tc>
          <w:tcPr>
            <w:tcW w:type="dxa" w:w="8038"/>
          </w:tcPr>
          <w:p>
            <w:pPr>
              <w:spacing w:after="40" w:line="240" w:lineRule="auto"/>
              <w:jc w:val="center"/>
            </w:pPr>
            <w:r/>
            <w:r>
              <w:rPr>
                <w:rFonts w:ascii="Times New Roman" w:hAnsi="Times New Roman"/>
                <w:sz w:val="19"/>
              </w:rPr>
              <w:t>The system shall test explanation faithfulness by deleting top-ranked features against a random-order control, reporting deletion curves, AOPC and fidelity.</w:t>
            </w:r>
          </w:p>
        </w:tc>
      </w:tr>
      <w:tr>
        <w:trPr>
          <w:cantSplit/>
        </w:trPr>
        <w:tc>
          <w:tcPr>
            <w:tcW w:type="dxa" w:w="869"/>
          </w:tcPr>
          <w:p>
            <w:pPr>
              <w:spacing w:after="40" w:line="240" w:lineRule="auto"/>
              <w:jc w:val="left"/>
            </w:pPr>
            <w:r/>
            <w:r>
              <w:rPr>
                <w:rFonts w:ascii="Times New Roman" w:hAnsi="Times New Roman"/>
                <w:sz w:val="19"/>
              </w:rPr>
              <w:t>FR11</w:t>
            </w:r>
          </w:p>
        </w:tc>
        <w:tc>
          <w:tcPr>
            <w:tcW w:type="dxa" w:w="8038"/>
          </w:tcPr>
          <w:p>
            <w:pPr>
              <w:spacing w:after="40" w:line="240" w:lineRule="auto"/>
              <w:jc w:val="center"/>
            </w:pPr>
            <w:r/>
            <w:r>
              <w:rPr>
                <w:rFonts w:ascii="Times New Roman" w:hAnsi="Times New Roman"/>
                <w:sz w:val="19"/>
              </w:rPr>
              <w:t>The system shall test explanation stability across random seeds and across consecutive yearly retrains, using Kendall tau and Spearman rho.</w:t>
            </w:r>
          </w:p>
        </w:tc>
      </w:tr>
      <w:tr>
        <w:trPr>
          <w:cantSplit/>
        </w:trPr>
        <w:tc>
          <w:tcPr>
            <w:tcW w:type="dxa" w:w="869"/>
          </w:tcPr>
          <w:p>
            <w:pPr>
              <w:spacing w:after="40" w:line="240" w:lineRule="auto"/>
              <w:jc w:val="left"/>
            </w:pPr>
            <w:r/>
            <w:r>
              <w:rPr>
                <w:rFonts w:ascii="Times New Roman" w:hAnsi="Times New Roman"/>
                <w:sz w:val="19"/>
              </w:rPr>
              <w:t>FR12</w:t>
            </w:r>
          </w:p>
        </w:tc>
        <w:tc>
          <w:tcPr>
            <w:tcW w:type="dxa" w:w="8038"/>
          </w:tcPr>
          <w:p>
            <w:pPr>
              <w:spacing w:after="40" w:line="240" w:lineRule="auto"/>
              <w:jc w:val="center"/>
            </w:pPr>
            <w:r/>
            <w:r>
              <w:rPr>
                <w:rFonts w:ascii="Times New Roman" w:hAnsi="Times New Roman"/>
                <w:sz w:val="19"/>
              </w:rPr>
              <w:t>The system shall compare four explainers and report their rank agreement.</w:t>
            </w:r>
          </w:p>
        </w:tc>
      </w:tr>
      <w:tr>
        <w:trPr>
          <w:cantSplit/>
        </w:trPr>
        <w:tc>
          <w:tcPr>
            <w:tcW w:type="dxa" w:w="869"/>
          </w:tcPr>
          <w:p>
            <w:pPr>
              <w:spacing w:after="40" w:line="240" w:lineRule="auto"/>
              <w:jc w:val="left"/>
            </w:pPr>
            <w:r/>
            <w:r>
              <w:rPr>
                <w:rFonts w:ascii="Times New Roman" w:hAnsi="Times New Roman"/>
                <w:sz w:val="19"/>
              </w:rPr>
              <w:t>FR13</w:t>
            </w:r>
          </w:p>
        </w:tc>
        <w:tc>
          <w:tcPr>
            <w:tcW w:type="dxa" w:w="8038"/>
          </w:tcPr>
          <w:p>
            <w:pPr>
              <w:spacing w:after="40" w:line="240" w:lineRule="auto"/>
              <w:jc w:val="center"/>
            </w:pPr>
            <w:r/>
            <w:r>
              <w:rPr>
                <w:rFonts w:ascii="Times New Roman" w:hAnsi="Times New Roman"/>
                <w:sz w:val="19"/>
              </w:rPr>
              <w:t>The system shall test explanation sanity against two null models trained on shuffled labels.</w:t>
            </w:r>
          </w:p>
        </w:tc>
      </w:tr>
      <w:tr>
        <w:trPr>
          <w:cantSplit/>
        </w:trPr>
        <w:tc>
          <w:tcPr>
            <w:tcW w:type="dxa" w:w="869"/>
          </w:tcPr>
          <w:p>
            <w:pPr>
              <w:spacing w:after="40" w:line="240" w:lineRule="auto"/>
              <w:jc w:val="left"/>
            </w:pPr>
            <w:r/>
            <w:r>
              <w:rPr>
                <w:rFonts w:ascii="Times New Roman" w:hAnsi="Times New Roman"/>
                <w:sz w:val="19"/>
              </w:rPr>
              <w:t>FR14</w:t>
            </w:r>
          </w:p>
        </w:tc>
        <w:tc>
          <w:tcPr>
            <w:tcW w:type="dxa" w:w="8038"/>
          </w:tcPr>
          <w:p>
            <w:pPr>
              <w:spacing w:after="40" w:line="240" w:lineRule="auto"/>
              <w:jc w:val="center"/>
            </w:pPr>
            <w:r/>
            <w:r>
              <w:rPr>
                <w:rFonts w:ascii="Times New Roman" w:hAnsi="Times New Roman"/>
                <w:sz w:val="19"/>
              </w:rPr>
              <w:t>The system shall test explanation drift across the four market regimes and the eleven GICS sectors with a 1,000-draw permutation test.</w:t>
            </w:r>
          </w:p>
        </w:tc>
      </w:tr>
      <w:tr>
        <w:trPr>
          <w:cantSplit/>
        </w:trPr>
        <w:tc>
          <w:tcPr>
            <w:tcW w:type="dxa" w:w="869"/>
          </w:tcPr>
          <w:p>
            <w:pPr>
              <w:spacing w:after="40" w:line="240" w:lineRule="auto"/>
              <w:jc w:val="left"/>
            </w:pPr>
            <w:r/>
            <w:r>
              <w:rPr>
                <w:rFonts w:ascii="Times New Roman" w:hAnsi="Times New Roman"/>
                <w:sz w:val="19"/>
              </w:rPr>
              <w:t>FR15</w:t>
            </w:r>
          </w:p>
        </w:tc>
        <w:tc>
          <w:tcPr>
            <w:tcW w:type="dxa" w:w="8038"/>
          </w:tcPr>
          <w:p>
            <w:pPr>
              <w:spacing w:after="40" w:line="240" w:lineRule="auto"/>
              <w:jc w:val="center"/>
            </w:pPr>
            <w:r/>
            <w:r>
              <w:rPr>
                <w:rFonts w:ascii="Times New Roman" w:hAnsi="Times New Roman"/>
                <w:sz w:val="19"/>
              </w:rPr>
              <w:t>The system shall emit all results as machine-readable JSON, all figures as PNG, and the write-up as Markdown and Word.</w:t>
            </w:r>
          </w:p>
        </w:tc>
      </w:tr>
      <w:tr>
        <w:trPr>
          <w:cantSplit/>
        </w:trPr>
        <w:tc>
          <w:tcPr>
            <w:tcW w:type="dxa" w:w="869"/>
          </w:tcPr>
          <w:p>
            <w:pPr>
              <w:spacing w:after="40" w:line="240" w:lineRule="auto"/>
              <w:jc w:val="left"/>
            </w:pPr>
            <w:r/>
            <w:r>
              <w:rPr>
                <w:rFonts w:ascii="Times New Roman" w:hAnsi="Times New Roman"/>
                <w:sz w:val="19"/>
              </w:rPr>
              <w:t>FR16</w:t>
            </w:r>
          </w:p>
        </w:tc>
        <w:tc>
          <w:tcPr>
            <w:tcW w:type="dxa" w:w="8038"/>
          </w:tcPr>
          <w:p>
            <w:pPr>
              <w:spacing w:after="40" w:line="240" w:lineRule="auto"/>
              <w:jc w:val="center"/>
            </w:pPr>
            <w:r/>
            <w:r>
              <w:rPr>
                <w:rFonts w:ascii="Times New Roman" w:hAnsi="Times New Roman"/>
                <w:sz w:val="19"/>
              </w:rPr>
              <w:t>The system shall provide an interactive page that accepts a stock and a trading day and returns, computed live from the saved model, the forecast, its TreeSHAP and LIME explanations, their agreement, LIME's run-to-run stability and a faithfulness test for that single forecast.</w:t>
            </w:r>
          </w:p>
        </w:tc>
      </w:tr>
      <w:tr>
        <w:trPr>
          <w:cantSplit/>
        </w:trPr>
        <w:tc>
          <w:tcPr>
            <w:tcW w:type="dxa" w:w="869"/>
          </w:tcPr>
          <w:p>
            <w:pPr>
              <w:spacing w:after="40" w:line="240" w:lineRule="auto"/>
              <w:jc w:val="left"/>
            </w:pPr>
            <w:r/>
            <w:r>
              <w:rPr>
                <w:rFonts w:ascii="Times New Roman" w:hAnsi="Times New Roman"/>
                <w:sz w:val="19"/>
              </w:rPr>
              <w:t>FR17</w:t>
            </w:r>
          </w:p>
        </w:tc>
        <w:tc>
          <w:tcPr>
            <w:tcW w:type="dxa" w:w="8038"/>
          </w:tcPr>
          <w:p>
            <w:pPr>
              <w:spacing w:after="40" w:line="240" w:lineRule="auto"/>
              <w:jc w:val="center"/>
            </w:pPr>
            <w:r/>
            <w:r>
              <w:rPr>
                <w:rFonts w:ascii="Times New Roman" w:hAnsi="Times New Roman"/>
                <w:sz w:val="19"/>
              </w:rPr>
              <w:t>The system shall additionally forecast the next trading session, retraining with the same hyperparameters up to the latest close and presenting the result with its outcome fields explicitly blank.</w:t>
            </w:r>
          </w:p>
        </w:tc>
      </w:tr>
      <w:tr>
        <w:trPr>
          <w:cantSplit/>
        </w:trPr>
        <w:tc>
          <w:tcPr>
            <w:tcW w:type="dxa" w:w="869"/>
          </w:tcPr>
          <w:p>
            <w:pPr>
              <w:spacing w:after="40" w:line="240" w:lineRule="auto"/>
              <w:jc w:val="left"/>
            </w:pPr>
            <w:r/>
            <w:r>
              <w:rPr>
                <w:rFonts w:ascii="Times New Roman" w:hAnsi="Times New Roman"/>
                <w:sz w:val="19"/>
              </w:rPr>
              <w:t>FR18</w:t>
            </w:r>
          </w:p>
        </w:tc>
        <w:tc>
          <w:tcPr>
            <w:tcW w:type="dxa" w:w="8038"/>
          </w:tcPr>
          <w:p>
            <w:pPr>
              <w:spacing w:after="40" w:line="240" w:lineRule="auto"/>
              <w:jc w:val="center"/>
            </w:pPr>
            <w:r/>
            <w:r>
              <w:rPr>
                <w:rFonts w:ascii="Times New Roman" w:hAnsi="Times New Roman"/>
                <w:sz w:val="19"/>
              </w:rPr>
              <w:t>The system shall state, wherever a live forecast is shown, how many of the original 474 tickers still trade, which price vendor was used, and that the backtest found no return skill.</w:t>
            </w:r>
          </w:p>
        </w:tc>
      </w:tr>
    </w:tbl>
    <w:p>
      <w:pPr>
        <w:keepNext w:val="0"/>
        <w:spacing w:line="276" w:lineRule="auto" w:after="80"/>
        <w:jc w:val="both"/>
      </w:pPr>
    </w:p>
    <w:p>
      <w:pPr>
        <w:keepNext/>
        <w:spacing w:line="240" w:lineRule="auto" w:after="120"/>
        <w:jc w:val="left"/>
      </w:pPr>
      <w:r>
        <w:rPr>
          <w:rFonts w:ascii="Times New Roman" w:hAnsi="Times New Roman"/>
          <w:b/>
          <w:i/>
          <w:sz w:val="24"/>
        </w:rPr>
        <w:t>3.1.2 Non-Functional Requirements</w:t>
      </w:r>
    </w:p>
    <w:p>
      <w:pPr>
        <w:keepNext/>
        <w:spacing w:line="240" w:lineRule="auto" w:after="200"/>
        <w:jc w:val="center"/>
      </w:pPr>
      <w:r>
        <w:rPr>
          <w:rFonts w:ascii="Times New Roman" w:hAnsi="Times New Roman"/>
          <w:b w:val="0"/>
          <w:i w:val="0"/>
          <w:sz w:val="20"/>
        </w:rPr>
        <w:t>Table 3.2  Non-functional requirements</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868"/>
        <w:gridCol w:w="8037"/>
      </w:tblGrid>
      <w:tr>
        <w:trPr>
          <w:cantSplit/>
          <w:tblHeader/>
        </w:trPr>
        <w:tc>
          <w:tcPr>
            <w:tcW w:type="dxa" w:w="869"/>
            <w:shd w:val="clear" w:color="auto" w:fill="D9E2F3"/>
          </w:tcPr>
          <w:p>
            <w:pPr>
              <w:spacing w:after="40" w:line="240" w:lineRule="auto"/>
              <w:jc w:val="center"/>
            </w:pPr>
            <w:r/>
            <w:r>
              <w:rPr>
                <w:rFonts w:ascii="Times New Roman" w:hAnsi="Times New Roman"/>
                <w:b/>
                <w:sz w:val="19"/>
              </w:rPr>
              <w:t>ID</w:t>
            </w:r>
          </w:p>
        </w:tc>
        <w:tc>
          <w:tcPr>
            <w:tcW w:type="dxa" w:w="8038"/>
            <w:shd w:val="clear" w:color="auto" w:fill="D9E2F3"/>
          </w:tcPr>
          <w:p>
            <w:pPr>
              <w:spacing w:after="40" w:line="240" w:lineRule="auto"/>
              <w:jc w:val="center"/>
            </w:pPr>
            <w:r/>
            <w:r>
              <w:rPr>
                <w:rFonts w:ascii="Times New Roman" w:hAnsi="Times New Roman"/>
                <w:b/>
                <w:sz w:val="19"/>
              </w:rPr>
              <w:t>Requirement</w:t>
            </w:r>
          </w:p>
        </w:tc>
      </w:tr>
      <w:tr>
        <w:trPr>
          <w:cantSplit/>
        </w:trPr>
        <w:tc>
          <w:tcPr>
            <w:tcW w:type="dxa" w:w="869"/>
          </w:tcPr>
          <w:p>
            <w:pPr>
              <w:spacing w:after="40" w:line="240" w:lineRule="auto"/>
              <w:jc w:val="left"/>
            </w:pPr>
            <w:r/>
            <w:r>
              <w:rPr>
                <w:rFonts w:ascii="Times New Roman" w:hAnsi="Times New Roman"/>
                <w:sz w:val="19"/>
              </w:rPr>
              <w:t>NFR1</w:t>
            </w:r>
          </w:p>
        </w:tc>
        <w:tc>
          <w:tcPr>
            <w:tcW w:type="dxa" w:w="8038"/>
          </w:tcPr>
          <w:p>
            <w:pPr>
              <w:spacing w:after="40" w:line="240" w:lineRule="auto"/>
              <w:jc w:val="center"/>
            </w:pPr>
            <w:r/>
            <w:r>
              <w:rPr>
                <w:rFonts w:ascii="Times New Roman" w:hAnsi="Times New Roman"/>
                <w:sz w:val="19"/>
              </w:rPr>
              <w:t>Reproducibility. Every stochastic component is seeded, and a full re-run must reproduce every published number.</w:t>
            </w:r>
          </w:p>
        </w:tc>
      </w:tr>
      <w:tr>
        <w:trPr>
          <w:cantSplit/>
        </w:trPr>
        <w:tc>
          <w:tcPr>
            <w:tcW w:type="dxa" w:w="869"/>
          </w:tcPr>
          <w:p>
            <w:pPr>
              <w:spacing w:after="40" w:line="240" w:lineRule="auto"/>
              <w:jc w:val="left"/>
            </w:pPr>
            <w:r/>
            <w:r>
              <w:rPr>
                <w:rFonts w:ascii="Times New Roman" w:hAnsi="Times New Roman"/>
                <w:sz w:val="19"/>
              </w:rPr>
              <w:t>NFR2</w:t>
            </w:r>
          </w:p>
        </w:tc>
        <w:tc>
          <w:tcPr>
            <w:tcW w:type="dxa" w:w="8038"/>
          </w:tcPr>
          <w:p>
            <w:pPr>
              <w:spacing w:after="40" w:line="240" w:lineRule="auto"/>
              <w:jc w:val="center"/>
            </w:pPr>
            <w:r/>
            <w:r>
              <w:rPr>
                <w:rFonts w:ascii="Times New Roman" w:hAnsi="Times New Roman"/>
                <w:sz w:val="19"/>
              </w:rPr>
              <w:t>No look-ahead. Feature construction, scaling and model selection must be verifiable as using only past information.</w:t>
            </w:r>
          </w:p>
        </w:tc>
      </w:tr>
      <w:tr>
        <w:trPr>
          <w:cantSplit/>
        </w:trPr>
        <w:tc>
          <w:tcPr>
            <w:tcW w:type="dxa" w:w="869"/>
          </w:tcPr>
          <w:p>
            <w:pPr>
              <w:spacing w:after="40" w:line="240" w:lineRule="auto"/>
              <w:jc w:val="left"/>
            </w:pPr>
            <w:r/>
            <w:r>
              <w:rPr>
                <w:rFonts w:ascii="Times New Roman" w:hAnsi="Times New Roman"/>
                <w:sz w:val="19"/>
              </w:rPr>
              <w:t>NFR3</w:t>
            </w:r>
          </w:p>
        </w:tc>
        <w:tc>
          <w:tcPr>
            <w:tcW w:type="dxa" w:w="8038"/>
          </w:tcPr>
          <w:p>
            <w:pPr>
              <w:spacing w:after="40" w:line="240" w:lineRule="auto"/>
              <w:jc w:val="center"/>
            </w:pPr>
            <w:r/>
            <w:r>
              <w:rPr>
                <w:rFonts w:ascii="Times New Roman" w:hAnsi="Times New Roman"/>
                <w:sz w:val="19"/>
              </w:rPr>
              <w:t>Runtime. The complete pipeline must finish in under one hour on a laptop. Measured: approximately 25 minutes.</w:t>
            </w:r>
          </w:p>
        </w:tc>
      </w:tr>
      <w:tr>
        <w:trPr>
          <w:cantSplit/>
        </w:trPr>
        <w:tc>
          <w:tcPr>
            <w:tcW w:type="dxa" w:w="869"/>
          </w:tcPr>
          <w:p>
            <w:pPr>
              <w:spacing w:after="40" w:line="240" w:lineRule="auto"/>
              <w:jc w:val="left"/>
            </w:pPr>
            <w:r/>
            <w:r>
              <w:rPr>
                <w:rFonts w:ascii="Times New Roman" w:hAnsi="Times New Roman"/>
                <w:sz w:val="19"/>
              </w:rPr>
              <w:t>NFR4</w:t>
            </w:r>
          </w:p>
        </w:tc>
        <w:tc>
          <w:tcPr>
            <w:tcW w:type="dxa" w:w="8038"/>
          </w:tcPr>
          <w:p>
            <w:pPr>
              <w:spacing w:after="40" w:line="240" w:lineRule="auto"/>
              <w:jc w:val="center"/>
            </w:pPr>
            <w:r/>
            <w:r>
              <w:rPr>
                <w:rFonts w:ascii="Times New Roman" w:hAnsi="Times New Roman"/>
                <w:sz w:val="19"/>
              </w:rPr>
              <w:t>Memory. The system must run within 16 GB of RAM; the feature table holds about 1.1 million stock-days across 32 float32 columns.</w:t>
            </w:r>
          </w:p>
        </w:tc>
      </w:tr>
      <w:tr>
        <w:trPr>
          <w:cantSplit/>
        </w:trPr>
        <w:tc>
          <w:tcPr>
            <w:tcW w:type="dxa" w:w="869"/>
          </w:tcPr>
          <w:p>
            <w:pPr>
              <w:spacing w:after="40" w:line="240" w:lineRule="auto"/>
              <w:jc w:val="left"/>
            </w:pPr>
            <w:r/>
            <w:r>
              <w:rPr>
                <w:rFonts w:ascii="Times New Roman" w:hAnsi="Times New Roman"/>
                <w:sz w:val="19"/>
              </w:rPr>
              <w:t>NFR5</w:t>
            </w:r>
          </w:p>
        </w:tc>
        <w:tc>
          <w:tcPr>
            <w:tcW w:type="dxa" w:w="8038"/>
          </w:tcPr>
          <w:p>
            <w:pPr>
              <w:spacing w:after="40" w:line="240" w:lineRule="auto"/>
              <w:jc w:val="center"/>
            </w:pPr>
            <w:r/>
            <w:r>
              <w:rPr>
                <w:rFonts w:ascii="Times New Roman" w:hAnsi="Times New Roman"/>
                <w:sz w:val="19"/>
              </w:rPr>
              <w:t>Transparency of negative results. Results that undercut the model must be reported, not suppressed.</w:t>
            </w:r>
          </w:p>
        </w:tc>
      </w:tr>
      <w:tr>
        <w:trPr>
          <w:cantSplit/>
        </w:trPr>
        <w:tc>
          <w:tcPr>
            <w:tcW w:type="dxa" w:w="869"/>
          </w:tcPr>
          <w:p>
            <w:pPr>
              <w:spacing w:after="40" w:line="240" w:lineRule="auto"/>
              <w:jc w:val="left"/>
            </w:pPr>
            <w:r/>
            <w:r>
              <w:rPr>
                <w:rFonts w:ascii="Times New Roman" w:hAnsi="Times New Roman"/>
                <w:sz w:val="19"/>
              </w:rPr>
              <w:t>NFR6</w:t>
            </w:r>
          </w:p>
        </w:tc>
        <w:tc>
          <w:tcPr>
            <w:tcW w:type="dxa" w:w="8038"/>
          </w:tcPr>
          <w:p>
            <w:pPr>
              <w:spacing w:after="40" w:line="240" w:lineRule="auto"/>
              <w:jc w:val="center"/>
            </w:pPr>
            <w:r/>
            <w:r>
              <w:rPr>
                <w:rFonts w:ascii="Times New Roman" w:hAnsi="Times New Roman"/>
                <w:sz w:val="19"/>
              </w:rPr>
              <w:t>Auditability. Each pipeline stage writes its own artifact, so any stage can be re-run or inspected independently.</w:t>
            </w:r>
          </w:p>
        </w:tc>
      </w:tr>
    </w:tbl>
    <w:p>
      <w:pPr>
        <w:keepNext w:val="0"/>
        <w:spacing w:line="276" w:lineRule="auto" w:after="80"/>
        <w:jc w:val="both"/>
      </w:pPr>
    </w:p>
    <w:p>
      <w:pPr>
        <w:keepNext w:val="0"/>
        <w:spacing w:line="276" w:lineRule="auto" w:after="120"/>
        <w:jc w:val="both"/>
      </w:pPr>
      <w:r>
        <w:rPr>
          <w:rFonts w:ascii="Times New Roman" w:hAnsi="Times New Roman"/>
          <w:b w:val="0"/>
          <w:i w:val="0"/>
          <w:sz w:val="24"/>
        </w:rPr>
        <w:t>NFR1 proved to be more than a formality. Enforcing it uncovered a defect in the way LIME is conventionally used, described in Section 5.3.3, which had been inflating one of the headline results.</w:t>
      </w:r>
    </w:p>
    <w:p>
      <w:pPr>
        <w:keepNext/>
        <w:spacing w:line="240" w:lineRule="auto" w:after="160"/>
        <w:jc w:val="left"/>
      </w:pPr>
      <w:r>
        <w:rPr>
          <w:rFonts w:ascii="Times New Roman" w:hAnsi="Times New Roman"/>
          <w:b/>
          <w:i w:val="0"/>
          <w:sz w:val="26"/>
        </w:rPr>
        <w:t>3.2 Feasibility Study</w:t>
      </w:r>
    </w:p>
    <w:p>
      <w:pPr>
        <w:keepNext/>
        <w:spacing w:line="240" w:lineRule="auto" w:after="120"/>
        <w:jc w:val="left"/>
      </w:pPr>
      <w:r>
        <w:rPr>
          <w:rFonts w:ascii="Times New Roman" w:hAnsi="Times New Roman"/>
          <w:b/>
          <w:i/>
          <w:sz w:val="24"/>
        </w:rPr>
        <w:t>3.2.1 Technical Feasibility</w:t>
      </w:r>
    </w:p>
    <w:p>
      <w:pPr>
        <w:keepNext w:val="0"/>
        <w:spacing w:line="276" w:lineRule="auto" w:after="120"/>
        <w:jc w:val="both"/>
      </w:pPr>
      <w:r>
        <w:rPr>
          <w:rFonts w:ascii="Times New Roman" w:hAnsi="Times New Roman"/>
          <w:b w:val="0"/>
          <w:i w:val="0"/>
          <w:sz w:val="24"/>
        </w:rPr>
        <w:t>The project is technically feasible on a single laptop. The dataset is 1.1 million rows by 32 float32 columns, roughly 140 MB in memory, well within the 18 GB available. The expensive steps are training four Random Forests of 300 trees each, which takes between 96 and 185 seconds per test year, and computing TreeSHAP for 38,183 stock-days. TreeSHAP is polynomial in tree depth rather than exponential in the number of features, which is what makes exact Shapley values tractable here at all; the same computation with a model-agnostic Shapley method would be infeasible. The complete pipeline runs end to end in about 25 minutes, comfortably inside the one-hour budget set by NFR3. Every library used is open source and actively maintained.</w:t>
      </w:r>
    </w:p>
    <w:p>
      <w:pPr>
        <w:keepNext/>
        <w:spacing w:line="240" w:lineRule="auto" w:after="120"/>
        <w:jc w:val="left"/>
      </w:pPr>
      <w:r>
        <w:rPr>
          <w:rFonts w:ascii="Times New Roman" w:hAnsi="Times New Roman"/>
          <w:b/>
          <w:i/>
          <w:sz w:val="24"/>
        </w:rPr>
        <w:t>3.2.2 Economic Feasibility</w:t>
      </w:r>
    </w:p>
    <w:p>
      <w:pPr>
        <w:keepNext w:val="0"/>
        <w:spacing w:line="276" w:lineRule="auto" w:after="120"/>
        <w:jc w:val="both"/>
      </w:pPr>
      <w:r>
        <w:rPr>
          <w:rFonts w:ascii="Times New Roman" w:hAnsi="Times New Roman"/>
          <w:b w:val="0"/>
          <w:i w:val="0"/>
          <w:sz w:val="24"/>
        </w:rPr>
        <w:t>The direct cost of the project is zero. The dataset is a public research benchmark released with the ESTIMATE paper and carries no licence fee; live prices come from Yahoo Finance through the open-source yfinance package; all software is open source; and the computation runs on hardware already owned. No cloud compute, no paid data subscription and no commercial solver is required. Against this, the economic finding of the project is negative and is reported as such in Section 7.1.3: the decile strategy earns 8.2 basis points a day before costs and loses 1.8 basis points a day after a ten basis point round-trip charge, so the model has no demonstrated commercial value as a trading signal.</w:t>
      </w:r>
    </w:p>
    <w:p>
      <w:pPr>
        <w:keepNext/>
        <w:spacing w:line="240" w:lineRule="auto" w:after="120"/>
        <w:jc w:val="left"/>
      </w:pPr>
      <w:r>
        <w:rPr>
          <w:rFonts w:ascii="Times New Roman" w:hAnsi="Times New Roman"/>
          <w:b/>
          <w:i/>
          <w:sz w:val="24"/>
        </w:rPr>
        <w:t>3.2.3 Social Feasibility</w:t>
      </w:r>
    </w:p>
    <w:p>
      <w:pPr>
        <w:keepNext w:val="0"/>
        <w:spacing w:line="276" w:lineRule="auto" w:after="120"/>
        <w:jc w:val="both"/>
      </w:pPr>
      <w:r>
        <w:rPr>
          <w:rFonts w:ascii="Times New Roman" w:hAnsi="Times New Roman"/>
          <w:b w:val="0"/>
          <w:i w:val="0"/>
          <w:sz w:val="24"/>
        </w:rPr>
        <w:t>The social considerations are about how the output is presented rather than whether it can be built. A forecasting model with a published explanation invites more confidence than one without, and that confidence is exactly what this project shows to be unwarranted when the explanation is untested. Three design decisions follow. Results are reported in return space first, so that no reader can mistake a property of daily prices for model skill. Negative findings are reported in full, including the periods in which the model was actively wrong. And the interactive demonstration states on the page itself that the backtest found no return skill, lists the delisted tickers rather than quietly dropping them, and warns when a live forecast has gone stale. The system is a research instrument, and it is presented as one.</w:t>
      </w:r>
    </w:p>
    <w:p>
      <w:pPr>
        <w:keepNext/>
        <w:spacing w:line="240" w:lineRule="auto" w:after="160"/>
        <w:jc w:val="left"/>
      </w:pPr>
      <w:r>
        <w:rPr>
          <w:rFonts w:ascii="Times New Roman" w:hAnsi="Times New Roman"/>
          <w:b/>
          <w:i w:val="0"/>
          <w:sz w:val="26"/>
        </w:rPr>
        <w:t>3.3 System Specification</w:t>
      </w:r>
    </w:p>
    <w:p>
      <w:pPr>
        <w:keepNext/>
        <w:spacing w:line="240" w:lineRule="auto" w:after="120"/>
        <w:jc w:val="left"/>
      </w:pPr>
      <w:r>
        <w:rPr>
          <w:rFonts w:ascii="Times New Roman" w:hAnsi="Times New Roman"/>
          <w:b/>
          <w:i/>
          <w:sz w:val="24"/>
        </w:rPr>
        <w:t>3.3.1 Hardware Specification</w:t>
      </w:r>
    </w:p>
    <w:p>
      <w:pPr>
        <w:keepNext/>
        <w:spacing w:line="240" w:lineRule="auto" w:after="200"/>
        <w:jc w:val="center"/>
      </w:pPr>
      <w:r>
        <w:rPr>
          <w:rFonts w:ascii="Times New Roman" w:hAnsi="Times New Roman"/>
          <w:b w:val="0"/>
          <w:i w:val="0"/>
          <w:sz w:val="20"/>
        </w:rPr>
        <w:t>Table 3.3  Hardware used</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2823"/>
        <w:gridCol w:w="6082"/>
      </w:tblGrid>
      <w:tr>
        <w:trPr>
          <w:cantSplit/>
          <w:tblHeader/>
        </w:trPr>
        <w:tc>
          <w:tcPr>
            <w:tcW w:type="dxa" w:w="2824"/>
            <w:shd w:val="clear" w:color="auto" w:fill="D9E2F3"/>
          </w:tcPr>
          <w:p>
            <w:pPr>
              <w:spacing w:after="40" w:line="240" w:lineRule="auto"/>
              <w:jc w:val="center"/>
            </w:pPr>
            <w:r/>
            <w:r>
              <w:rPr>
                <w:rFonts w:ascii="Times New Roman" w:hAnsi="Times New Roman"/>
                <w:b/>
                <w:sz w:val="19"/>
              </w:rPr>
              <w:t>Component</w:t>
            </w:r>
          </w:p>
        </w:tc>
        <w:tc>
          <w:tcPr>
            <w:tcW w:type="dxa" w:w="6082"/>
            <w:shd w:val="clear" w:color="auto" w:fill="D9E2F3"/>
          </w:tcPr>
          <w:p>
            <w:pPr>
              <w:spacing w:after="40" w:line="240" w:lineRule="auto"/>
              <w:jc w:val="center"/>
            </w:pPr>
            <w:r/>
            <w:r>
              <w:rPr>
                <w:rFonts w:ascii="Times New Roman" w:hAnsi="Times New Roman"/>
                <w:b/>
                <w:sz w:val="19"/>
              </w:rPr>
              <w:t>Specification</w:t>
            </w:r>
          </w:p>
        </w:tc>
      </w:tr>
      <w:tr>
        <w:trPr>
          <w:cantSplit/>
        </w:trPr>
        <w:tc>
          <w:tcPr>
            <w:tcW w:type="dxa" w:w="2824"/>
          </w:tcPr>
          <w:p>
            <w:pPr>
              <w:spacing w:after="40" w:line="240" w:lineRule="auto"/>
              <w:jc w:val="left"/>
            </w:pPr>
            <w:r/>
            <w:r>
              <w:rPr>
                <w:rFonts w:ascii="Times New Roman" w:hAnsi="Times New Roman"/>
                <w:sz w:val="19"/>
              </w:rPr>
              <w:t>Processor</w:t>
            </w:r>
          </w:p>
        </w:tc>
        <w:tc>
          <w:tcPr>
            <w:tcW w:type="dxa" w:w="6082"/>
          </w:tcPr>
          <w:p>
            <w:pPr>
              <w:spacing w:after="40" w:line="240" w:lineRule="auto"/>
              <w:jc w:val="center"/>
            </w:pPr>
            <w:r/>
            <w:r>
              <w:rPr>
                <w:rFonts w:ascii="Times New Roman" w:hAnsi="Times New Roman"/>
                <w:sz w:val="19"/>
              </w:rPr>
              <w:t>Apple M3 Pro, 12 cores</w:t>
            </w:r>
          </w:p>
        </w:tc>
      </w:tr>
      <w:tr>
        <w:trPr>
          <w:cantSplit/>
        </w:trPr>
        <w:tc>
          <w:tcPr>
            <w:tcW w:type="dxa" w:w="2824"/>
          </w:tcPr>
          <w:p>
            <w:pPr>
              <w:spacing w:after="40" w:line="240" w:lineRule="auto"/>
              <w:jc w:val="left"/>
            </w:pPr>
            <w:r/>
            <w:r>
              <w:rPr>
                <w:rFonts w:ascii="Times New Roman" w:hAnsi="Times New Roman"/>
                <w:sz w:val="19"/>
              </w:rPr>
              <w:t>Memory</w:t>
            </w:r>
          </w:p>
        </w:tc>
        <w:tc>
          <w:tcPr>
            <w:tcW w:type="dxa" w:w="6082"/>
          </w:tcPr>
          <w:p>
            <w:pPr>
              <w:spacing w:after="40" w:line="240" w:lineRule="auto"/>
              <w:jc w:val="center"/>
            </w:pPr>
            <w:r/>
            <w:r>
              <w:rPr>
                <w:rFonts w:ascii="Times New Roman" w:hAnsi="Times New Roman"/>
                <w:sz w:val="19"/>
              </w:rPr>
              <w:t>18 GB unified</w:t>
            </w:r>
          </w:p>
        </w:tc>
      </w:tr>
      <w:tr>
        <w:trPr>
          <w:cantSplit/>
        </w:trPr>
        <w:tc>
          <w:tcPr>
            <w:tcW w:type="dxa" w:w="2824"/>
          </w:tcPr>
          <w:p>
            <w:pPr>
              <w:spacing w:after="40" w:line="240" w:lineRule="auto"/>
              <w:jc w:val="left"/>
            </w:pPr>
            <w:r/>
            <w:r>
              <w:rPr>
                <w:rFonts w:ascii="Times New Roman" w:hAnsi="Times New Roman"/>
                <w:sz w:val="19"/>
              </w:rPr>
              <w:t>Storage</w:t>
            </w:r>
          </w:p>
        </w:tc>
        <w:tc>
          <w:tcPr>
            <w:tcW w:type="dxa" w:w="6082"/>
          </w:tcPr>
          <w:p>
            <w:pPr>
              <w:spacing w:after="40" w:line="240" w:lineRule="auto"/>
              <w:jc w:val="center"/>
            </w:pPr>
            <w:r/>
            <w:r>
              <w:rPr>
                <w:rFonts w:ascii="Times New Roman" w:hAnsi="Times New Roman"/>
                <w:sz w:val="19"/>
              </w:rPr>
              <w:t>About 1.3 GB for the raw panel and all derived artifacts</w:t>
            </w:r>
          </w:p>
        </w:tc>
      </w:tr>
      <w:tr>
        <w:trPr>
          <w:cantSplit/>
        </w:trPr>
        <w:tc>
          <w:tcPr>
            <w:tcW w:type="dxa" w:w="2824"/>
          </w:tcPr>
          <w:p>
            <w:pPr>
              <w:spacing w:after="40" w:line="240" w:lineRule="auto"/>
              <w:jc w:val="left"/>
            </w:pPr>
            <w:r/>
            <w:r>
              <w:rPr>
                <w:rFonts w:ascii="Times New Roman" w:hAnsi="Times New Roman"/>
                <w:sz w:val="19"/>
              </w:rPr>
              <w:t>Operating system</w:t>
            </w:r>
          </w:p>
        </w:tc>
        <w:tc>
          <w:tcPr>
            <w:tcW w:type="dxa" w:w="6082"/>
          </w:tcPr>
          <w:p>
            <w:pPr>
              <w:spacing w:after="40" w:line="240" w:lineRule="auto"/>
              <w:jc w:val="center"/>
            </w:pPr>
            <w:r/>
            <w:r>
              <w:rPr>
                <w:rFonts w:ascii="Times New Roman" w:hAnsi="Times New Roman"/>
                <w:sz w:val="19"/>
              </w:rPr>
              <w:t>macOS 14.4</w:t>
            </w:r>
          </w:p>
        </w:tc>
      </w:tr>
      <w:tr>
        <w:trPr>
          <w:cantSplit/>
        </w:trPr>
        <w:tc>
          <w:tcPr>
            <w:tcW w:type="dxa" w:w="2824"/>
          </w:tcPr>
          <w:p>
            <w:pPr>
              <w:spacing w:after="40" w:line="240" w:lineRule="auto"/>
              <w:jc w:val="left"/>
            </w:pPr>
            <w:r/>
            <w:r>
              <w:rPr>
                <w:rFonts w:ascii="Times New Roman" w:hAnsi="Times New Roman"/>
                <w:sz w:val="19"/>
              </w:rPr>
              <w:t>Minimum required</w:t>
            </w:r>
          </w:p>
        </w:tc>
        <w:tc>
          <w:tcPr>
            <w:tcW w:type="dxa" w:w="6082"/>
          </w:tcPr>
          <w:p>
            <w:pPr>
              <w:spacing w:after="40" w:line="240" w:lineRule="auto"/>
              <w:jc w:val="center"/>
            </w:pPr>
            <w:r/>
            <w:r>
              <w:rPr>
                <w:rFonts w:ascii="Times New Roman" w:hAnsi="Times New Roman"/>
                <w:sz w:val="19"/>
              </w:rPr>
              <w:t>Any 64-bit machine with 16 GB of RAM; no GPU is used</w:t>
            </w:r>
          </w:p>
        </w:tc>
      </w:tr>
    </w:tbl>
    <w:p>
      <w:pPr>
        <w:keepNext w:val="0"/>
        <w:spacing w:line="276" w:lineRule="auto" w:after="80"/>
        <w:jc w:val="both"/>
      </w:pPr>
    </w:p>
    <w:p>
      <w:pPr>
        <w:keepNext/>
        <w:spacing w:line="240" w:lineRule="auto" w:after="120"/>
        <w:jc w:val="left"/>
      </w:pPr>
      <w:r>
        <w:rPr>
          <w:rFonts w:ascii="Times New Roman" w:hAnsi="Times New Roman"/>
          <w:b/>
          <w:i/>
          <w:sz w:val="24"/>
        </w:rPr>
        <w:t>3.3.2 Software Specification</w:t>
      </w:r>
    </w:p>
    <w:p>
      <w:pPr>
        <w:keepNext/>
        <w:spacing w:line="240" w:lineRule="auto" w:after="200"/>
        <w:jc w:val="center"/>
      </w:pPr>
      <w:r>
        <w:rPr>
          <w:rFonts w:ascii="Times New Roman" w:hAnsi="Times New Roman"/>
          <w:b w:val="0"/>
          <w:i w:val="0"/>
          <w:sz w:val="20"/>
        </w:rPr>
        <w:t>Table 3.4  Software stack</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1936"/>
        <w:gridCol w:w="2710"/>
        <w:gridCol w:w="4259"/>
      </w:tblGrid>
      <w:tr>
        <w:trPr>
          <w:cantSplit/>
          <w:tblHeader/>
        </w:trPr>
        <w:tc>
          <w:tcPr>
            <w:tcW w:type="dxa" w:w="1936"/>
            <w:shd w:val="clear" w:color="auto" w:fill="D9E2F3"/>
          </w:tcPr>
          <w:p>
            <w:pPr>
              <w:spacing w:after="40" w:line="240" w:lineRule="auto"/>
              <w:jc w:val="center"/>
            </w:pPr>
            <w:r/>
            <w:r>
              <w:rPr>
                <w:rFonts w:ascii="Times New Roman" w:hAnsi="Times New Roman"/>
                <w:b/>
                <w:sz w:val="19"/>
              </w:rPr>
              <w:t>Layer</w:t>
            </w:r>
          </w:p>
        </w:tc>
        <w:tc>
          <w:tcPr>
            <w:tcW w:type="dxa" w:w="2711"/>
            <w:shd w:val="clear" w:color="auto" w:fill="D9E2F3"/>
          </w:tcPr>
          <w:p>
            <w:pPr>
              <w:spacing w:after="40" w:line="240" w:lineRule="auto"/>
              <w:jc w:val="center"/>
            </w:pPr>
            <w:r/>
            <w:r>
              <w:rPr>
                <w:rFonts w:ascii="Times New Roman" w:hAnsi="Times New Roman"/>
                <w:b/>
                <w:sz w:val="19"/>
              </w:rPr>
              <w:t>Tool and version</w:t>
            </w:r>
          </w:p>
        </w:tc>
        <w:tc>
          <w:tcPr>
            <w:tcW w:type="dxa" w:w="4260"/>
            <w:shd w:val="clear" w:color="auto" w:fill="D9E2F3"/>
          </w:tcPr>
          <w:p>
            <w:pPr>
              <w:spacing w:after="40" w:line="240" w:lineRule="auto"/>
              <w:jc w:val="center"/>
            </w:pPr>
            <w:r/>
            <w:r>
              <w:rPr>
                <w:rFonts w:ascii="Times New Roman" w:hAnsi="Times New Roman"/>
                <w:b/>
                <w:sz w:val="19"/>
              </w:rPr>
              <w:t>Used for</w:t>
            </w:r>
          </w:p>
        </w:tc>
      </w:tr>
      <w:tr>
        <w:trPr>
          <w:cantSplit/>
        </w:trPr>
        <w:tc>
          <w:tcPr>
            <w:tcW w:type="dxa" w:w="1936"/>
          </w:tcPr>
          <w:p>
            <w:pPr>
              <w:spacing w:after="40" w:line="240" w:lineRule="auto"/>
              <w:jc w:val="left"/>
            </w:pPr>
            <w:r/>
            <w:r>
              <w:rPr>
                <w:rFonts w:ascii="Times New Roman" w:hAnsi="Times New Roman"/>
                <w:sz w:val="19"/>
              </w:rPr>
              <w:t>Language</w:t>
            </w:r>
          </w:p>
        </w:tc>
        <w:tc>
          <w:tcPr>
            <w:tcW w:type="dxa" w:w="2711"/>
          </w:tcPr>
          <w:p>
            <w:pPr>
              <w:spacing w:after="40" w:line="240" w:lineRule="auto"/>
              <w:jc w:val="center"/>
            </w:pPr>
            <w:r/>
            <w:r>
              <w:rPr>
                <w:rFonts w:ascii="Times New Roman" w:hAnsi="Times New Roman"/>
                <w:sz w:val="19"/>
              </w:rPr>
              <w:t>Python 3.11.13</w:t>
            </w:r>
          </w:p>
        </w:tc>
        <w:tc>
          <w:tcPr>
            <w:tcW w:type="dxa" w:w="4260"/>
          </w:tcPr>
          <w:p>
            <w:pPr>
              <w:spacing w:after="40" w:line="240" w:lineRule="auto"/>
              <w:jc w:val="center"/>
            </w:pPr>
            <w:r/>
            <w:r>
              <w:rPr>
                <w:rFonts w:ascii="Times New Roman" w:hAnsi="Times New Roman"/>
                <w:sz w:val="19"/>
              </w:rPr>
              <w:t>All code, 13 modules in src/</w:t>
            </w:r>
          </w:p>
        </w:tc>
      </w:tr>
      <w:tr>
        <w:trPr>
          <w:cantSplit/>
        </w:trPr>
        <w:tc>
          <w:tcPr>
            <w:tcW w:type="dxa" w:w="1936"/>
          </w:tcPr>
          <w:p>
            <w:pPr>
              <w:spacing w:after="40" w:line="240" w:lineRule="auto"/>
              <w:jc w:val="left"/>
            </w:pPr>
            <w:r/>
            <w:r>
              <w:rPr>
                <w:rFonts w:ascii="Times New Roman" w:hAnsi="Times New Roman"/>
                <w:sz w:val="19"/>
              </w:rPr>
              <w:t>Environment</w:t>
            </w:r>
          </w:p>
        </w:tc>
        <w:tc>
          <w:tcPr>
            <w:tcW w:type="dxa" w:w="2711"/>
          </w:tcPr>
          <w:p>
            <w:pPr>
              <w:spacing w:after="40" w:line="240" w:lineRule="auto"/>
              <w:jc w:val="center"/>
            </w:pPr>
            <w:r/>
            <w:r>
              <w:rPr>
                <w:rFonts w:ascii="Times New Roman" w:hAnsi="Times New Roman"/>
                <w:sz w:val="19"/>
              </w:rPr>
              <w:t>venv</w:t>
            </w:r>
          </w:p>
        </w:tc>
        <w:tc>
          <w:tcPr>
            <w:tcW w:type="dxa" w:w="4260"/>
          </w:tcPr>
          <w:p>
            <w:pPr>
              <w:spacing w:after="40" w:line="240" w:lineRule="auto"/>
              <w:jc w:val="center"/>
            </w:pPr>
            <w:r/>
            <w:r>
              <w:rPr>
                <w:rFonts w:ascii="Times New Roman" w:hAnsi="Times New Roman"/>
                <w:sz w:val="19"/>
              </w:rPr>
              <w:t>Isolated, reproducible dependencies</w:t>
            </w:r>
          </w:p>
        </w:tc>
      </w:tr>
      <w:tr>
        <w:trPr>
          <w:cantSplit/>
        </w:trPr>
        <w:tc>
          <w:tcPr>
            <w:tcW w:type="dxa" w:w="1936"/>
          </w:tcPr>
          <w:p>
            <w:pPr>
              <w:spacing w:after="40" w:line="240" w:lineRule="auto"/>
              <w:jc w:val="left"/>
            </w:pPr>
            <w:r/>
            <w:r>
              <w:rPr>
                <w:rFonts w:ascii="Times New Roman" w:hAnsi="Times New Roman"/>
                <w:sz w:val="19"/>
              </w:rPr>
              <w:t>Data handling</w:t>
            </w:r>
          </w:p>
        </w:tc>
        <w:tc>
          <w:tcPr>
            <w:tcW w:type="dxa" w:w="2711"/>
          </w:tcPr>
          <w:p>
            <w:pPr>
              <w:spacing w:after="40" w:line="240" w:lineRule="auto"/>
              <w:jc w:val="center"/>
            </w:pPr>
            <w:r/>
            <w:r>
              <w:rPr>
                <w:rFonts w:ascii="Times New Roman" w:hAnsi="Times New Roman"/>
                <w:sz w:val="19"/>
              </w:rPr>
              <w:t>pandas 3.0.5, NumPy 2.1.3</w:t>
            </w:r>
          </w:p>
        </w:tc>
        <w:tc>
          <w:tcPr>
            <w:tcW w:type="dxa" w:w="4260"/>
          </w:tcPr>
          <w:p>
            <w:pPr>
              <w:spacing w:after="40" w:line="240" w:lineRule="auto"/>
              <w:jc w:val="center"/>
            </w:pPr>
            <w:r/>
            <w:r>
              <w:rPr>
                <w:rFonts w:ascii="Times New Roman" w:hAnsi="Times New Roman"/>
                <w:sz w:val="19"/>
              </w:rPr>
              <w:t>Cleaning the panel, feature engineering on wide tables, results</w:t>
            </w:r>
          </w:p>
        </w:tc>
      </w:tr>
      <w:tr>
        <w:trPr>
          <w:cantSplit/>
        </w:trPr>
        <w:tc>
          <w:tcPr>
            <w:tcW w:type="dxa" w:w="1936"/>
          </w:tcPr>
          <w:p>
            <w:pPr>
              <w:spacing w:after="40" w:line="240" w:lineRule="auto"/>
              <w:jc w:val="left"/>
            </w:pPr>
            <w:r/>
            <w:r>
              <w:rPr>
                <w:rFonts w:ascii="Times New Roman" w:hAnsi="Times New Roman"/>
                <w:sz w:val="19"/>
              </w:rPr>
              <w:t>Machine learning</w:t>
            </w:r>
          </w:p>
        </w:tc>
        <w:tc>
          <w:tcPr>
            <w:tcW w:type="dxa" w:w="2711"/>
          </w:tcPr>
          <w:p>
            <w:pPr>
              <w:spacing w:after="40" w:line="240" w:lineRule="auto"/>
              <w:jc w:val="center"/>
            </w:pPr>
            <w:r/>
            <w:r>
              <w:rPr>
                <w:rFonts w:ascii="Times New Roman" w:hAnsi="Times New Roman"/>
                <w:sz w:val="19"/>
              </w:rPr>
              <w:t>scikit-learn 1.9.1</w:t>
            </w:r>
          </w:p>
        </w:tc>
        <w:tc>
          <w:tcPr>
            <w:tcW w:type="dxa" w:w="4260"/>
          </w:tcPr>
          <w:p>
            <w:pPr>
              <w:spacing w:after="40" w:line="240" w:lineRule="auto"/>
              <w:jc w:val="center"/>
            </w:pPr>
            <w:r/>
            <w:r>
              <w:rPr>
                <w:rFonts w:ascii="Times New Roman" w:hAnsi="Times New Roman"/>
                <w:sz w:val="19"/>
              </w:rPr>
              <w:t>RandomForestRegressor, RandomForestClassifier, RidgeCV, permutation_importance</w:t>
            </w:r>
          </w:p>
        </w:tc>
      </w:tr>
      <w:tr>
        <w:trPr>
          <w:cantSplit/>
        </w:trPr>
        <w:tc>
          <w:tcPr>
            <w:tcW w:type="dxa" w:w="1936"/>
          </w:tcPr>
          <w:p>
            <w:pPr>
              <w:spacing w:after="40" w:line="240" w:lineRule="auto"/>
              <w:jc w:val="left"/>
            </w:pPr>
            <w:r/>
            <w:r>
              <w:rPr>
                <w:rFonts w:ascii="Times New Roman" w:hAnsi="Times New Roman"/>
                <w:sz w:val="19"/>
              </w:rPr>
              <w:t>Explanation: SHAP</w:t>
            </w:r>
          </w:p>
        </w:tc>
        <w:tc>
          <w:tcPr>
            <w:tcW w:type="dxa" w:w="2711"/>
          </w:tcPr>
          <w:p>
            <w:pPr>
              <w:spacing w:after="40" w:line="240" w:lineRule="auto"/>
              <w:jc w:val="center"/>
            </w:pPr>
            <w:r/>
            <w:r>
              <w:rPr>
                <w:rFonts w:ascii="Times New Roman" w:hAnsi="Times New Roman"/>
                <w:sz w:val="19"/>
              </w:rPr>
              <w:t>shap 0.51.0</w:t>
            </w:r>
          </w:p>
        </w:tc>
        <w:tc>
          <w:tcPr>
            <w:tcW w:type="dxa" w:w="4260"/>
          </w:tcPr>
          <w:p>
            <w:pPr>
              <w:spacing w:after="40" w:line="240" w:lineRule="auto"/>
              <w:jc w:val="center"/>
            </w:pPr>
            <w:r/>
            <w:r>
              <w:rPr>
                <w:rFonts w:ascii="Times New Roman" w:hAnsi="Times New Roman"/>
                <w:sz w:val="19"/>
              </w:rPr>
              <w:t>TreeExplainer, exact TreeSHAP values</w:t>
            </w:r>
          </w:p>
        </w:tc>
      </w:tr>
      <w:tr>
        <w:trPr>
          <w:cantSplit/>
        </w:trPr>
        <w:tc>
          <w:tcPr>
            <w:tcW w:type="dxa" w:w="1936"/>
          </w:tcPr>
          <w:p>
            <w:pPr>
              <w:spacing w:after="40" w:line="240" w:lineRule="auto"/>
              <w:jc w:val="left"/>
            </w:pPr>
            <w:r/>
            <w:r>
              <w:rPr>
                <w:rFonts w:ascii="Times New Roman" w:hAnsi="Times New Roman"/>
                <w:sz w:val="19"/>
              </w:rPr>
              <w:t>Explanation: LIME</w:t>
            </w:r>
          </w:p>
        </w:tc>
        <w:tc>
          <w:tcPr>
            <w:tcW w:type="dxa" w:w="2711"/>
          </w:tcPr>
          <w:p>
            <w:pPr>
              <w:spacing w:after="40" w:line="240" w:lineRule="auto"/>
              <w:jc w:val="center"/>
            </w:pPr>
            <w:r/>
            <w:r>
              <w:rPr>
                <w:rFonts w:ascii="Times New Roman" w:hAnsi="Times New Roman"/>
                <w:sz w:val="19"/>
              </w:rPr>
              <w:t>lime 0.2.0.1</w:t>
            </w:r>
          </w:p>
        </w:tc>
        <w:tc>
          <w:tcPr>
            <w:tcW w:type="dxa" w:w="4260"/>
          </w:tcPr>
          <w:p>
            <w:pPr>
              <w:spacing w:after="40" w:line="240" w:lineRule="auto"/>
              <w:jc w:val="center"/>
            </w:pPr>
            <w:r/>
            <w:r>
              <w:rPr>
                <w:rFonts w:ascii="Times New Roman" w:hAnsi="Times New Roman"/>
                <w:sz w:val="19"/>
              </w:rPr>
              <w:t>LimeTabularExplainer, local surrogate models</w:t>
            </w:r>
          </w:p>
        </w:tc>
      </w:tr>
      <w:tr>
        <w:trPr>
          <w:cantSplit/>
        </w:trPr>
        <w:tc>
          <w:tcPr>
            <w:tcW w:type="dxa" w:w="1936"/>
          </w:tcPr>
          <w:p>
            <w:pPr>
              <w:spacing w:after="40" w:line="240" w:lineRule="auto"/>
              <w:jc w:val="left"/>
            </w:pPr>
            <w:r/>
            <w:r>
              <w:rPr>
                <w:rFonts w:ascii="Times New Roman" w:hAnsi="Times New Roman"/>
                <w:sz w:val="19"/>
              </w:rPr>
              <w:t>Statistics</w:t>
            </w:r>
          </w:p>
        </w:tc>
        <w:tc>
          <w:tcPr>
            <w:tcW w:type="dxa" w:w="2711"/>
          </w:tcPr>
          <w:p>
            <w:pPr>
              <w:spacing w:after="40" w:line="240" w:lineRule="auto"/>
              <w:jc w:val="center"/>
            </w:pPr>
            <w:r/>
            <w:r>
              <w:rPr>
                <w:rFonts w:ascii="Times New Roman" w:hAnsi="Times New Roman"/>
                <w:sz w:val="19"/>
              </w:rPr>
              <w:t>SciPy 1.17.1</w:t>
            </w:r>
          </w:p>
        </w:tc>
        <w:tc>
          <w:tcPr>
            <w:tcW w:type="dxa" w:w="4260"/>
          </w:tcPr>
          <w:p>
            <w:pPr>
              <w:spacing w:after="40" w:line="240" w:lineRule="auto"/>
              <w:jc w:val="center"/>
            </w:pPr>
            <w:r/>
            <w:r>
              <w:rPr>
                <w:rFonts w:ascii="Times New Roman" w:hAnsi="Times New Roman"/>
                <w:sz w:val="19"/>
              </w:rPr>
              <w:t>Kendall tau, Spearman rho, binomial test, normal distribution for Diebold-Mariano</w:t>
            </w:r>
          </w:p>
        </w:tc>
      </w:tr>
      <w:tr>
        <w:trPr>
          <w:cantSplit/>
        </w:trPr>
        <w:tc>
          <w:tcPr>
            <w:tcW w:type="dxa" w:w="1936"/>
          </w:tcPr>
          <w:p>
            <w:pPr>
              <w:spacing w:after="40" w:line="240" w:lineRule="auto"/>
              <w:jc w:val="left"/>
            </w:pPr>
            <w:r/>
            <w:r>
              <w:rPr>
                <w:rFonts w:ascii="Times New Roman" w:hAnsi="Times New Roman"/>
                <w:sz w:val="19"/>
              </w:rPr>
              <w:t>Visualisation</w:t>
            </w:r>
          </w:p>
        </w:tc>
        <w:tc>
          <w:tcPr>
            <w:tcW w:type="dxa" w:w="2711"/>
          </w:tcPr>
          <w:p>
            <w:pPr>
              <w:spacing w:after="40" w:line="240" w:lineRule="auto"/>
              <w:jc w:val="center"/>
            </w:pPr>
            <w:r/>
            <w:r>
              <w:rPr>
                <w:rFonts w:ascii="Times New Roman" w:hAnsi="Times New Roman"/>
                <w:sz w:val="19"/>
              </w:rPr>
              <w:t>Matplotlib 3.11.2</w:t>
            </w:r>
          </w:p>
        </w:tc>
        <w:tc>
          <w:tcPr>
            <w:tcW w:type="dxa" w:w="4260"/>
          </w:tcPr>
          <w:p>
            <w:pPr>
              <w:spacing w:after="40" w:line="240" w:lineRule="auto"/>
              <w:jc w:val="center"/>
            </w:pPr>
            <w:r/>
            <w:r>
              <w:rPr>
                <w:rFonts w:ascii="Times New Roman" w:hAnsi="Times New Roman"/>
                <w:sz w:val="19"/>
              </w:rPr>
              <w:t>All 15 result figures and 6 design diagrams</w:t>
            </w:r>
          </w:p>
        </w:tc>
      </w:tr>
      <w:tr>
        <w:trPr>
          <w:cantSplit/>
        </w:trPr>
        <w:tc>
          <w:tcPr>
            <w:tcW w:type="dxa" w:w="1936"/>
          </w:tcPr>
          <w:p>
            <w:pPr>
              <w:spacing w:after="40" w:line="240" w:lineRule="auto"/>
              <w:jc w:val="left"/>
            </w:pPr>
            <w:r/>
            <w:r>
              <w:rPr>
                <w:rFonts w:ascii="Times New Roman" w:hAnsi="Times New Roman"/>
                <w:sz w:val="19"/>
              </w:rPr>
              <w:t>Model storage</w:t>
            </w:r>
          </w:p>
        </w:tc>
        <w:tc>
          <w:tcPr>
            <w:tcW w:type="dxa" w:w="2711"/>
          </w:tcPr>
          <w:p>
            <w:pPr>
              <w:spacing w:after="40" w:line="240" w:lineRule="auto"/>
              <w:jc w:val="center"/>
            </w:pPr>
            <w:r/>
            <w:r>
              <w:rPr>
                <w:rFonts w:ascii="Times New Roman" w:hAnsi="Times New Roman"/>
                <w:sz w:val="19"/>
              </w:rPr>
              <w:t>joblib 1.6.0</w:t>
            </w:r>
          </w:p>
        </w:tc>
        <w:tc>
          <w:tcPr>
            <w:tcW w:type="dxa" w:w="4260"/>
          </w:tcPr>
          <w:p>
            <w:pPr>
              <w:spacing w:after="40" w:line="240" w:lineRule="auto"/>
              <w:jc w:val="center"/>
            </w:pPr>
            <w:r/>
            <w:r>
              <w:rPr>
                <w:rFonts w:ascii="Times New Roman" w:hAnsi="Times New Roman"/>
                <w:sz w:val="19"/>
              </w:rPr>
              <w:t>Saved yearly Random Forest models</w:t>
            </w:r>
          </w:p>
        </w:tc>
      </w:tr>
      <w:tr>
        <w:trPr>
          <w:cantSplit/>
        </w:trPr>
        <w:tc>
          <w:tcPr>
            <w:tcW w:type="dxa" w:w="1936"/>
          </w:tcPr>
          <w:p>
            <w:pPr>
              <w:spacing w:after="40" w:line="240" w:lineRule="auto"/>
              <w:jc w:val="left"/>
            </w:pPr>
            <w:r/>
            <w:r>
              <w:rPr>
                <w:rFonts w:ascii="Times New Roman" w:hAnsi="Times New Roman"/>
                <w:sz w:val="19"/>
              </w:rPr>
              <w:t>Live prices</w:t>
            </w:r>
          </w:p>
        </w:tc>
        <w:tc>
          <w:tcPr>
            <w:tcW w:type="dxa" w:w="2711"/>
          </w:tcPr>
          <w:p>
            <w:pPr>
              <w:spacing w:after="40" w:line="240" w:lineRule="auto"/>
              <w:jc w:val="center"/>
            </w:pPr>
            <w:r/>
            <w:r>
              <w:rPr>
                <w:rFonts w:ascii="Times New Roman" w:hAnsi="Times New Roman"/>
                <w:sz w:val="19"/>
              </w:rPr>
              <w:t>yfinance 0.2.x</w:t>
            </w:r>
          </w:p>
        </w:tc>
        <w:tc>
          <w:tcPr>
            <w:tcW w:type="dxa" w:w="4260"/>
          </w:tcPr>
          <w:p>
            <w:pPr>
              <w:spacing w:after="40" w:line="240" w:lineRule="auto"/>
              <w:jc w:val="center"/>
            </w:pPr>
            <w:r/>
            <w:r>
              <w:rPr>
                <w:rFonts w:ascii="Times New Roman" w:hAnsi="Times New Roman"/>
                <w:sz w:val="19"/>
              </w:rPr>
              <w:t>Prices for the next-session forecast</w:t>
            </w:r>
          </w:p>
        </w:tc>
      </w:tr>
      <w:tr>
        <w:trPr>
          <w:cantSplit/>
        </w:trPr>
        <w:tc>
          <w:tcPr>
            <w:tcW w:type="dxa" w:w="1936"/>
          </w:tcPr>
          <w:p>
            <w:pPr>
              <w:spacing w:after="40" w:line="240" w:lineRule="auto"/>
              <w:jc w:val="left"/>
            </w:pPr>
            <w:r/>
            <w:r>
              <w:rPr>
                <w:rFonts w:ascii="Times New Roman" w:hAnsi="Times New Roman"/>
                <w:sz w:val="19"/>
              </w:rPr>
              <w:t>Demonstration</w:t>
            </w:r>
          </w:p>
        </w:tc>
        <w:tc>
          <w:tcPr>
            <w:tcW w:type="dxa" w:w="2711"/>
          </w:tcPr>
          <w:p>
            <w:pPr>
              <w:spacing w:after="40" w:line="240" w:lineRule="auto"/>
              <w:jc w:val="center"/>
            </w:pPr>
            <w:r/>
            <w:r>
              <w:rPr>
                <w:rFonts w:ascii="Times New Roman" w:hAnsi="Times New Roman"/>
                <w:sz w:val="19"/>
              </w:rPr>
              <w:t>Python standard library http.server, inline SVG</w:t>
            </w:r>
          </w:p>
        </w:tc>
        <w:tc>
          <w:tcPr>
            <w:tcW w:type="dxa" w:w="4260"/>
          </w:tcPr>
          <w:p>
            <w:pPr>
              <w:spacing w:after="40" w:line="240" w:lineRule="auto"/>
              <w:jc w:val="center"/>
            </w:pPr>
            <w:r/>
            <w:r>
              <w:rPr>
                <w:rFonts w:ascii="Times New Roman" w:hAnsi="Times New Roman"/>
                <w:sz w:val="19"/>
              </w:rPr>
              <w:t>The interactive page; no web framework is used</w:t>
            </w:r>
          </w:p>
        </w:tc>
      </w:tr>
      <w:tr>
        <w:trPr>
          <w:cantSplit/>
        </w:trPr>
        <w:tc>
          <w:tcPr>
            <w:tcW w:type="dxa" w:w="1936"/>
          </w:tcPr>
          <w:p>
            <w:pPr>
              <w:spacing w:after="40" w:line="240" w:lineRule="auto"/>
              <w:jc w:val="left"/>
            </w:pPr>
            <w:r/>
            <w:r>
              <w:rPr>
                <w:rFonts w:ascii="Times New Roman" w:hAnsi="Times New Roman"/>
                <w:sz w:val="19"/>
              </w:rPr>
              <w:t>Document build</w:t>
            </w:r>
          </w:p>
        </w:tc>
        <w:tc>
          <w:tcPr>
            <w:tcW w:type="dxa" w:w="2711"/>
          </w:tcPr>
          <w:p>
            <w:pPr>
              <w:spacing w:after="40" w:line="240" w:lineRule="auto"/>
              <w:jc w:val="center"/>
            </w:pPr>
            <w:r/>
            <w:r>
              <w:rPr>
                <w:rFonts w:ascii="Times New Roman" w:hAnsi="Times New Roman"/>
                <w:sz w:val="19"/>
              </w:rPr>
              <w:t>pandoc, python-docx</w:t>
            </w:r>
          </w:p>
        </w:tc>
        <w:tc>
          <w:tcPr>
            <w:tcW w:type="dxa" w:w="4260"/>
          </w:tcPr>
          <w:p>
            <w:pPr>
              <w:spacing w:after="40" w:line="240" w:lineRule="auto"/>
              <w:jc w:val="center"/>
            </w:pPr>
            <w:r/>
            <w:r>
              <w:rPr>
                <w:rFonts w:ascii="Times New Roman" w:hAnsi="Times New Roman"/>
                <w:sz w:val="19"/>
              </w:rPr>
              <w:t>Markdown and Word output</w:t>
            </w:r>
          </w:p>
        </w:tc>
      </w:tr>
    </w:tbl>
    <w:p>
      <w:pPr>
        <w:keepNext w:val="0"/>
        <w:spacing w:line="276" w:lineRule="auto" w:after="80"/>
        <w:jc w:val="both"/>
      </w:pPr>
    </w:p>
    <w:p>
      <w:pPr>
        <w:keepNext/>
        <w:pageBreakBefore/>
        <w:spacing w:line="360" w:lineRule="auto" w:after="200"/>
        <w:jc w:val="center"/>
      </w:pPr>
      <w:r>
        <w:rPr>
          <w:rFonts w:ascii="Times New Roman" w:hAnsi="Times New Roman"/>
          <w:b/>
          <w:i w:val="0"/>
          <w:sz w:val="28"/>
        </w:rPr>
        <w:t>CHAPTER 4</w:t>
      </w:r>
    </w:p>
    <w:p>
      <w:pPr>
        <w:keepNext/>
        <w:spacing w:line="360" w:lineRule="auto" w:after="320"/>
        <w:jc w:val="center"/>
      </w:pPr>
      <w:r>
        <w:rPr>
          <w:rFonts w:ascii="Times New Roman" w:hAnsi="Times New Roman"/>
          <w:b/>
          <w:i w:val="0"/>
          <w:sz w:val="28"/>
        </w:rPr>
        <w:t>4. DESIGN APPROACH AND DETAILS</w:t>
      </w:r>
    </w:p>
    <w:p>
      <w:pPr>
        <w:keepNext/>
        <w:spacing w:line="240" w:lineRule="auto" w:after="160"/>
        <w:jc w:val="left"/>
      </w:pPr>
      <w:r>
        <w:rPr>
          <w:rFonts w:ascii="Times New Roman" w:hAnsi="Times New Roman"/>
          <w:b/>
          <w:i w:val="0"/>
          <w:sz w:val="26"/>
        </w:rPr>
        <w:t>4.1 System Architecture</w:t>
      </w:r>
    </w:p>
    <w:p>
      <w:pPr>
        <w:keepNext w:val="0"/>
        <w:spacing w:line="276" w:lineRule="auto" w:after="120"/>
        <w:jc w:val="both"/>
      </w:pPr>
      <w:r>
        <w:rPr>
          <w:rFonts w:ascii="Times New Roman" w:hAnsi="Times New Roman"/>
          <w:b w:val="0"/>
          <w:i w:val="0"/>
          <w:sz w:val="24"/>
        </w:rPr>
        <w:t>The system is a six-stage pipeline. Each stage reads the artifact written by the stage before it and writes its own, so a change to the explanation code does not require retraining, and a change to the features does not require re-reviewing the literature. The arrangement also makes the no-look-ahead property inspectable: the only stage that sees test-period data is the one that forecasts it.</w:t>
      </w:r>
    </w:p>
    <w:p>
      <w:pPr>
        <w:keepNext/>
        <w:spacing w:after="80"/>
        <w:jc w:val="center"/>
      </w:pPr>
      <w:r>
        <w:drawing>
          <wp:inline xmlns:a="http://schemas.openxmlformats.org/drawingml/2006/main" xmlns:pic="http://schemas.openxmlformats.org/drawingml/2006/picture">
            <wp:extent cx="5544000" cy="3062703"/>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544000" cy="3062703"/>
                    </a:xfrm>
                    <a:prstGeom prst="rect"/>
                  </pic:spPr>
                </pic:pic>
              </a:graphicData>
            </a:graphic>
          </wp:inline>
        </w:drawing>
      </w:r>
    </w:p>
    <w:p>
      <w:pPr>
        <w:keepNext w:val="0"/>
        <w:spacing w:line="240" w:lineRule="auto" w:after="200"/>
        <w:jc w:val="center"/>
      </w:pPr>
      <w:r>
        <w:rPr>
          <w:rFonts w:ascii="Times New Roman" w:hAnsi="Times New Roman"/>
          <w:b w:val="0"/>
          <w:i w:val="0"/>
          <w:sz w:val="20"/>
        </w:rPr>
        <w:t>Figure 4.1  System architecture. The six stages, their scripts and the artifacts they write</w:t>
      </w:r>
    </w:p>
    <w:p>
      <w:pPr>
        <w:keepNext/>
        <w:spacing w:line="240" w:lineRule="auto" w:after="120"/>
        <w:jc w:val="left"/>
      </w:pPr>
      <w:r>
        <w:rPr>
          <w:rFonts w:ascii="Times New Roman" w:hAnsi="Times New Roman"/>
          <w:b/>
          <w:i/>
          <w:sz w:val="24"/>
        </w:rPr>
        <w:t>4.1.1 Dataset</w:t>
      </w:r>
    </w:p>
    <w:p>
      <w:pPr>
        <w:keepNext w:val="0"/>
        <w:spacing w:line="276" w:lineRule="auto" w:after="120"/>
        <w:jc w:val="both"/>
      </w:pPr>
      <w:r>
        <w:rPr>
          <w:rFonts w:ascii="Times New Roman" w:hAnsi="Times New Roman"/>
          <w:b w:val="0"/>
          <w:i w:val="0"/>
          <w:sz w:val="24"/>
        </w:rPr>
        <w:t>The raw dataset is the public S&amp;P 500 benchmark released with the ESTIMATE paper and also used by StockMixer. It holds daily open, high, low, close, adjusted close and volume for 474 constituents across eleven GICS sectors, from 14 May 2012 to 25 May 2022, a span of 2,526 trading days that includes both the COVID crash and the 2022 bear market.</w:t>
      </w:r>
    </w:p>
    <w:p>
      <w:pPr>
        <w:keepNext/>
        <w:spacing w:line="240" w:lineRule="auto" w:after="200"/>
        <w:jc w:val="center"/>
      </w:pPr>
      <w:r>
        <w:rPr>
          <w:rFonts w:ascii="Times New Roman" w:hAnsi="Times New Roman"/>
          <w:b w:val="0"/>
          <w:i w:val="0"/>
          <w:sz w:val="20"/>
        </w:rPr>
        <w:t>Table 4.1  Dataset summary</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2823"/>
        <w:gridCol w:w="6082"/>
      </w:tblGrid>
      <w:tr>
        <w:trPr>
          <w:cantSplit/>
          <w:tblHeader/>
        </w:trPr>
        <w:tc>
          <w:tcPr>
            <w:tcW w:type="dxa" w:w="2824"/>
            <w:shd w:val="clear" w:color="auto" w:fill="D9E2F3"/>
          </w:tcPr>
          <w:p>
            <w:pPr>
              <w:spacing w:after="40" w:line="240" w:lineRule="auto"/>
              <w:jc w:val="center"/>
            </w:pPr>
            <w:r/>
            <w:r>
              <w:rPr>
                <w:rFonts w:ascii="Times New Roman" w:hAnsi="Times New Roman"/>
                <w:b/>
                <w:sz w:val="19"/>
              </w:rPr>
              <w:t>Item</w:t>
            </w:r>
          </w:p>
        </w:tc>
        <w:tc>
          <w:tcPr>
            <w:tcW w:type="dxa" w:w="6082"/>
            <w:shd w:val="clear" w:color="auto" w:fill="D9E2F3"/>
          </w:tcPr>
          <w:p>
            <w:pPr>
              <w:spacing w:after="40" w:line="240" w:lineRule="auto"/>
              <w:jc w:val="center"/>
            </w:pPr>
            <w:r/>
            <w:r>
              <w:rPr>
                <w:rFonts w:ascii="Times New Roman" w:hAnsi="Times New Roman"/>
                <w:b/>
                <w:sz w:val="19"/>
              </w:rPr>
              <w:t>Detail</w:t>
            </w:r>
          </w:p>
        </w:tc>
      </w:tr>
      <w:tr>
        <w:trPr>
          <w:cantSplit/>
        </w:trPr>
        <w:tc>
          <w:tcPr>
            <w:tcW w:type="dxa" w:w="2824"/>
          </w:tcPr>
          <w:p>
            <w:pPr>
              <w:spacing w:after="40" w:line="240" w:lineRule="auto"/>
              <w:jc w:val="left"/>
            </w:pPr>
            <w:r/>
            <w:r>
              <w:rPr>
                <w:rFonts w:ascii="Times New Roman" w:hAnsi="Times New Roman"/>
                <w:sz w:val="19"/>
              </w:rPr>
              <w:t>Source</w:t>
            </w:r>
          </w:p>
        </w:tc>
        <w:tc>
          <w:tcPr>
            <w:tcW w:type="dxa" w:w="6082"/>
          </w:tcPr>
          <w:p>
            <w:pPr>
              <w:spacing w:after="40" w:line="240" w:lineRule="auto"/>
              <w:jc w:val="center"/>
            </w:pPr>
            <w:r/>
            <w:r>
              <w:rPr>
                <w:rFonts w:ascii="Times New Roman" w:hAnsi="Times New Roman"/>
                <w:sz w:val="19"/>
              </w:rPr>
              <w:t>ESTIMATE S&amp;P 500 benchmark (Huynh et al., WSDM 2023)</w:t>
            </w:r>
          </w:p>
        </w:tc>
      </w:tr>
      <w:tr>
        <w:trPr>
          <w:cantSplit/>
        </w:trPr>
        <w:tc>
          <w:tcPr>
            <w:tcW w:type="dxa" w:w="2824"/>
          </w:tcPr>
          <w:p>
            <w:pPr>
              <w:spacing w:after="40" w:line="240" w:lineRule="auto"/>
              <w:jc w:val="left"/>
            </w:pPr>
            <w:r/>
            <w:r>
              <w:rPr>
                <w:rFonts w:ascii="Times New Roman" w:hAnsi="Times New Roman"/>
                <w:sz w:val="19"/>
              </w:rPr>
              <w:t>Universe</w:t>
            </w:r>
          </w:p>
        </w:tc>
        <w:tc>
          <w:tcPr>
            <w:tcW w:type="dxa" w:w="6082"/>
          </w:tcPr>
          <w:p>
            <w:pPr>
              <w:spacing w:after="40" w:line="240" w:lineRule="auto"/>
              <w:jc w:val="center"/>
            </w:pPr>
            <w:r/>
            <w:r>
              <w:rPr>
                <w:rFonts w:ascii="Times New Roman" w:hAnsi="Times New Roman"/>
                <w:sz w:val="19"/>
              </w:rPr>
              <w:t>474 constituents, eleven GICS sectors holding 21 to 67 stocks each</w:t>
            </w:r>
          </w:p>
        </w:tc>
      </w:tr>
      <w:tr>
        <w:trPr>
          <w:cantSplit/>
        </w:trPr>
        <w:tc>
          <w:tcPr>
            <w:tcW w:type="dxa" w:w="2824"/>
          </w:tcPr>
          <w:p>
            <w:pPr>
              <w:spacing w:after="40" w:line="240" w:lineRule="auto"/>
              <w:jc w:val="left"/>
            </w:pPr>
            <w:r/>
            <w:r>
              <w:rPr>
                <w:rFonts w:ascii="Times New Roman" w:hAnsi="Times New Roman"/>
                <w:sz w:val="19"/>
              </w:rPr>
              <w:t>Fields</w:t>
            </w:r>
          </w:p>
        </w:tc>
        <w:tc>
          <w:tcPr>
            <w:tcW w:type="dxa" w:w="6082"/>
          </w:tcPr>
          <w:p>
            <w:pPr>
              <w:spacing w:after="40" w:line="240" w:lineRule="auto"/>
              <w:jc w:val="center"/>
            </w:pPr>
            <w:r/>
            <w:r>
              <w:rPr>
                <w:rFonts w:ascii="Times New Roman" w:hAnsi="Times New Roman"/>
                <w:sz w:val="19"/>
              </w:rPr>
              <w:t>Daily open, high, low, close, adjusted close and volume</w:t>
            </w:r>
          </w:p>
        </w:tc>
      </w:tr>
      <w:tr>
        <w:trPr>
          <w:cantSplit/>
        </w:trPr>
        <w:tc>
          <w:tcPr>
            <w:tcW w:type="dxa" w:w="2824"/>
          </w:tcPr>
          <w:p>
            <w:pPr>
              <w:spacing w:after="40" w:line="240" w:lineRule="auto"/>
              <w:jc w:val="left"/>
            </w:pPr>
            <w:r/>
            <w:r>
              <w:rPr>
                <w:rFonts w:ascii="Times New Roman" w:hAnsi="Times New Roman"/>
                <w:sz w:val="19"/>
              </w:rPr>
              <w:t>Period</w:t>
            </w:r>
          </w:p>
        </w:tc>
        <w:tc>
          <w:tcPr>
            <w:tcW w:type="dxa" w:w="6082"/>
          </w:tcPr>
          <w:p>
            <w:pPr>
              <w:spacing w:after="40" w:line="240" w:lineRule="auto"/>
              <w:jc w:val="center"/>
            </w:pPr>
            <w:r/>
            <w:r>
              <w:rPr>
                <w:rFonts w:ascii="Times New Roman" w:hAnsi="Times New Roman"/>
                <w:sz w:val="19"/>
              </w:rPr>
              <w:t>14 May 2012 to 25 May 2022, 2,526 trading days</w:t>
            </w:r>
          </w:p>
        </w:tc>
      </w:tr>
      <w:tr>
        <w:trPr>
          <w:cantSplit/>
        </w:trPr>
        <w:tc>
          <w:tcPr>
            <w:tcW w:type="dxa" w:w="2824"/>
          </w:tcPr>
          <w:p>
            <w:pPr>
              <w:spacing w:after="40" w:line="240" w:lineRule="auto"/>
              <w:jc w:val="left"/>
            </w:pPr>
            <w:r/>
            <w:r>
              <w:rPr>
                <w:rFonts w:ascii="Times New Roman" w:hAnsi="Times New Roman"/>
                <w:sz w:val="19"/>
              </w:rPr>
              <w:t>Usable stock-days</w:t>
            </w:r>
          </w:p>
        </w:tc>
        <w:tc>
          <w:tcPr>
            <w:tcW w:type="dxa" w:w="6082"/>
          </w:tcPr>
          <w:p>
            <w:pPr>
              <w:spacing w:after="40" w:line="240" w:lineRule="auto"/>
              <w:jc w:val="center"/>
            </w:pPr>
            <w:r/>
            <w:r>
              <w:rPr>
                <w:rFonts w:ascii="Times New Roman" w:hAnsi="Times New Roman"/>
                <w:sz w:val="19"/>
              </w:rPr>
              <w:t>1,097,165, after a 200-day feature warm-up and cleaning</w:t>
            </w:r>
          </w:p>
        </w:tc>
      </w:tr>
      <w:tr>
        <w:trPr>
          <w:cantSplit/>
        </w:trPr>
        <w:tc>
          <w:tcPr>
            <w:tcW w:type="dxa" w:w="2824"/>
          </w:tcPr>
          <w:p>
            <w:pPr>
              <w:spacing w:after="40" w:line="240" w:lineRule="auto"/>
              <w:jc w:val="left"/>
            </w:pPr>
            <w:r/>
            <w:r>
              <w:rPr>
                <w:rFonts w:ascii="Times New Roman" w:hAnsi="Times New Roman"/>
                <w:sz w:val="19"/>
              </w:rPr>
              <w:t>Training stock-days</w:t>
            </w:r>
          </w:p>
        </w:tc>
        <w:tc>
          <w:tcPr>
            <w:tcW w:type="dxa" w:w="6082"/>
          </w:tcPr>
          <w:p>
            <w:pPr>
              <w:spacing w:after="40" w:line="240" w:lineRule="auto"/>
              <w:jc w:val="center"/>
            </w:pPr>
            <w:r/>
            <w:r>
              <w:rPr>
                <w:rFonts w:ascii="Times New Roman" w:hAnsi="Times New Roman"/>
                <w:sz w:val="19"/>
              </w:rPr>
              <w:t>572,884 to the end of 2017</w:t>
            </w:r>
          </w:p>
        </w:tc>
      </w:tr>
      <w:tr>
        <w:trPr>
          <w:cantSplit/>
        </w:trPr>
        <w:tc>
          <w:tcPr>
            <w:tcW w:type="dxa" w:w="2824"/>
          </w:tcPr>
          <w:p>
            <w:pPr>
              <w:spacing w:after="40" w:line="240" w:lineRule="auto"/>
              <w:jc w:val="left"/>
            </w:pPr>
            <w:r/>
            <w:r>
              <w:rPr>
                <w:rFonts w:ascii="Times New Roman" w:hAnsi="Times New Roman"/>
                <w:sz w:val="19"/>
              </w:rPr>
              <w:t>Validation stock-days</w:t>
            </w:r>
          </w:p>
        </w:tc>
        <w:tc>
          <w:tcPr>
            <w:tcW w:type="dxa" w:w="6082"/>
          </w:tcPr>
          <w:p>
            <w:pPr>
              <w:spacing w:after="40" w:line="240" w:lineRule="auto"/>
              <w:jc w:val="center"/>
            </w:pPr>
            <w:r/>
            <w:r>
              <w:rPr>
                <w:rFonts w:ascii="Times New Roman" w:hAnsi="Times New Roman"/>
                <w:sz w:val="19"/>
              </w:rPr>
              <w:t>118,736, the calendar year 2018</w:t>
            </w:r>
          </w:p>
        </w:tc>
      </w:tr>
      <w:tr>
        <w:trPr>
          <w:cantSplit/>
        </w:trPr>
        <w:tc>
          <w:tcPr>
            <w:tcW w:type="dxa" w:w="2824"/>
          </w:tcPr>
          <w:p>
            <w:pPr>
              <w:spacing w:after="40" w:line="240" w:lineRule="auto"/>
              <w:jc w:val="left"/>
            </w:pPr>
            <w:r/>
            <w:r>
              <w:rPr>
                <w:rFonts w:ascii="Times New Roman" w:hAnsi="Times New Roman"/>
                <w:sz w:val="19"/>
              </w:rPr>
              <w:t>Test stock-days</w:t>
            </w:r>
          </w:p>
        </w:tc>
        <w:tc>
          <w:tcPr>
            <w:tcW w:type="dxa" w:w="6082"/>
          </w:tcPr>
          <w:p>
            <w:pPr>
              <w:spacing w:after="40" w:line="240" w:lineRule="auto"/>
              <w:jc w:val="center"/>
            </w:pPr>
            <w:r/>
            <w:r>
              <w:rPr>
                <w:rFonts w:ascii="Times New Roman" w:hAnsi="Times New Roman"/>
                <w:sz w:val="19"/>
              </w:rPr>
              <w:t>405,545 across 856 trading days, January 2019 to May 2022</w:t>
            </w:r>
          </w:p>
        </w:tc>
      </w:tr>
      <w:tr>
        <w:trPr>
          <w:cantSplit/>
        </w:trPr>
        <w:tc>
          <w:tcPr>
            <w:tcW w:type="dxa" w:w="2824"/>
          </w:tcPr>
          <w:p>
            <w:pPr>
              <w:spacing w:after="40" w:line="240" w:lineRule="auto"/>
              <w:jc w:val="left"/>
            </w:pPr>
            <w:r/>
            <w:r>
              <w:rPr>
                <w:rFonts w:ascii="Times New Roman" w:hAnsi="Times New Roman"/>
                <w:sz w:val="19"/>
              </w:rPr>
              <w:t>Class balance</w:t>
            </w:r>
          </w:p>
        </w:tc>
        <w:tc>
          <w:tcPr>
            <w:tcW w:type="dxa" w:w="6082"/>
          </w:tcPr>
          <w:p>
            <w:pPr>
              <w:spacing w:after="40" w:line="240" w:lineRule="auto"/>
              <w:jc w:val="center"/>
            </w:pPr>
            <w:r/>
            <w:r>
              <w:rPr>
                <w:rFonts w:ascii="Times New Roman" w:hAnsi="Times New Roman"/>
                <w:sz w:val="19"/>
              </w:rPr>
              <w:t>52.64 per cent of stock-days closed higher than the previous day</w:t>
            </w:r>
          </w:p>
        </w:tc>
      </w:tr>
    </w:tbl>
    <w:p>
      <w:pPr>
        <w:keepNext w:val="0"/>
        <w:spacing w:line="276" w:lineRule="auto" w:after="80"/>
        <w:jc w:val="both"/>
      </w:pPr>
    </w:p>
    <w:p>
      <w:pPr>
        <w:keepNext/>
        <w:spacing w:line="240" w:lineRule="auto" w:after="120"/>
        <w:jc w:val="left"/>
      </w:pPr>
      <w:r>
        <w:rPr>
          <w:rFonts w:ascii="Times New Roman" w:hAnsi="Times New Roman"/>
          <w:b/>
          <w:i/>
          <w:sz w:val="24"/>
        </w:rPr>
        <w:t>4.1.2 Data Cleaning</w:t>
      </w:r>
    </w:p>
    <w:p>
      <w:pPr>
        <w:keepNext w:val="0"/>
        <w:spacing w:line="276" w:lineRule="auto" w:after="120"/>
        <w:jc w:val="both"/>
      </w:pPr>
      <w:r>
        <w:rPr>
          <w:rFonts w:ascii="Times New Roman" w:hAnsi="Times New Roman"/>
          <w:b w:val="0"/>
          <w:i w:val="0"/>
          <w:sz w:val="24"/>
        </w:rPr>
        <w:t>The raw panel contains three defects, each of which would corrupt the learned model if left in place. They were found by checking an invariant that must hold for any well-formed price series: the day's close must lie between the day's low and high.</w:t>
      </w:r>
    </w:p>
    <w:p>
      <w:pPr>
        <w:keepNext/>
        <w:spacing w:line="240" w:lineRule="auto" w:after="200"/>
        <w:jc w:val="center"/>
      </w:pPr>
      <w:r>
        <w:rPr>
          <w:rFonts w:ascii="Times New Roman" w:hAnsi="Times New Roman"/>
          <w:b w:val="0"/>
          <w:i w:val="0"/>
          <w:sz w:val="20"/>
        </w:rPr>
        <w:t>Table 4.2  Defects found in the raw panel and their repair</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3364"/>
        <w:gridCol w:w="1385"/>
        <w:gridCol w:w="4156"/>
      </w:tblGrid>
      <w:tr>
        <w:trPr>
          <w:cantSplit/>
          <w:tblHeader/>
        </w:trPr>
        <w:tc>
          <w:tcPr>
            <w:tcW w:type="dxa" w:w="3365"/>
            <w:shd w:val="clear" w:color="auto" w:fill="D9E2F3"/>
          </w:tcPr>
          <w:p>
            <w:pPr>
              <w:spacing w:after="40" w:line="240" w:lineRule="auto"/>
              <w:jc w:val="center"/>
            </w:pPr>
            <w:r/>
            <w:r>
              <w:rPr>
                <w:rFonts w:ascii="Times New Roman" w:hAnsi="Times New Roman"/>
                <w:b/>
                <w:sz w:val="19"/>
              </w:rPr>
              <w:t>Defect</w:t>
            </w:r>
          </w:p>
        </w:tc>
        <w:tc>
          <w:tcPr>
            <w:tcW w:type="dxa" w:w="1385"/>
            <w:shd w:val="clear" w:color="auto" w:fill="D9E2F3"/>
          </w:tcPr>
          <w:p>
            <w:pPr>
              <w:spacing w:after="40" w:line="240" w:lineRule="auto"/>
              <w:jc w:val="center"/>
            </w:pPr>
            <w:r/>
            <w:r>
              <w:rPr>
                <w:rFonts w:ascii="Times New Roman" w:hAnsi="Times New Roman"/>
                <w:b/>
                <w:sz w:val="19"/>
              </w:rPr>
              <w:t>Rows affected</w:t>
            </w:r>
          </w:p>
        </w:tc>
        <w:tc>
          <w:tcPr>
            <w:tcW w:type="dxa" w:w="4156"/>
            <w:shd w:val="clear" w:color="auto" w:fill="D9E2F3"/>
          </w:tcPr>
          <w:p>
            <w:pPr>
              <w:spacing w:after="40" w:line="240" w:lineRule="auto"/>
              <w:jc w:val="center"/>
            </w:pPr>
            <w:r/>
            <w:r>
              <w:rPr>
                <w:rFonts w:ascii="Times New Roman" w:hAnsi="Times New Roman"/>
                <w:b/>
                <w:sz w:val="19"/>
              </w:rPr>
              <w:t>Repair</w:t>
            </w:r>
          </w:p>
        </w:tc>
      </w:tr>
      <w:tr>
        <w:trPr>
          <w:cantSplit/>
        </w:trPr>
        <w:tc>
          <w:tcPr>
            <w:tcW w:type="dxa" w:w="3365"/>
          </w:tcPr>
          <w:p>
            <w:pPr>
              <w:spacing w:after="40" w:line="240" w:lineRule="auto"/>
              <w:jc w:val="left"/>
            </w:pPr>
            <w:r/>
            <w:r>
              <w:rPr>
                <w:rFonts w:ascii="Times New Roman" w:hAnsi="Times New Roman"/>
                <w:sz w:val="19"/>
              </w:rPr>
              <w:t>Adjusted close missing before a stock was listed</w:t>
            </w:r>
          </w:p>
        </w:tc>
        <w:tc>
          <w:tcPr>
            <w:tcW w:type="dxa" w:w="1385"/>
          </w:tcPr>
          <w:p>
            <w:pPr>
              <w:spacing w:after="40" w:line="240" w:lineRule="auto"/>
              <w:jc w:val="center"/>
            </w:pPr>
            <w:r/>
            <w:r>
              <w:rPr>
                <w:rFonts w:ascii="Times New Roman" w:hAnsi="Times New Roman"/>
                <w:sz w:val="19"/>
              </w:rPr>
              <w:t>3,450</w:t>
            </w:r>
          </w:p>
        </w:tc>
        <w:tc>
          <w:tcPr>
            <w:tcW w:type="dxa" w:w="4156"/>
          </w:tcPr>
          <w:p>
            <w:pPr>
              <w:spacing w:after="40" w:line="240" w:lineRule="auto"/>
              <w:jc w:val="center"/>
            </w:pPr>
            <w:r/>
            <w:r>
              <w:rPr>
                <w:rFonts w:ascii="Times New Roman" w:hAnsi="Times New Roman"/>
                <w:sz w:val="19"/>
              </w:rPr>
              <w:t>Rows dropped</w:t>
            </w:r>
          </w:p>
        </w:tc>
      </w:tr>
      <w:tr>
        <w:trPr>
          <w:cantSplit/>
        </w:trPr>
        <w:tc>
          <w:tcPr>
            <w:tcW w:type="dxa" w:w="3365"/>
          </w:tcPr>
          <w:p>
            <w:pPr>
              <w:spacing w:after="40" w:line="240" w:lineRule="auto"/>
              <w:jc w:val="left"/>
            </w:pPr>
            <w:r/>
            <w:r>
              <w:rPr>
                <w:rFonts w:ascii="Times New Roman" w:hAnsi="Times New Roman"/>
                <w:sz w:val="19"/>
              </w:rPr>
              <w:t>For twelve tickers, open, high and low were already adjusted for dividends while close was not, so high and low did not bracket the close</w:t>
            </w:r>
          </w:p>
        </w:tc>
        <w:tc>
          <w:tcPr>
            <w:tcW w:type="dxa" w:w="1385"/>
          </w:tcPr>
          <w:p>
            <w:pPr>
              <w:spacing w:after="40" w:line="240" w:lineRule="auto"/>
              <w:jc w:val="center"/>
            </w:pPr>
            <w:r/>
            <w:r>
              <w:rPr>
                <w:rFonts w:ascii="Times New Roman" w:hAnsi="Times New Roman"/>
                <w:sz w:val="19"/>
              </w:rPr>
              <w:t>About 27,000</w:t>
            </w:r>
          </w:p>
        </w:tc>
        <w:tc>
          <w:tcPr>
            <w:tcW w:type="dxa" w:w="4156"/>
          </w:tcPr>
          <w:p>
            <w:pPr>
              <w:spacing w:after="40" w:line="240" w:lineRule="auto"/>
              <w:jc w:val="center"/>
            </w:pPr>
            <w:r/>
            <w:r>
              <w:rPr>
                <w:rFonts w:ascii="Times New Roman" w:hAnsi="Times New Roman"/>
                <w:sz w:val="19"/>
              </w:rPr>
              <w:t>The convention is detected per ticker by testing which basis puts the close inside the day's range more often, and all four prices are put on one adjusted basis</w:t>
            </w:r>
          </w:p>
        </w:tc>
      </w:tr>
      <w:tr>
        <w:trPr>
          <w:cantSplit/>
        </w:trPr>
        <w:tc>
          <w:tcPr>
            <w:tcW w:type="dxa" w:w="3365"/>
          </w:tcPr>
          <w:p>
            <w:pPr>
              <w:spacing w:after="40" w:line="240" w:lineRule="auto"/>
              <w:jc w:val="left"/>
            </w:pPr>
            <w:r/>
            <w:r>
              <w:rPr>
                <w:rFonts w:ascii="Times New Roman" w:hAnsi="Times New Roman"/>
                <w:sz w:val="19"/>
              </w:rPr>
              <w:t>GOOG before 27 March 2014 is a different, unadjusted share-class series, producing a single return of about minus 300 per cent</w:t>
            </w:r>
          </w:p>
        </w:tc>
        <w:tc>
          <w:tcPr>
            <w:tcW w:type="dxa" w:w="1385"/>
          </w:tcPr>
          <w:p>
            <w:pPr>
              <w:spacing w:after="40" w:line="240" w:lineRule="auto"/>
              <w:jc w:val="center"/>
            </w:pPr>
            <w:r/>
            <w:r>
              <w:rPr>
                <w:rFonts w:ascii="Times New Roman" w:hAnsi="Times New Roman"/>
                <w:sz w:val="19"/>
              </w:rPr>
              <w:t>470</w:t>
            </w:r>
          </w:p>
        </w:tc>
        <w:tc>
          <w:tcPr>
            <w:tcW w:type="dxa" w:w="4156"/>
          </w:tcPr>
          <w:p>
            <w:pPr>
              <w:spacing w:after="40" w:line="240" w:lineRule="auto"/>
              <w:jc w:val="center"/>
            </w:pPr>
            <w:r/>
            <w:r>
              <w:rPr>
                <w:rFonts w:ascii="Times New Roman" w:hAnsi="Times New Roman"/>
                <w:sz w:val="19"/>
              </w:rPr>
              <w:t>Rows dropped</w:t>
            </w:r>
          </w:p>
        </w:tc>
      </w:tr>
    </w:tbl>
    <w:p>
      <w:pPr>
        <w:keepNext w:val="0"/>
        <w:spacing w:line="276" w:lineRule="auto" w:after="80"/>
        <w:jc w:val="both"/>
      </w:pPr>
    </w:p>
    <w:p>
      <w:pPr>
        <w:keepNext w:val="0"/>
        <w:spacing w:line="276" w:lineRule="auto" w:after="120"/>
        <w:jc w:val="both"/>
      </w:pPr>
      <w:r>
        <w:rPr>
          <w:rFonts w:ascii="Times New Roman" w:hAnsi="Times New Roman"/>
          <w:b w:val="0"/>
          <w:i w:val="0"/>
          <w:sz w:val="24"/>
        </w:rPr>
        <w:t>Genuine extreme moves are retained. The oil-price collapse of 9 March 2020, in which APA fell 54 per cent in one session, is real and stays in the data.</w:t>
      </w:r>
    </w:p>
    <w:p>
      <w:pPr>
        <w:keepNext/>
        <w:spacing w:line="240" w:lineRule="auto" w:after="120"/>
        <w:jc w:val="left"/>
      </w:pPr>
      <w:r>
        <w:rPr>
          <w:rFonts w:ascii="Times New Roman" w:hAnsi="Times New Roman"/>
          <w:b/>
          <w:i/>
          <w:sz w:val="24"/>
        </w:rPr>
        <w:t>4.1.3 Feature Engineering</w:t>
      </w:r>
    </w:p>
    <w:p>
      <w:pPr>
        <w:keepNext w:val="0"/>
        <w:spacing w:line="276" w:lineRule="auto" w:after="120"/>
        <w:jc w:val="both"/>
      </w:pPr>
      <w:r>
        <w:rPr>
          <w:rFonts w:ascii="Times New Roman" w:hAnsi="Times New Roman"/>
          <w:b w:val="0"/>
          <w:i w:val="0"/>
          <w:sz w:val="24"/>
        </w:rPr>
        <w:t>Thirty-two features are computed for each stock-day, grouped into seven families. The grouping is not cosmetic: explanations are reported by family as well as by individual feature, because a family share is more stable and more interpretable than a ranking of 32 correlated indicators.</w:t>
      </w:r>
    </w:p>
    <w:p>
      <w:pPr>
        <w:keepNext/>
        <w:spacing w:line="240" w:lineRule="auto" w:after="200"/>
        <w:jc w:val="center"/>
      </w:pPr>
      <w:r>
        <w:rPr>
          <w:rFonts w:ascii="Times New Roman" w:hAnsi="Times New Roman"/>
          <w:b w:val="0"/>
          <w:i w:val="0"/>
          <w:sz w:val="20"/>
        </w:rPr>
        <w:t>Table 4.3  The 32 features, by family</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2389"/>
        <w:gridCol w:w="868"/>
        <w:gridCol w:w="5647"/>
      </w:tblGrid>
      <w:tr>
        <w:trPr>
          <w:cantSplit/>
          <w:tblHeader/>
        </w:trPr>
        <w:tc>
          <w:tcPr>
            <w:tcW w:type="dxa" w:w="2390"/>
            <w:shd w:val="clear" w:color="auto" w:fill="D9E2F3"/>
          </w:tcPr>
          <w:p>
            <w:pPr>
              <w:spacing w:after="40" w:line="240" w:lineRule="auto"/>
              <w:jc w:val="center"/>
            </w:pPr>
            <w:r/>
            <w:r>
              <w:rPr>
                <w:rFonts w:ascii="Times New Roman" w:hAnsi="Times New Roman"/>
                <w:b/>
                <w:sz w:val="19"/>
              </w:rPr>
              <w:t>Family</w:t>
            </w:r>
          </w:p>
        </w:tc>
        <w:tc>
          <w:tcPr>
            <w:tcW w:type="dxa" w:w="869"/>
            <w:shd w:val="clear" w:color="auto" w:fill="D9E2F3"/>
          </w:tcPr>
          <w:p>
            <w:pPr>
              <w:spacing w:after="40" w:line="240" w:lineRule="auto"/>
              <w:jc w:val="center"/>
            </w:pPr>
            <w:r/>
            <w:r>
              <w:rPr>
                <w:rFonts w:ascii="Times New Roman" w:hAnsi="Times New Roman"/>
                <w:b/>
                <w:sz w:val="19"/>
              </w:rPr>
              <w:t>Count</w:t>
            </w:r>
          </w:p>
        </w:tc>
        <w:tc>
          <w:tcPr>
            <w:tcW w:type="dxa" w:w="5648"/>
            <w:shd w:val="clear" w:color="auto" w:fill="D9E2F3"/>
          </w:tcPr>
          <w:p>
            <w:pPr>
              <w:spacing w:after="40" w:line="240" w:lineRule="auto"/>
              <w:jc w:val="center"/>
            </w:pPr>
            <w:r/>
            <w:r>
              <w:rPr>
                <w:rFonts w:ascii="Times New Roman" w:hAnsi="Times New Roman"/>
                <w:b/>
                <w:sz w:val="19"/>
              </w:rPr>
              <w:t>Features</w:t>
            </w:r>
          </w:p>
        </w:tc>
      </w:tr>
      <w:tr>
        <w:trPr>
          <w:cantSplit/>
        </w:trPr>
        <w:tc>
          <w:tcPr>
            <w:tcW w:type="dxa" w:w="2390"/>
          </w:tcPr>
          <w:p>
            <w:pPr>
              <w:spacing w:after="40" w:line="240" w:lineRule="auto"/>
              <w:jc w:val="left"/>
            </w:pPr>
            <w:r/>
            <w:r>
              <w:rPr>
                <w:rFonts w:ascii="Times New Roman" w:hAnsi="Times New Roman"/>
                <w:sz w:val="19"/>
              </w:rPr>
              <w:t>Past returns</w:t>
            </w:r>
          </w:p>
        </w:tc>
        <w:tc>
          <w:tcPr>
            <w:tcW w:type="dxa" w:w="869"/>
          </w:tcPr>
          <w:p>
            <w:pPr>
              <w:spacing w:after="40" w:line="240" w:lineRule="auto"/>
              <w:jc w:val="center"/>
            </w:pPr>
            <w:r/>
            <w:r>
              <w:rPr>
                <w:rFonts w:ascii="Times New Roman" w:hAnsi="Times New Roman"/>
                <w:sz w:val="19"/>
              </w:rPr>
              <w:t>6</w:t>
            </w:r>
          </w:p>
        </w:tc>
        <w:tc>
          <w:tcPr>
            <w:tcW w:type="dxa" w:w="5648"/>
          </w:tcPr>
          <w:p>
            <w:pPr>
              <w:spacing w:after="40" w:line="240" w:lineRule="auto"/>
              <w:jc w:val="center"/>
            </w:pPr>
            <w:r/>
            <w:r>
              <w:rPr>
                <w:rFonts w:ascii="Times New Roman" w:hAnsi="Times New Roman"/>
                <w:sz w:val="19"/>
              </w:rPr>
              <w:t>Log returns over 1, 2, 5, 10, 20 and 60 trading days</w:t>
            </w:r>
          </w:p>
        </w:tc>
      </w:tr>
      <w:tr>
        <w:trPr>
          <w:cantSplit/>
        </w:trPr>
        <w:tc>
          <w:tcPr>
            <w:tcW w:type="dxa" w:w="2390"/>
          </w:tcPr>
          <w:p>
            <w:pPr>
              <w:spacing w:after="40" w:line="240" w:lineRule="auto"/>
              <w:jc w:val="left"/>
            </w:pPr>
            <w:r/>
            <w:r>
              <w:rPr>
                <w:rFonts w:ascii="Times New Roman" w:hAnsi="Times New Roman"/>
                <w:sz w:val="19"/>
              </w:rPr>
              <w:t>Trend</w:t>
            </w:r>
          </w:p>
        </w:tc>
        <w:tc>
          <w:tcPr>
            <w:tcW w:type="dxa" w:w="869"/>
          </w:tcPr>
          <w:p>
            <w:pPr>
              <w:spacing w:after="40" w:line="240" w:lineRule="auto"/>
              <w:jc w:val="center"/>
            </w:pPr>
            <w:r/>
            <w:r>
              <w:rPr>
                <w:rFonts w:ascii="Times New Roman" w:hAnsi="Times New Roman"/>
                <w:sz w:val="19"/>
              </w:rPr>
              <w:t>5</w:t>
            </w:r>
          </w:p>
        </w:tc>
        <w:tc>
          <w:tcPr>
            <w:tcW w:type="dxa" w:w="5648"/>
          </w:tcPr>
          <w:p>
            <w:pPr>
              <w:spacing w:after="40" w:line="240" w:lineRule="auto"/>
              <w:jc w:val="center"/>
            </w:pPr>
            <w:r/>
            <w:r>
              <w:rPr>
                <w:rFonts w:ascii="Times New Roman" w:hAnsi="Times New Roman"/>
                <w:sz w:val="19"/>
              </w:rPr>
              <w:t>Distance from the 5, 20, 50 and 200-day simple moving averages; MACD histogram</w:t>
            </w:r>
          </w:p>
        </w:tc>
      </w:tr>
      <w:tr>
        <w:trPr>
          <w:cantSplit/>
        </w:trPr>
        <w:tc>
          <w:tcPr>
            <w:tcW w:type="dxa" w:w="2390"/>
          </w:tcPr>
          <w:p>
            <w:pPr>
              <w:spacing w:after="40" w:line="240" w:lineRule="auto"/>
              <w:jc w:val="left"/>
            </w:pPr>
            <w:r/>
            <w:r>
              <w:rPr>
                <w:rFonts w:ascii="Times New Roman" w:hAnsi="Times New Roman"/>
                <w:sz w:val="19"/>
              </w:rPr>
              <w:t>Oscillators</w:t>
            </w:r>
          </w:p>
        </w:tc>
        <w:tc>
          <w:tcPr>
            <w:tcW w:type="dxa" w:w="869"/>
          </w:tcPr>
          <w:p>
            <w:pPr>
              <w:spacing w:after="40" w:line="240" w:lineRule="auto"/>
              <w:jc w:val="center"/>
            </w:pPr>
            <w:r/>
            <w:r>
              <w:rPr>
                <w:rFonts w:ascii="Times New Roman" w:hAnsi="Times New Roman"/>
                <w:sz w:val="19"/>
              </w:rPr>
              <w:t>3</w:t>
            </w:r>
          </w:p>
        </w:tc>
        <w:tc>
          <w:tcPr>
            <w:tcW w:type="dxa" w:w="5648"/>
          </w:tcPr>
          <w:p>
            <w:pPr>
              <w:spacing w:after="40" w:line="240" w:lineRule="auto"/>
              <w:jc w:val="center"/>
            </w:pPr>
            <w:r/>
            <w:r>
              <w:rPr>
                <w:rFonts w:ascii="Times New Roman" w:hAnsi="Times New Roman"/>
                <w:sz w:val="19"/>
              </w:rPr>
              <w:t>RSI(14), stochastic %K(14), Bollinger %B(20)</w:t>
            </w:r>
          </w:p>
        </w:tc>
      </w:tr>
      <w:tr>
        <w:trPr>
          <w:cantSplit/>
        </w:trPr>
        <w:tc>
          <w:tcPr>
            <w:tcW w:type="dxa" w:w="2390"/>
          </w:tcPr>
          <w:p>
            <w:pPr>
              <w:spacing w:after="40" w:line="240" w:lineRule="auto"/>
              <w:jc w:val="left"/>
            </w:pPr>
            <w:r/>
            <w:r>
              <w:rPr>
                <w:rFonts w:ascii="Times New Roman" w:hAnsi="Times New Roman"/>
                <w:sz w:val="19"/>
              </w:rPr>
              <w:t>Volatility</w:t>
            </w:r>
          </w:p>
        </w:tc>
        <w:tc>
          <w:tcPr>
            <w:tcW w:type="dxa" w:w="869"/>
          </w:tcPr>
          <w:p>
            <w:pPr>
              <w:spacing w:after="40" w:line="240" w:lineRule="auto"/>
              <w:jc w:val="center"/>
            </w:pPr>
            <w:r/>
            <w:r>
              <w:rPr>
                <w:rFonts w:ascii="Times New Roman" w:hAnsi="Times New Roman"/>
                <w:sz w:val="19"/>
              </w:rPr>
              <w:t>6</w:t>
            </w:r>
          </w:p>
        </w:tc>
        <w:tc>
          <w:tcPr>
            <w:tcW w:type="dxa" w:w="5648"/>
          </w:tcPr>
          <w:p>
            <w:pPr>
              <w:spacing w:after="40" w:line="240" w:lineRule="auto"/>
              <w:jc w:val="center"/>
            </w:pPr>
            <w:r/>
            <w:r>
              <w:rPr>
                <w:rFonts w:ascii="Times New Roman" w:hAnsi="Times New Roman"/>
                <w:sz w:val="19"/>
              </w:rPr>
              <w:t>Realised volatility over 5, 20 and 60 days; ATR(14); the day's log range; Bollinger band width</w:t>
            </w:r>
          </w:p>
        </w:tc>
      </w:tr>
      <w:tr>
        <w:trPr>
          <w:cantSplit/>
        </w:trPr>
        <w:tc>
          <w:tcPr>
            <w:tcW w:type="dxa" w:w="2390"/>
          </w:tcPr>
          <w:p>
            <w:pPr>
              <w:spacing w:after="40" w:line="240" w:lineRule="auto"/>
              <w:jc w:val="left"/>
            </w:pPr>
            <w:r/>
            <w:r>
              <w:rPr>
                <w:rFonts w:ascii="Times New Roman" w:hAnsi="Times New Roman"/>
                <w:sz w:val="19"/>
              </w:rPr>
              <w:t>Volume</w:t>
            </w:r>
          </w:p>
        </w:tc>
        <w:tc>
          <w:tcPr>
            <w:tcW w:type="dxa" w:w="869"/>
          </w:tcPr>
          <w:p>
            <w:pPr>
              <w:spacing w:after="40" w:line="240" w:lineRule="auto"/>
              <w:jc w:val="center"/>
            </w:pPr>
            <w:r/>
            <w:r>
              <w:rPr>
                <w:rFonts w:ascii="Times New Roman" w:hAnsi="Times New Roman"/>
                <w:sz w:val="19"/>
              </w:rPr>
              <w:t>3</w:t>
            </w:r>
          </w:p>
        </w:tc>
        <w:tc>
          <w:tcPr>
            <w:tcW w:type="dxa" w:w="5648"/>
          </w:tcPr>
          <w:p>
            <w:pPr>
              <w:spacing w:after="40" w:line="240" w:lineRule="auto"/>
              <w:jc w:val="center"/>
            </w:pPr>
            <w:r/>
            <w:r>
              <w:rPr>
                <w:rFonts w:ascii="Times New Roman" w:hAnsi="Times New Roman"/>
                <w:sz w:val="19"/>
              </w:rPr>
              <w:t>Volume against its 20-day average; 5 against 20-day volume trend; log dollar volume</w:t>
            </w:r>
          </w:p>
        </w:tc>
      </w:tr>
      <w:tr>
        <w:trPr>
          <w:cantSplit/>
        </w:trPr>
        <w:tc>
          <w:tcPr>
            <w:tcW w:type="dxa" w:w="2390"/>
          </w:tcPr>
          <w:p>
            <w:pPr>
              <w:spacing w:after="40" w:line="240" w:lineRule="auto"/>
              <w:jc w:val="left"/>
            </w:pPr>
            <w:r/>
            <w:r>
              <w:rPr>
                <w:rFonts w:ascii="Times New Roman" w:hAnsi="Times New Roman"/>
                <w:sz w:val="19"/>
              </w:rPr>
              <w:t>Candle</w:t>
            </w:r>
          </w:p>
        </w:tc>
        <w:tc>
          <w:tcPr>
            <w:tcW w:type="dxa" w:w="869"/>
          </w:tcPr>
          <w:p>
            <w:pPr>
              <w:spacing w:after="40" w:line="240" w:lineRule="auto"/>
              <w:jc w:val="center"/>
            </w:pPr>
            <w:r/>
            <w:r>
              <w:rPr>
                <w:rFonts w:ascii="Times New Roman" w:hAnsi="Times New Roman"/>
                <w:sz w:val="19"/>
              </w:rPr>
              <w:t>3</w:t>
            </w:r>
          </w:p>
        </w:tc>
        <w:tc>
          <w:tcPr>
            <w:tcW w:type="dxa" w:w="5648"/>
          </w:tcPr>
          <w:p>
            <w:pPr>
              <w:spacing w:after="40" w:line="240" w:lineRule="auto"/>
              <w:jc w:val="center"/>
            </w:pPr>
            <w:r/>
            <w:r>
              <w:rPr>
                <w:rFonts w:ascii="Times New Roman" w:hAnsi="Times New Roman"/>
                <w:sz w:val="19"/>
              </w:rPr>
              <w:t>Overnight gap, open-to-close body, close position within the day's range</w:t>
            </w:r>
          </w:p>
        </w:tc>
      </w:tr>
      <w:tr>
        <w:trPr>
          <w:cantSplit/>
        </w:trPr>
        <w:tc>
          <w:tcPr>
            <w:tcW w:type="dxa" w:w="2390"/>
          </w:tcPr>
          <w:p>
            <w:pPr>
              <w:spacing w:after="40" w:line="240" w:lineRule="auto"/>
              <w:jc w:val="left"/>
            </w:pPr>
            <w:r/>
            <w:r>
              <w:rPr>
                <w:rFonts w:ascii="Times New Roman" w:hAnsi="Times New Roman"/>
                <w:sz w:val="19"/>
              </w:rPr>
              <w:t>Market and sector</w:t>
            </w:r>
          </w:p>
        </w:tc>
        <w:tc>
          <w:tcPr>
            <w:tcW w:type="dxa" w:w="869"/>
          </w:tcPr>
          <w:p>
            <w:pPr>
              <w:spacing w:after="40" w:line="240" w:lineRule="auto"/>
              <w:jc w:val="center"/>
            </w:pPr>
            <w:r/>
            <w:r>
              <w:rPr>
                <w:rFonts w:ascii="Times New Roman" w:hAnsi="Times New Roman"/>
                <w:sz w:val="19"/>
              </w:rPr>
              <w:t>6</w:t>
            </w:r>
          </w:p>
        </w:tc>
        <w:tc>
          <w:tcPr>
            <w:tcW w:type="dxa" w:w="5648"/>
          </w:tcPr>
          <w:p>
            <w:pPr>
              <w:spacing w:after="40" w:line="240" w:lineRule="auto"/>
              <w:jc w:val="center"/>
            </w:pPr>
            <w:r/>
            <w:r>
              <w:rPr>
                <w:rFonts w:ascii="Times New Roman" w:hAnsi="Times New Roman"/>
                <w:sz w:val="19"/>
              </w:rPr>
              <w:t>Equal-weighted market return over 1 and 5 days, 20-day market volatility, sector 5-day return, 20-day relative strength, 60-day beta</w:t>
            </w:r>
          </w:p>
        </w:tc>
      </w:tr>
    </w:tbl>
    <w:p>
      <w:pPr>
        <w:keepNext w:val="0"/>
        <w:spacing w:line="276" w:lineRule="auto" w:after="80"/>
        <w:jc w:val="both"/>
      </w:pPr>
    </w:p>
    <w:p>
      <w:pPr>
        <w:keepNext w:val="0"/>
        <w:spacing w:line="276" w:lineRule="auto" w:after="120"/>
        <w:jc w:val="both"/>
      </w:pPr>
      <w:r>
        <w:rPr>
          <w:rFonts w:ascii="Times New Roman" w:hAnsi="Times New Roman"/>
          <w:b w:val="0"/>
          <w:i w:val="0"/>
          <w:sz w:val="24"/>
        </w:rPr>
        <w:t>Every feature obeys one rule: the value for stock i on day t uses only prices and volumes up to and including the close of day t. Features are computed on wide tables indexed by date and ticker, where every backward shift is explicit, and are then stacked into one row per stock-day. A row survives only if all 32 features and all targets are present; no missing value is imputed, because an invented input would undermine the premise of a study about whether explanations can be trusted.</w:t>
      </w:r>
    </w:p>
    <w:p>
      <w:pPr>
        <w:keepNext w:val="0"/>
        <w:spacing w:line="276" w:lineRule="auto" w:after="120"/>
        <w:jc w:val="both"/>
      </w:pPr>
      <w:r>
        <w:rPr>
          <w:rFonts w:ascii="Times New Roman" w:hAnsi="Times New Roman"/>
          <w:b w:val="0"/>
          <w:i w:val="0"/>
          <w:sz w:val="24"/>
        </w:rPr>
        <w:t>The prediction target is the next trading day's log return, with the next day's closing price and an up-or-down indicator carried alongside for the secondary price-space and directional analyses.</w:t>
      </w:r>
    </w:p>
    <w:p>
      <w:pPr>
        <w:keepNext/>
        <w:spacing w:line="240" w:lineRule="auto" w:after="160"/>
        <w:jc w:val="left"/>
      </w:pPr>
      <w:r>
        <w:rPr>
          <w:rFonts w:ascii="Times New Roman" w:hAnsi="Times New Roman"/>
          <w:b/>
          <w:i w:val="0"/>
          <w:sz w:val="26"/>
        </w:rPr>
        <w:t>4.2 Design</w:t>
      </w:r>
    </w:p>
    <w:p>
      <w:pPr>
        <w:keepNext/>
        <w:spacing w:line="240" w:lineRule="auto" w:after="120"/>
        <w:jc w:val="left"/>
      </w:pPr>
      <w:r>
        <w:rPr>
          <w:rFonts w:ascii="Times New Roman" w:hAnsi="Times New Roman"/>
          <w:b/>
          <w:i/>
          <w:sz w:val="24"/>
        </w:rPr>
        <w:t>4.2.1 Data-Flow Diagram</w:t>
      </w:r>
    </w:p>
    <w:p>
      <w:pPr>
        <w:keepNext w:val="0"/>
        <w:spacing w:line="276" w:lineRule="auto" w:after="120"/>
        <w:jc w:val="both"/>
      </w:pPr>
      <w:r>
        <w:rPr>
          <w:rFonts w:ascii="Times New Roman" w:hAnsi="Times New Roman"/>
          <w:b w:val="0"/>
          <w:i w:val="0"/>
          <w:sz w:val="24"/>
        </w:rPr>
        <w:t>The context diagram shows the system as a single process between the market data vendor, which supplies prices, and the analyst, who supplies a stock and a date and receives a forecast together with its explanation and audit.</w:t>
      </w:r>
    </w:p>
    <w:p>
      <w:pPr>
        <w:keepNext/>
        <w:spacing w:after="80"/>
        <w:jc w:val="center"/>
      </w:pPr>
      <w:r>
        <w:drawing>
          <wp:inline xmlns:a="http://schemas.openxmlformats.org/drawingml/2006/main" xmlns:pic="http://schemas.openxmlformats.org/drawingml/2006/picture">
            <wp:extent cx="5256000" cy="2066038"/>
            <wp:docPr id="3" name="Picture 3"/>
            <wp:cNvGraphicFramePr>
              <a:graphicFrameLocks noChangeAspect="1"/>
            </wp:cNvGraphicFramePr>
            <a:graphic>
              <a:graphicData uri="http://schemas.openxmlformats.org/drawingml/2006/picture">
                <pic:pic>
                  <pic:nvPicPr>
                    <pic:cNvPr id="0" name="dfd_level0.png"/>
                    <pic:cNvPicPr/>
                  </pic:nvPicPr>
                  <pic:blipFill>
                    <a:blip r:embed="rId13"/>
                    <a:stretch>
                      <a:fillRect/>
                    </a:stretch>
                  </pic:blipFill>
                  <pic:spPr>
                    <a:xfrm>
                      <a:off x="0" y="0"/>
                      <a:ext cx="5256000" cy="2066038"/>
                    </a:xfrm>
                    <a:prstGeom prst="rect"/>
                  </pic:spPr>
                </pic:pic>
              </a:graphicData>
            </a:graphic>
          </wp:inline>
        </w:drawing>
      </w:r>
    </w:p>
    <w:p>
      <w:pPr>
        <w:keepNext w:val="0"/>
        <w:spacing w:line="240" w:lineRule="auto" w:after="200"/>
        <w:jc w:val="center"/>
      </w:pPr>
      <w:r>
        <w:rPr>
          <w:rFonts w:ascii="Times New Roman" w:hAnsi="Times New Roman"/>
          <w:b w:val="0"/>
          <w:i w:val="0"/>
          <w:sz w:val="20"/>
        </w:rPr>
        <w:t>Figure 4.2  Level 0 context data-flow diagram</w:t>
      </w:r>
    </w:p>
    <w:p>
      <w:pPr>
        <w:keepNext w:val="0"/>
        <w:spacing w:line="276" w:lineRule="auto" w:after="120"/>
        <w:jc w:val="both"/>
      </w:pPr>
      <w:r>
        <w:rPr>
          <w:rFonts w:ascii="Times New Roman" w:hAnsi="Times New Roman"/>
          <w:b w:val="0"/>
          <w:i w:val="0"/>
          <w:sz w:val="24"/>
        </w:rPr>
        <w:t>The level 1 diagram decomposes that process into the seven sub-processes that correspond to the pipeline stages, together with the five data stores they read and write. The lower path, processes 5.0 to 7.0, is the explanation and serving path; the upper path, 1.0 to 4.0, is the forecasting path. Process 7.0 reads from both, which is what allows a single forecast and its audit to be served together.</w:t>
      </w:r>
    </w:p>
    <w:p>
      <w:pPr>
        <w:keepNext/>
        <w:spacing w:after="80"/>
        <w:jc w:val="center"/>
      </w:pPr>
      <w:r>
        <w:drawing>
          <wp:inline xmlns:a="http://schemas.openxmlformats.org/drawingml/2006/main" xmlns:pic="http://schemas.openxmlformats.org/drawingml/2006/picture">
            <wp:extent cx="5544000" cy="2573433"/>
            <wp:docPr id="4" name="Picture 4"/>
            <wp:cNvGraphicFramePr>
              <a:graphicFrameLocks noChangeAspect="1"/>
            </wp:cNvGraphicFramePr>
            <a:graphic>
              <a:graphicData uri="http://schemas.openxmlformats.org/drawingml/2006/picture">
                <pic:pic>
                  <pic:nvPicPr>
                    <pic:cNvPr id="0" name="dfd_level1.png"/>
                    <pic:cNvPicPr/>
                  </pic:nvPicPr>
                  <pic:blipFill>
                    <a:blip r:embed="rId14"/>
                    <a:stretch>
                      <a:fillRect/>
                    </a:stretch>
                  </pic:blipFill>
                  <pic:spPr>
                    <a:xfrm>
                      <a:off x="0" y="0"/>
                      <a:ext cx="5544000" cy="2573433"/>
                    </a:xfrm>
                    <a:prstGeom prst="rect"/>
                  </pic:spPr>
                </pic:pic>
              </a:graphicData>
            </a:graphic>
          </wp:inline>
        </w:drawing>
      </w:r>
    </w:p>
    <w:p>
      <w:pPr>
        <w:keepNext w:val="0"/>
        <w:spacing w:line="240" w:lineRule="auto" w:after="200"/>
        <w:jc w:val="center"/>
      </w:pPr>
      <w:r>
        <w:rPr>
          <w:rFonts w:ascii="Times New Roman" w:hAnsi="Times New Roman"/>
          <w:b w:val="0"/>
          <w:i w:val="0"/>
          <w:sz w:val="20"/>
        </w:rPr>
        <w:t>Figure 4.3  Level 1 data-flow diagram</w:t>
      </w:r>
    </w:p>
    <w:p>
      <w:pPr>
        <w:keepNext/>
        <w:spacing w:line="240" w:lineRule="auto" w:after="120"/>
        <w:jc w:val="left"/>
      </w:pPr>
      <w:r>
        <w:rPr>
          <w:rFonts w:ascii="Times New Roman" w:hAnsi="Times New Roman"/>
          <w:b/>
          <w:i/>
          <w:sz w:val="24"/>
        </w:rPr>
        <w:t>4.2.2 Use Case Diagram</w:t>
      </w:r>
    </w:p>
    <w:p>
      <w:pPr>
        <w:keepNext w:val="0"/>
        <w:spacing w:line="276" w:lineRule="auto" w:after="120"/>
        <w:jc w:val="both"/>
      </w:pPr>
      <w:r>
        <w:rPr>
          <w:rFonts w:ascii="Times New Roman" w:hAnsi="Times New Roman"/>
          <w:b w:val="0"/>
          <w:i w:val="0"/>
          <w:sz w:val="24"/>
        </w:rPr>
        <w:t>Two human actors use the system. An analyst selects a stock and a day and reads the forecast and its explanation. A researcher additionally exercises the audit functions, checking whether the explanation is faithful and whether LIME returns the same answer when re-run. The market data vendor is an external actor that supplies the prices from which the next-session forecast is built.</w:t>
      </w:r>
    </w:p>
    <w:p>
      <w:pPr>
        <w:keepNext/>
        <w:spacing w:after="80"/>
        <w:jc w:val="center"/>
      </w:pPr>
      <w:r>
        <w:drawing>
          <wp:inline xmlns:a="http://schemas.openxmlformats.org/drawingml/2006/main" xmlns:pic="http://schemas.openxmlformats.org/drawingml/2006/picture">
            <wp:extent cx="4824000" cy="3203864"/>
            <wp:docPr id="5" name="Picture 5"/>
            <wp:cNvGraphicFramePr>
              <a:graphicFrameLocks noChangeAspect="1"/>
            </wp:cNvGraphicFramePr>
            <a:graphic>
              <a:graphicData uri="http://schemas.openxmlformats.org/drawingml/2006/picture">
                <pic:pic>
                  <pic:nvPicPr>
                    <pic:cNvPr id="0" name="use_case.png"/>
                    <pic:cNvPicPr/>
                  </pic:nvPicPr>
                  <pic:blipFill>
                    <a:blip r:embed="rId15"/>
                    <a:stretch>
                      <a:fillRect/>
                    </a:stretch>
                  </pic:blipFill>
                  <pic:spPr>
                    <a:xfrm>
                      <a:off x="0" y="0"/>
                      <a:ext cx="4824000" cy="3203864"/>
                    </a:xfrm>
                    <a:prstGeom prst="rect"/>
                  </pic:spPr>
                </pic:pic>
              </a:graphicData>
            </a:graphic>
          </wp:inline>
        </w:drawing>
      </w:r>
    </w:p>
    <w:p>
      <w:pPr>
        <w:keepNext w:val="0"/>
        <w:spacing w:line="240" w:lineRule="auto" w:after="200"/>
        <w:jc w:val="center"/>
      </w:pPr>
      <w:r>
        <w:rPr>
          <w:rFonts w:ascii="Times New Roman" w:hAnsi="Times New Roman"/>
          <w:b w:val="0"/>
          <w:i w:val="0"/>
          <w:sz w:val="20"/>
        </w:rPr>
        <w:t>Figure 4.4  Use case diagram</w:t>
      </w:r>
    </w:p>
    <w:p>
      <w:pPr>
        <w:keepNext/>
        <w:spacing w:line="240" w:lineRule="auto" w:after="120"/>
        <w:jc w:val="left"/>
      </w:pPr>
      <w:r>
        <w:rPr>
          <w:rFonts w:ascii="Times New Roman" w:hAnsi="Times New Roman"/>
          <w:b/>
          <w:i/>
          <w:sz w:val="24"/>
        </w:rPr>
        <w:t>4.2.3 Class Diagram</w:t>
      </w:r>
    </w:p>
    <w:p>
      <w:pPr>
        <w:keepNext w:val="0"/>
        <w:spacing w:line="276" w:lineRule="auto" w:after="120"/>
        <w:jc w:val="both"/>
      </w:pPr>
      <w:r>
        <w:rPr>
          <w:rFonts w:ascii="Times New Roman" w:hAnsi="Times New Roman"/>
          <w:b w:val="0"/>
          <w:i w:val="0"/>
          <w:sz w:val="24"/>
        </w:rPr>
        <w:t>The system is organised as modules of functions rather than as a class hierarchy, which is the natural structure for a data pipeline; the only class defined is the HTTP request handler in the serving module. The diagram therefore shows the module structure, with each module's public functions and the modules it imports.</w:t>
      </w:r>
    </w:p>
    <w:p>
      <w:pPr>
        <w:keepNext/>
        <w:spacing w:after="80"/>
        <w:jc w:val="center"/>
      </w:pPr>
      <w:r>
        <w:drawing>
          <wp:inline xmlns:a="http://schemas.openxmlformats.org/drawingml/2006/main" xmlns:pic="http://schemas.openxmlformats.org/drawingml/2006/picture">
            <wp:extent cx="5544000" cy="3551972"/>
            <wp:docPr id="6" name="Picture 6"/>
            <wp:cNvGraphicFramePr>
              <a:graphicFrameLocks noChangeAspect="1"/>
            </wp:cNvGraphicFramePr>
            <a:graphic>
              <a:graphicData uri="http://schemas.openxmlformats.org/drawingml/2006/picture">
                <pic:pic>
                  <pic:nvPicPr>
                    <pic:cNvPr id="0" name="class_diagram.png"/>
                    <pic:cNvPicPr/>
                  </pic:nvPicPr>
                  <pic:blipFill>
                    <a:blip r:embed="rId16"/>
                    <a:stretch>
                      <a:fillRect/>
                    </a:stretch>
                  </pic:blipFill>
                  <pic:spPr>
                    <a:xfrm>
                      <a:off x="0" y="0"/>
                      <a:ext cx="5544000" cy="3551972"/>
                    </a:xfrm>
                    <a:prstGeom prst="rect"/>
                  </pic:spPr>
                </pic:pic>
              </a:graphicData>
            </a:graphic>
          </wp:inline>
        </w:drawing>
      </w:r>
    </w:p>
    <w:p>
      <w:pPr>
        <w:keepNext w:val="0"/>
        <w:spacing w:line="240" w:lineRule="auto" w:after="200"/>
        <w:jc w:val="center"/>
      </w:pPr>
      <w:r>
        <w:rPr>
          <w:rFonts w:ascii="Times New Roman" w:hAnsi="Times New Roman"/>
          <w:b w:val="0"/>
          <w:i w:val="0"/>
          <w:sz w:val="20"/>
        </w:rPr>
        <w:t>Figure 4.5  Module structure, showing public functions and import dependencies</w:t>
      </w:r>
    </w:p>
    <w:p>
      <w:pPr>
        <w:keepNext w:val="0"/>
        <w:spacing w:line="276" w:lineRule="auto" w:after="120"/>
        <w:jc w:val="both"/>
      </w:pPr>
      <w:r>
        <w:rPr>
          <w:rFonts w:ascii="Times New Roman" w:hAnsi="Times New Roman"/>
          <w:b w:val="0"/>
          <w:i w:val="0"/>
          <w:sz w:val="24"/>
        </w:rPr>
        <w:t>Two dependencies carry the design. Every module imports config, so the date ranges, the regime boundaries and the random seed exist in exactly one place. And the serving module imports the explanation functions from lime_explain rather than reimplementing them, which is what prevents the demonstration from drifting into a more flattering version of the study.</w:t>
      </w:r>
    </w:p>
    <w:p>
      <w:pPr>
        <w:keepNext/>
        <w:spacing w:line="240" w:lineRule="auto" w:after="120"/>
        <w:jc w:val="left"/>
      </w:pPr>
      <w:r>
        <w:rPr>
          <w:rFonts w:ascii="Times New Roman" w:hAnsi="Times New Roman"/>
          <w:b/>
          <w:i/>
          <w:sz w:val="24"/>
        </w:rPr>
        <w:t>4.2.4 Sequence Diagram</w:t>
      </w:r>
    </w:p>
    <w:p>
      <w:pPr>
        <w:keepNext w:val="0"/>
        <w:spacing w:line="276" w:lineRule="auto" w:after="120"/>
        <w:jc w:val="both"/>
      </w:pPr>
      <w:r>
        <w:rPr>
          <w:rFonts w:ascii="Times New Roman" w:hAnsi="Times New Roman"/>
          <w:b w:val="0"/>
          <w:i w:val="0"/>
          <w:sz w:val="24"/>
        </w:rPr>
        <w:t>The sequence below traces one request to the explanation endpoint. Nothing is read from a cached result file: the forecast, the SHAP attribution, the five LIME runs, the agreement statistics and the faithfulness probe are all computed while the request is being served, which takes about 0.7 seconds.</w:t>
      </w:r>
    </w:p>
    <w:p>
      <w:pPr>
        <w:keepNext/>
        <w:spacing w:after="80"/>
        <w:jc w:val="center"/>
      </w:pPr>
      <w:r>
        <w:drawing>
          <wp:inline xmlns:a="http://schemas.openxmlformats.org/drawingml/2006/main" xmlns:pic="http://schemas.openxmlformats.org/drawingml/2006/picture">
            <wp:extent cx="5544000" cy="3102911"/>
            <wp:docPr id="7" name="Picture 7"/>
            <wp:cNvGraphicFramePr>
              <a:graphicFrameLocks noChangeAspect="1"/>
            </wp:cNvGraphicFramePr>
            <a:graphic>
              <a:graphicData uri="http://schemas.openxmlformats.org/drawingml/2006/picture">
                <pic:pic>
                  <pic:nvPicPr>
                    <pic:cNvPr id="0" name="sequence.png"/>
                    <pic:cNvPicPr/>
                  </pic:nvPicPr>
                  <pic:blipFill>
                    <a:blip r:embed="rId17"/>
                    <a:stretch>
                      <a:fillRect/>
                    </a:stretch>
                  </pic:blipFill>
                  <pic:spPr>
                    <a:xfrm>
                      <a:off x="0" y="0"/>
                      <a:ext cx="5544000" cy="3102911"/>
                    </a:xfrm>
                    <a:prstGeom prst="rect"/>
                  </pic:spPr>
                </pic:pic>
              </a:graphicData>
            </a:graphic>
          </wp:inline>
        </w:drawing>
      </w:r>
    </w:p>
    <w:p>
      <w:pPr>
        <w:keepNext w:val="0"/>
        <w:spacing w:line="240" w:lineRule="auto" w:after="200"/>
        <w:jc w:val="center"/>
      </w:pPr>
      <w:r>
        <w:rPr>
          <w:rFonts w:ascii="Times New Roman" w:hAnsi="Times New Roman"/>
          <w:b w:val="0"/>
          <w:i w:val="0"/>
          <w:sz w:val="20"/>
        </w:rPr>
        <w:t>Figure 4.6  Sequence diagram for a single request to the explanation endpoint</w:t>
      </w:r>
    </w:p>
    <w:p>
      <w:pPr>
        <w:keepNext/>
        <w:pageBreakBefore/>
        <w:spacing w:line="360" w:lineRule="auto" w:after="200"/>
        <w:jc w:val="center"/>
      </w:pPr>
      <w:r>
        <w:rPr>
          <w:rFonts w:ascii="Times New Roman" w:hAnsi="Times New Roman"/>
          <w:b/>
          <w:i w:val="0"/>
          <w:sz w:val="28"/>
        </w:rPr>
        <w:t>CHAPTER 5</w:t>
      </w:r>
    </w:p>
    <w:p>
      <w:pPr>
        <w:keepNext/>
        <w:spacing w:line="360" w:lineRule="auto" w:after="320"/>
        <w:jc w:val="center"/>
      </w:pPr>
      <w:r>
        <w:rPr>
          <w:rFonts w:ascii="Times New Roman" w:hAnsi="Times New Roman"/>
          <w:b/>
          <w:i w:val="0"/>
          <w:sz w:val="28"/>
        </w:rPr>
        <w:t>5. METHODOLOGY AND TESTING</w:t>
      </w:r>
    </w:p>
    <w:p>
      <w:pPr>
        <w:keepNext/>
        <w:spacing w:line="240" w:lineRule="auto" w:after="160"/>
        <w:jc w:val="left"/>
      </w:pPr>
      <w:r>
        <w:rPr>
          <w:rFonts w:ascii="Times New Roman" w:hAnsi="Times New Roman"/>
          <w:b/>
          <w:i w:val="0"/>
          <w:sz w:val="26"/>
        </w:rPr>
        <w:t>5.1 Module Description</w:t>
      </w:r>
    </w:p>
    <w:p>
      <w:pPr>
        <w:keepNext w:val="0"/>
        <w:spacing w:line="276" w:lineRule="auto" w:after="120"/>
        <w:jc w:val="both"/>
      </w:pPr>
      <w:r>
        <w:rPr>
          <w:rFonts w:ascii="Times New Roman" w:hAnsi="Times New Roman"/>
          <w:b w:val="0"/>
          <w:i w:val="0"/>
          <w:sz w:val="24"/>
        </w:rPr>
        <w:t>The system consists of thirteen Python modules. Eleven form the pipeline; two generate the documents and diagrams. Modules are listed in execution order.</w:t>
      </w:r>
    </w:p>
    <w:p>
      <w:pPr>
        <w:keepNext/>
        <w:spacing w:line="240" w:lineRule="auto" w:after="200"/>
        <w:jc w:val="center"/>
      </w:pPr>
      <w:r>
        <w:rPr>
          <w:rFonts w:ascii="Times New Roman" w:hAnsi="Times New Roman"/>
          <w:b w:val="0"/>
          <w:i w:val="0"/>
          <w:sz w:val="20"/>
        </w:rPr>
        <w:t>Table 5.1  Modules in execution order</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534"/>
        <w:gridCol w:w="1959"/>
        <w:gridCol w:w="4275"/>
        <w:gridCol w:w="2137"/>
      </w:tblGrid>
      <w:tr>
        <w:trPr>
          <w:cantSplit/>
          <w:tblHeader/>
        </w:trPr>
        <w:tc>
          <w:tcPr>
            <w:tcW w:type="dxa" w:w="534"/>
            <w:shd w:val="clear" w:color="auto" w:fill="D9E2F3"/>
          </w:tcPr>
          <w:p>
            <w:pPr>
              <w:spacing w:after="40" w:line="240" w:lineRule="auto"/>
              <w:jc w:val="center"/>
            </w:pPr>
            <w:r/>
            <w:r>
              <w:rPr>
                <w:rFonts w:ascii="Times New Roman" w:hAnsi="Times New Roman"/>
                <w:b/>
                <w:sz w:val="19"/>
              </w:rPr>
              <w:t>Step</w:t>
            </w:r>
          </w:p>
        </w:tc>
        <w:tc>
          <w:tcPr>
            <w:tcW w:type="dxa" w:w="1959"/>
            <w:shd w:val="clear" w:color="auto" w:fill="D9E2F3"/>
          </w:tcPr>
          <w:p>
            <w:pPr>
              <w:spacing w:after="40" w:line="240" w:lineRule="auto"/>
              <w:jc w:val="center"/>
            </w:pPr>
            <w:r/>
            <w:r>
              <w:rPr>
                <w:rFonts w:ascii="Times New Roman" w:hAnsi="Times New Roman"/>
                <w:b/>
                <w:sz w:val="19"/>
              </w:rPr>
              <w:t>Module</w:t>
            </w:r>
          </w:p>
        </w:tc>
        <w:tc>
          <w:tcPr>
            <w:tcW w:type="dxa" w:w="4275"/>
            <w:shd w:val="clear" w:color="auto" w:fill="D9E2F3"/>
          </w:tcPr>
          <w:p>
            <w:pPr>
              <w:spacing w:after="40" w:line="240" w:lineRule="auto"/>
              <w:jc w:val="center"/>
            </w:pPr>
            <w:r/>
            <w:r>
              <w:rPr>
                <w:rFonts w:ascii="Times New Roman" w:hAnsi="Times New Roman"/>
                <w:b/>
                <w:sz w:val="19"/>
              </w:rPr>
              <w:t>Responsibility</w:t>
            </w:r>
          </w:p>
        </w:tc>
        <w:tc>
          <w:tcPr>
            <w:tcW w:type="dxa" w:w="2138"/>
            <w:shd w:val="clear" w:color="auto" w:fill="D9E2F3"/>
          </w:tcPr>
          <w:p>
            <w:pPr>
              <w:spacing w:after="40" w:line="240" w:lineRule="auto"/>
              <w:jc w:val="center"/>
            </w:pPr>
            <w:r/>
            <w:r>
              <w:rPr>
                <w:rFonts w:ascii="Times New Roman" w:hAnsi="Times New Roman"/>
                <w:b/>
                <w:sz w:val="19"/>
              </w:rPr>
              <w:t>Output</w:t>
            </w:r>
          </w:p>
        </w:tc>
      </w:tr>
      <w:tr>
        <w:trPr>
          <w:cantSplit/>
        </w:trPr>
        <w:tc>
          <w:tcPr>
            <w:tcW w:type="dxa" w:w="534"/>
          </w:tcPr>
          <w:p>
            <w:pPr>
              <w:spacing w:after="40" w:line="240" w:lineRule="auto"/>
              <w:jc w:val="left"/>
            </w:pPr>
            <w:r/>
            <w:r>
              <w:rPr>
                <w:rFonts w:ascii="Times New Roman" w:hAnsi="Times New Roman"/>
                <w:sz w:val="19"/>
              </w:rPr>
              <w:t>-</w:t>
            </w:r>
          </w:p>
        </w:tc>
        <w:tc>
          <w:tcPr>
            <w:tcW w:type="dxa" w:w="1959"/>
          </w:tcPr>
          <w:p>
            <w:pPr>
              <w:spacing w:after="40" w:line="240" w:lineRule="auto"/>
              <w:jc w:val="center"/>
            </w:pPr>
            <w:r/>
            <w:r>
              <w:rPr>
                <w:rFonts w:ascii="Times New Roman" w:hAnsi="Times New Roman"/>
                <w:sz w:val="19"/>
              </w:rPr>
              <w:t>config.py</w:t>
            </w:r>
          </w:p>
        </w:tc>
        <w:tc>
          <w:tcPr>
            <w:tcW w:type="dxa" w:w="4275"/>
          </w:tcPr>
          <w:p>
            <w:pPr>
              <w:spacing w:after="40" w:line="240" w:lineRule="auto"/>
              <w:jc w:val="center"/>
            </w:pPr>
            <w:r/>
            <w:r>
              <w:rPr>
                <w:rFonts w:ascii="Times New Roman" w:hAnsi="Times New Roman"/>
                <w:sz w:val="19"/>
              </w:rPr>
              <w:t>Paths, date ranges, regime boundaries, random seed. Imported by every other module</w:t>
            </w:r>
          </w:p>
        </w:tc>
        <w:tc>
          <w:tcPr>
            <w:tcW w:type="dxa" w:w="2138"/>
          </w:tcPr>
          <w:p>
            <w:pPr>
              <w:spacing w:after="40" w:line="240" w:lineRule="auto"/>
              <w:jc w:val="center"/>
            </w:pPr>
            <w:r/>
            <w:r>
              <w:rPr>
                <w:rFonts w:ascii="Times New Roman" w:hAnsi="Times New Roman"/>
                <w:sz w:val="19"/>
              </w:rPr>
              <w:t>-</w:t>
            </w:r>
          </w:p>
        </w:tc>
      </w:tr>
      <w:tr>
        <w:trPr>
          <w:cantSplit/>
        </w:trPr>
        <w:tc>
          <w:tcPr>
            <w:tcW w:type="dxa" w:w="534"/>
          </w:tcPr>
          <w:p>
            <w:pPr>
              <w:spacing w:after="40" w:line="240" w:lineRule="auto"/>
              <w:jc w:val="left"/>
            </w:pPr>
            <w:r/>
            <w:r>
              <w:rPr>
                <w:rFonts w:ascii="Times New Roman" w:hAnsi="Times New Roman"/>
                <w:sz w:val="19"/>
              </w:rPr>
              <w:t>1</w:t>
            </w:r>
          </w:p>
        </w:tc>
        <w:tc>
          <w:tcPr>
            <w:tcW w:type="dxa" w:w="1959"/>
          </w:tcPr>
          <w:p>
            <w:pPr>
              <w:spacing w:after="40" w:line="240" w:lineRule="auto"/>
              <w:jc w:val="center"/>
            </w:pPr>
            <w:r/>
            <w:r>
              <w:rPr>
                <w:rFonts w:ascii="Times New Roman" w:hAnsi="Times New Roman"/>
                <w:sz w:val="19"/>
              </w:rPr>
              <w:t>data.py</w:t>
            </w:r>
          </w:p>
        </w:tc>
        <w:tc>
          <w:tcPr>
            <w:tcW w:type="dxa" w:w="4275"/>
          </w:tcPr>
          <w:p>
            <w:pPr>
              <w:spacing w:after="40" w:line="240" w:lineRule="auto"/>
              <w:jc w:val="center"/>
            </w:pPr>
            <w:r/>
            <w:r>
              <w:rPr>
                <w:rFonts w:ascii="Times New Roman" w:hAnsi="Times New Roman"/>
                <w:sz w:val="19"/>
              </w:rPr>
              <w:t>Load the raw panel, repair the three defects, stack to one long table</w:t>
            </w:r>
          </w:p>
        </w:tc>
        <w:tc>
          <w:tcPr>
            <w:tcW w:type="dxa" w:w="2138"/>
          </w:tcPr>
          <w:p>
            <w:pPr>
              <w:spacing w:after="40" w:line="240" w:lineRule="auto"/>
              <w:jc w:val="center"/>
            </w:pPr>
            <w:r/>
            <w:r>
              <w:rPr>
                <w:rFonts w:ascii="Times New Roman" w:hAnsi="Times New Roman"/>
                <w:sz w:val="19"/>
              </w:rPr>
              <w:t>panel_clean.pkl</w:t>
            </w:r>
          </w:p>
        </w:tc>
      </w:tr>
      <w:tr>
        <w:trPr>
          <w:cantSplit/>
        </w:trPr>
        <w:tc>
          <w:tcPr>
            <w:tcW w:type="dxa" w:w="534"/>
          </w:tcPr>
          <w:p>
            <w:pPr>
              <w:spacing w:after="40" w:line="240" w:lineRule="auto"/>
              <w:jc w:val="left"/>
            </w:pPr>
            <w:r/>
            <w:r>
              <w:rPr>
                <w:rFonts w:ascii="Times New Roman" w:hAnsi="Times New Roman"/>
                <w:sz w:val="19"/>
              </w:rPr>
              <w:t>2</w:t>
            </w:r>
          </w:p>
        </w:tc>
        <w:tc>
          <w:tcPr>
            <w:tcW w:type="dxa" w:w="1959"/>
          </w:tcPr>
          <w:p>
            <w:pPr>
              <w:spacing w:after="40" w:line="240" w:lineRule="auto"/>
              <w:jc w:val="center"/>
            </w:pPr>
            <w:r/>
            <w:r>
              <w:rPr>
                <w:rFonts w:ascii="Times New Roman" w:hAnsi="Times New Roman"/>
                <w:sz w:val="19"/>
              </w:rPr>
              <w:t>features.py</w:t>
            </w:r>
          </w:p>
        </w:tc>
        <w:tc>
          <w:tcPr>
            <w:tcW w:type="dxa" w:w="4275"/>
          </w:tcPr>
          <w:p>
            <w:pPr>
              <w:spacing w:after="40" w:line="240" w:lineRule="auto"/>
              <w:jc w:val="center"/>
            </w:pPr>
            <w:r/>
            <w:r>
              <w:rPr>
                <w:rFonts w:ascii="Times New Roman" w:hAnsi="Times New Roman"/>
                <w:sz w:val="19"/>
              </w:rPr>
              <w:t>Build the 32 features and the next-day targets; exposes build(panel), the single feature definition</w:t>
            </w:r>
          </w:p>
        </w:tc>
        <w:tc>
          <w:tcPr>
            <w:tcW w:type="dxa" w:w="2138"/>
          </w:tcPr>
          <w:p>
            <w:pPr>
              <w:spacing w:after="40" w:line="240" w:lineRule="auto"/>
              <w:jc w:val="center"/>
            </w:pPr>
            <w:r/>
            <w:r>
              <w:rPr>
                <w:rFonts w:ascii="Times New Roman" w:hAnsi="Times New Roman"/>
                <w:sz w:val="19"/>
              </w:rPr>
              <w:t>features.pkl</w:t>
            </w:r>
          </w:p>
        </w:tc>
      </w:tr>
      <w:tr>
        <w:trPr>
          <w:cantSplit/>
        </w:trPr>
        <w:tc>
          <w:tcPr>
            <w:tcW w:type="dxa" w:w="534"/>
          </w:tcPr>
          <w:p>
            <w:pPr>
              <w:spacing w:after="40" w:line="240" w:lineRule="auto"/>
              <w:jc w:val="left"/>
            </w:pPr>
            <w:r/>
            <w:r>
              <w:rPr>
                <w:rFonts w:ascii="Times New Roman" w:hAnsi="Times New Roman"/>
                <w:sz w:val="19"/>
              </w:rPr>
              <w:t>3</w:t>
            </w:r>
          </w:p>
        </w:tc>
        <w:tc>
          <w:tcPr>
            <w:tcW w:type="dxa" w:w="1959"/>
          </w:tcPr>
          <w:p>
            <w:pPr>
              <w:spacing w:after="40" w:line="240" w:lineRule="auto"/>
              <w:jc w:val="center"/>
            </w:pPr>
            <w:r/>
            <w:r>
              <w:rPr>
                <w:rFonts w:ascii="Times New Roman" w:hAnsi="Times New Roman"/>
                <w:sz w:val="19"/>
              </w:rPr>
              <w:t>tune.py</w:t>
            </w:r>
          </w:p>
        </w:tc>
        <w:tc>
          <w:tcPr>
            <w:tcW w:type="dxa" w:w="4275"/>
          </w:tcPr>
          <w:p>
            <w:pPr>
              <w:spacing w:after="40" w:line="240" w:lineRule="auto"/>
              <w:jc w:val="center"/>
            </w:pPr>
            <w:r/>
            <w:r>
              <w:rPr>
                <w:rFonts w:ascii="Times New Roman" w:hAnsi="Times New Roman"/>
                <w:sz w:val="19"/>
              </w:rPr>
              <w:t>Grid search on the validation year only</w:t>
            </w:r>
          </w:p>
        </w:tc>
        <w:tc>
          <w:tcPr>
            <w:tcW w:type="dxa" w:w="2138"/>
          </w:tcPr>
          <w:p>
            <w:pPr>
              <w:spacing w:after="40" w:line="240" w:lineRule="auto"/>
              <w:jc w:val="center"/>
            </w:pPr>
            <w:r/>
            <w:r>
              <w:rPr>
                <w:rFonts w:ascii="Times New Roman" w:hAnsi="Times New Roman"/>
                <w:sz w:val="19"/>
              </w:rPr>
              <w:t>tuning.json</w:t>
            </w:r>
          </w:p>
        </w:tc>
      </w:tr>
      <w:tr>
        <w:trPr>
          <w:cantSplit/>
        </w:trPr>
        <w:tc>
          <w:tcPr>
            <w:tcW w:type="dxa" w:w="534"/>
          </w:tcPr>
          <w:p>
            <w:pPr>
              <w:spacing w:after="40" w:line="240" w:lineRule="auto"/>
              <w:jc w:val="left"/>
            </w:pPr>
            <w:r/>
            <w:r>
              <w:rPr>
                <w:rFonts w:ascii="Times New Roman" w:hAnsi="Times New Roman"/>
                <w:sz w:val="19"/>
              </w:rPr>
              <w:t>4</w:t>
            </w:r>
          </w:p>
        </w:tc>
        <w:tc>
          <w:tcPr>
            <w:tcW w:type="dxa" w:w="1959"/>
          </w:tcPr>
          <w:p>
            <w:pPr>
              <w:spacing w:after="40" w:line="240" w:lineRule="auto"/>
              <w:jc w:val="center"/>
            </w:pPr>
            <w:r/>
            <w:r>
              <w:rPr>
                <w:rFonts w:ascii="Times New Roman" w:hAnsi="Times New Roman"/>
                <w:sz w:val="19"/>
              </w:rPr>
              <w:t>train.py</w:t>
            </w:r>
          </w:p>
        </w:tc>
        <w:tc>
          <w:tcPr>
            <w:tcW w:type="dxa" w:w="4275"/>
          </w:tcPr>
          <w:p>
            <w:pPr>
              <w:spacing w:after="40" w:line="240" w:lineRule="auto"/>
              <w:jc w:val="center"/>
            </w:pPr>
            <w:r/>
            <w:r>
              <w:rPr>
                <w:rFonts w:ascii="Times New Roman" w:hAnsi="Times New Roman"/>
                <w:sz w:val="19"/>
              </w:rPr>
              <w:t>Walk-forward retraining and forecasting for the four test years</w:t>
            </w:r>
          </w:p>
        </w:tc>
        <w:tc>
          <w:tcPr>
            <w:tcW w:type="dxa" w:w="2138"/>
          </w:tcPr>
          <w:p>
            <w:pPr>
              <w:spacing w:after="40" w:line="240" w:lineRule="auto"/>
              <w:jc w:val="center"/>
            </w:pPr>
            <w:r/>
            <w:r>
              <w:rPr>
                <w:rFonts w:ascii="Times New Roman" w:hAnsi="Times New Roman"/>
                <w:sz w:val="19"/>
              </w:rPr>
              <w:t>predictions.pkl, models/</w:t>
            </w:r>
          </w:p>
        </w:tc>
      </w:tr>
      <w:tr>
        <w:trPr>
          <w:cantSplit/>
        </w:trPr>
        <w:tc>
          <w:tcPr>
            <w:tcW w:type="dxa" w:w="534"/>
          </w:tcPr>
          <w:p>
            <w:pPr>
              <w:spacing w:after="40" w:line="240" w:lineRule="auto"/>
              <w:jc w:val="left"/>
            </w:pPr>
            <w:r/>
            <w:r>
              <w:rPr>
                <w:rFonts w:ascii="Times New Roman" w:hAnsi="Times New Roman"/>
                <w:sz w:val="19"/>
              </w:rPr>
              <w:t>5</w:t>
            </w:r>
          </w:p>
        </w:tc>
        <w:tc>
          <w:tcPr>
            <w:tcW w:type="dxa" w:w="1959"/>
          </w:tcPr>
          <w:p>
            <w:pPr>
              <w:spacing w:after="40" w:line="240" w:lineRule="auto"/>
              <w:jc w:val="center"/>
            </w:pPr>
            <w:r/>
            <w:r>
              <w:rPr>
                <w:rFonts w:ascii="Times New Roman" w:hAnsi="Times New Roman"/>
                <w:sz w:val="19"/>
              </w:rPr>
              <w:t>evaluate.py</w:t>
            </w:r>
          </w:p>
        </w:tc>
        <w:tc>
          <w:tcPr>
            <w:tcW w:type="dxa" w:w="4275"/>
          </w:tcPr>
          <w:p>
            <w:pPr>
              <w:spacing w:after="40" w:line="240" w:lineRule="auto"/>
              <w:jc w:val="center"/>
            </w:pPr>
            <w:r/>
            <w:r>
              <w:rPr>
                <w:rFonts w:ascii="Times New Roman" w:hAnsi="Times New Roman"/>
                <w:sz w:val="19"/>
              </w:rPr>
              <w:t>Return-space and price-space scoring, significance tests, decile portfolio</w:t>
            </w:r>
          </w:p>
        </w:tc>
        <w:tc>
          <w:tcPr>
            <w:tcW w:type="dxa" w:w="2138"/>
          </w:tcPr>
          <w:p>
            <w:pPr>
              <w:spacing w:after="40" w:line="240" w:lineRule="auto"/>
              <w:jc w:val="center"/>
            </w:pPr>
            <w:r/>
            <w:r>
              <w:rPr>
                <w:rFonts w:ascii="Times New Roman" w:hAnsi="Times New Roman"/>
                <w:sz w:val="19"/>
              </w:rPr>
              <w:t>metrics.json</w:t>
            </w:r>
          </w:p>
        </w:tc>
      </w:tr>
      <w:tr>
        <w:trPr>
          <w:cantSplit/>
        </w:trPr>
        <w:tc>
          <w:tcPr>
            <w:tcW w:type="dxa" w:w="534"/>
          </w:tcPr>
          <w:p>
            <w:pPr>
              <w:spacing w:after="40" w:line="240" w:lineRule="auto"/>
              <w:jc w:val="left"/>
            </w:pPr>
            <w:r/>
            <w:r>
              <w:rPr>
                <w:rFonts w:ascii="Times New Roman" w:hAnsi="Times New Roman"/>
                <w:sz w:val="19"/>
              </w:rPr>
              <w:t>6</w:t>
            </w:r>
          </w:p>
        </w:tc>
        <w:tc>
          <w:tcPr>
            <w:tcW w:type="dxa" w:w="1959"/>
          </w:tcPr>
          <w:p>
            <w:pPr>
              <w:spacing w:after="40" w:line="240" w:lineRule="auto"/>
              <w:jc w:val="center"/>
            </w:pPr>
            <w:r/>
            <w:r>
              <w:rPr>
                <w:rFonts w:ascii="Times New Roman" w:hAnsi="Times New Roman"/>
                <w:sz w:val="19"/>
              </w:rPr>
              <w:t>explain.py</w:t>
            </w:r>
          </w:p>
        </w:tc>
        <w:tc>
          <w:tcPr>
            <w:tcW w:type="dxa" w:w="4275"/>
          </w:tcPr>
          <w:p>
            <w:pPr>
              <w:spacing w:after="40" w:line="240" w:lineRule="auto"/>
              <w:jc w:val="center"/>
            </w:pPr>
            <w:r/>
            <w:r>
              <w:rPr>
                <w:rFonts w:ascii="Times New Roman" w:hAnsi="Times New Roman"/>
                <w:sz w:val="19"/>
              </w:rPr>
              <w:t>TreeSHAP attributions and the faithfulness, stability, sanity and drift tests</w:t>
            </w:r>
          </w:p>
        </w:tc>
        <w:tc>
          <w:tcPr>
            <w:tcW w:type="dxa" w:w="2138"/>
          </w:tcPr>
          <w:p>
            <w:pPr>
              <w:spacing w:after="40" w:line="240" w:lineRule="auto"/>
              <w:jc w:val="center"/>
            </w:pPr>
            <w:r/>
            <w:r>
              <w:rPr>
                <w:rFonts w:ascii="Times New Roman" w:hAnsi="Times New Roman"/>
                <w:sz w:val="19"/>
              </w:rPr>
              <w:t>xai.json, importance.csv, shap_sample.pkl</w:t>
            </w:r>
          </w:p>
        </w:tc>
      </w:tr>
      <w:tr>
        <w:trPr>
          <w:cantSplit/>
        </w:trPr>
        <w:tc>
          <w:tcPr>
            <w:tcW w:type="dxa" w:w="534"/>
          </w:tcPr>
          <w:p>
            <w:pPr>
              <w:spacing w:after="40" w:line="240" w:lineRule="auto"/>
              <w:jc w:val="left"/>
            </w:pPr>
            <w:r/>
            <w:r>
              <w:rPr>
                <w:rFonts w:ascii="Times New Roman" w:hAnsi="Times New Roman"/>
                <w:sz w:val="19"/>
              </w:rPr>
              <w:t>7</w:t>
            </w:r>
          </w:p>
        </w:tc>
        <w:tc>
          <w:tcPr>
            <w:tcW w:type="dxa" w:w="1959"/>
          </w:tcPr>
          <w:p>
            <w:pPr>
              <w:spacing w:after="40" w:line="240" w:lineRule="auto"/>
              <w:jc w:val="center"/>
            </w:pPr>
            <w:r/>
            <w:r>
              <w:rPr>
                <w:rFonts w:ascii="Times New Roman" w:hAnsi="Times New Roman"/>
                <w:sz w:val="19"/>
              </w:rPr>
              <w:t>lime_explain.py</w:t>
            </w:r>
          </w:p>
        </w:tc>
        <w:tc>
          <w:tcPr>
            <w:tcW w:type="dxa" w:w="4275"/>
          </w:tcPr>
          <w:p>
            <w:pPr>
              <w:spacing w:after="40" w:line="240" w:lineRule="auto"/>
              <w:jc w:val="center"/>
            </w:pPr>
            <w:r/>
            <w:r>
              <w:rPr>
                <w:rFonts w:ascii="Times New Roman" w:hAnsi="Times New Roman"/>
                <w:sz w:val="19"/>
              </w:rPr>
              <w:t>LIME explanations and the SHAP-against-LIME comparison</w:t>
            </w:r>
          </w:p>
        </w:tc>
        <w:tc>
          <w:tcPr>
            <w:tcW w:type="dxa" w:w="2138"/>
          </w:tcPr>
          <w:p>
            <w:pPr>
              <w:spacing w:after="40" w:line="240" w:lineRule="auto"/>
              <w:jc w:val="center"/>
            </w:pPr>
            <w:r/>
            <w:r>
              <w:rPr>
                <w:rFonts w:ascii="Times New Roman" w:hAnsi="Times New Roman"/>
                <w:sz w:val="19"/>
              </w:rPr>
              <w:t>lime.json</w:t>
            </w:r>
          </w:p>
        </w:tc>
      </w:tr>
      <w:tr>
        <w:trPr>
          <w:cantSplit/>
        </w:trPr>
        <w:tc>
          <w:tcPr>
            <w:tcW w:type="dxa" w:w="534"/>
          </w:tcPr>
          <w:p>
            <w:pPr>
              <w:spacing w:after="40" w:line="240" w:lineRule="auto"/>
              <w:jc w:val="left"/>
            </w:pPr>
            <w:r/>
            <w:r>
              <w:rPr>
                <w:rFonts w:ascii="Times New Roman" w:hAnsi="Times New Roman"/>
                <w:sz w:val="19"/>
              </w:rPr>
              <w:t>8</w:t>
            </w:r>
          </w:p>
        </w:tc>
        <w:tc>
          <w:tcPr>
            <w:tcW w:type="dxa" w:w="1959"/>
          </w:tcPr>
          <w:p>
            <w:pPr>
              <w:spacing w:after="40" w:line="240" w:lineRule="auto"/>
              <w:jc w:val="center"/>
            </w:pPr>
            <w:r/>
            <w:r>
              <w:rPr>
                <w:rFonts w:ascii="Times New Roman" w:hAnsi="Times New Roman"/>
                <w:sz w:val="19"/>
              </w:rPr>
              <w:t>plots.py</w:t>
            </w:r>
          </w:p>
        </w:tc>
        <w:tc>
          <w:tcPr>
            <w:tcW w:type="dxa" w:w="4275"/>
          </w:tcPr>
          <w:p>
            <w:pPr>
              <w:spacing w:after="40" w:line="240" w:lineRule="auto"/>
              <w:jc w:val="center"/>
            </w:pPr>
            <w:r/>
            <w:r>
              <w:rPr>
                <w:rFonts w:ascii="Times New Roman" w:hAnsi="Times New Roman"/>
                <w:sz w:val="19"/>
              </w:rPr>
              <w:t>All 15 result figures</w:t>
            </w:r>
          </w:p>
        </w:tc>
        <w:tc>
          <w:tcPr>
            <w:tcW w:type="dxa" w:w="2138"/>
          </w:tcPr>
          <w:p>
            <w:pPr>
              <w:spacing w:after="40" w:line="240" w:lineRule="auto"/>
              <w:jc w:val="center"/>
            </w:pPr>
            <w:r/>
            <w:r>
              <w:rPr>
                <w:rFonts w:ascii="Times New Roman" w:hAnsi="Times New Roman"/>
                <w:sz w:val="19"/>
              </w:rPr>
              <w:t>results/figures/</w:t>
            </w:r>
          </w:p>
        </w:tc>
      </w:tr>
      <w:tr>
        <w:trPr>
          <w:cantSplit/>
        </w:trPr>
        <w:tc>
          <w:tcPr>
            <w:tcW w:type="dxa" w:w="534"/>
          </w:tcPr>
          <w:p>
            <w:pPr>
              <w:spacing w:after="40" w:line="240" w:lineRule="auto"/>
              <w:jc w:val="left"/>
            </w:pPr>
            <w:r/>
            <w:r>
              <w:rPr>
                <w:rFonts w:ascii="Times New Roman" w:hAnsi="Times New Roman"/>
                <w:sz w:val="19"/>
              </w:rPr>
              <w:t>9</w:t>
            </w:r>
          </w:p>
        </w:tc>
        <w:tc>
          <w:tcPr>
            <w:tcW w:type="dxa" w:w="1959"/>
          </w:tcPr>
          <w:p>
            <w:pPr>
              <w:spacing w:after="40" w:line="240" w:lineRule="auto"/>
              <w:jc w:val="center"/>
            </w:pPr>
            <w:r/>
            <w:r>
              <w:rPr>
                <w:rFonts w:ascii="Times New Roman" w:hAnsi="Times New Roman"/>
                <w:sz w:val="19"/>
              </w:rPr>
              <w:t>live.py</w:t>
            </w:r>
          </w:p>
        </w:tc>
        <w:tc>
          <w:tcPr>
            <w:tcW w:type="dxa" w:w="4275"/>
          </w:tcPr>
          <w:p>
            <w:pPr>
              <w:spacing w:after="40" w:line="240" w:lineRule="auto"/>
              <w:jc w:val="center"/>
            </w:pPr>
            <w:r/>
            <w:r>
              <w:rPr>
                <w:rFonts w:ascii="Times New Roman" w:hAnsi="Times New Roman"/>
                <w:sz w:val="19"/>
              </w:rPr>
              <w:t>Retrain to the latest close and forecast the next session</w:t>
            </w:r>
          </w:p>
        </w:tc>
        <w:tc>
          <w:tcPr>
            <w:tcW w:type="dxa" w:w="2138"/>
          </w:tcPr>
          <w:p>
            <w:pPr>
              <w:spacing w:after="40" w:line="240" w:lineRule="auto"/>
              <w:jc w:val="center"/>
            </w:pPr>
            <w:r/>
            <w:r>
              <w:rPr>
                <w:rFonts w:ascii="Times New Roman" w:hAnsi="Times New Roman"/>
                <w:sz w:val="19"/>
              </w:rPr>
              <w:t>live_forecast.pkl, live_meta.json</w:t>
            </w:r>
          </w:p>
        </w:tc>
      </w:tr>
      <w:tr>
        <w:trPr>
          <w:cantSplit/>
        </w:trPr>
        <w:tc>
          <w:tcPr>
            <w:tcW w:type="dxa" w:w="534"/>
          </w:tcPr>
          <w:p>
            <w:pPr>
              <w:spacing w:after="40" w:line="240" w:lineRule="auto"/>
              <w:jc w:val="left"/>
            </w:pPr>
            <w:r/>
            <w:r>
              <w:rPr>
                <w:rFonts w:ascii="Times New Roman" w:hAnsi="Times New Roman"/>
                <w:sz w:val="19"/>
              </w:rPr>
              <w:t>10</w:t>
            </w:r>
          </w:p>
        </w:tc>
        <w:tc>
          <w:tcPr>
            <w:tcW w:type="dxa" w:w="1959"/>
          </w:tcPr>
          <w:p>
            <w:pPr>
              <w:spacing w:after="40" w:line="240" w:lineRule="auto"/>
              <w:jc w:val="center"/>
            </w:pPr>
            <w:r/>
            <w:r>
              <w:rPr>
                <w:rFonts w:ascii="Times New Roman" w:hAnsi="Times New Roman"/>
                <w:sz w:val="19"/>
              </w:rPr>
              <w:t>app.py</w:t>
            </w:r>
          </w:p>
        </w:tc>
        <w:tc>
          <w:tcPr>
            <w:tcW w:type="dxa" w:w="4275"/>
          </w:tcPr>
          <w:p>
            <w:pPr>
              <w:spacing w:after="40" w:line="240" w:lineRule="auto"/>
              <w:jc w:val="center"/>
            </w:pPr>
            <w:r/>
            <w:r>
              <w:rPr>
                <w:rFonts w:ascii="Times New Roman" w:hAnsi="Times New Roman"/>
                <w:sz w:val="19"/>
              </w:rPr>
              <w:t>Serve the interactive forecast-and-audit page</w:t>
            </w:r>
          </w:p>
        </w:tc>
        <w:tc>
          <w:tcPr>
            <w:tcW w:type="dxa" w:w="2138"/>
          </w:tcPr>
          <w:p>
            <w:pPr>
              <w:spacing w:after="40" w:line="240" w:lineRule="auto"/>
              <w:jc w:val="center"/>
            </w:pPr>
            <w:r/>
            <w:r>
              <w:rPr>
                <w:rFonts w:ascii="Times New Roman" w:hAnsi="Times New Roman"/>
                <w:sz w:val="19"/>
              </w:rPr>
              <w:t>HTTP on port 8000</w:t>
            </w:r>
          </w:p>
        </w:tc>
      </w:tr>
      <w:tr>
        <w:trPr>
          <w:cantSplit/>
        </w:trPr>
        <w:tc>
          <w:tcPr>
            <w:tcW w:type="dxa" w:w="534"/>
          </w:tcPr>
          <w:p>
            <w:pPr>
              <w:spacing w:after="40" w:line="240" w:lineRule="auto"/>
              <w:jc w:val="left"/>
            </w:pPr>
            <w:r/>
            <w:r>
              <w:rPr>
                <w:rFonts w:ascii="Times New Roman" w:hAnsi="Times New Roman"/>
                <w:sz w:val="19"/>
              </w:rPr>
              <w:t>-</w:t>
            </w:r>
          </w:p>
        </w:tc>
        <w:tc>
          <w:tcPr>
            <w:tcW w:type="dxa" w:w="1959"/>
          </w:tcPr>
          <w:p>
            <w:pPr>
              <w:spacing w:after="40" w:line="240" w:lineRule="auto"/>
              <w:jc w:val="center"/>
            </w:pPr>
            <w:r/>
            <w:r>
              <w:rPr>
                <w:rFonts w:ascii="Times New Roman" w:hAnsi="Times New Roman"/>
                <w:sz w:val="19"/>
              </w:rPr>
              <w:t>make_uml.py</w:t>
            </w:r>
          </w:p>
        </w:tc>
        <w:tc>
          <w:tcPr>
            <w:tcW w:type="dxa" w:w="4275"/>
          </w:tcPr>
          <w:p>
            <w:pPr>
              <w:spacing w:after="40" w:line="240" w:lineRule="auto"/>
              <w:jc w:val="center"/>
            </w:pPr>
            <w:r/>
            <w:r>
              <w:rPr>
                <w:rFonts w:ascii="Times New Roman" w:hAnsi="Times New Roman"/>
                <w:sz w:val="19"/>
              </w:rPr>
              <w:t>The six design diagrams of Chapter 4</w:t>
            </w:r>
          </w:p>
        </w:tc>
        <w:tc>
          <w:tcPr>
            <w:tcW w:type="dxa" w:w="2138"/>
          </w:tcPr>
          <w:p>
            <w:pPr>
              <w:spacing w:after="40" w:line="240" w:lineRule="auto"/>
              <w:jc w:val="center"/>
            </w:pPr>
            <w:r/>
            <w:r>
              <w:rPr>
                <w:rFonts w:ascii="Times New Roman" w:hAnsi="Times New Roman"/>
                <w:sz w:val="19"/>
              </w:rPr>
              <w:t>figures/design/</w:t>
            </w:r>
          </w:p>
        </w:tc>
      </w:tr>
      <w:tr>
        <w:trPr>
          <w:cantSplit/>
        </w:trPr>
        <w:tc>
          <w:tcPr>
            <w:tcW w:type="dxa" w:w="534"/>
          </w:tcPr>
          <w:p>
            <w:pPr>
              <w:spacing w:after="40" w:line="240" w:lineRule="auto"/>
              <w:jc w:val="left"/>
            </w:pPr>
            <w:r/>
            <w:r>
              <w:rPr>
                <w:rFonts w:ascii="Times New Roman" w:hAnsi="Times New Roman"/>
                <w:sz w:val="19"/>
              </w:rPr>
              <w:t>-</w:t>
            </w:r>
          </w:p>
        </w:tc>
        <w:tc>
          <w:tcPr>
            <w:tcW w:type="dxa" w:w="1959"/>
          </w:tcPr>
          <w:p>
            <w:pPr>
              <w:spacing w:after="40" w:line="240" w:lineRule="auto"/>
              <w:jc w:val="center"/>
            </w:pPr>
            <w:r/>
            <w:r>
              <w:rPr>
                <w:rFonts w:ascii="Times New Roman" w:hAnsi="Times New Roman"/>
                <w:sz w:val="19"/>
              </w:rPr>
              <w:t>make_docx.py, make_vit_report.py</w:t>
            </w:r>
          </w:p>
        </w:tc>
        <w:tc>
          <w:tcPr>
            <w:tcW w:type="dxa" w:w="4275"/>
          </w:tcPr>
          <w:p>
            <w:pPr>
              <w:spacing w:after="40" w:line="240" w:lineRule="auto"/>
              <w:jc w:val="center"/>
            </w:pPr>
            <w:r/>
            <w:r>
              <w:rPr>
                <w:rFonts w:ascii="Times New Roman" w:hAnsi="Times New Roman"/>
                <w:sz w:val="19"/>
              </w:rPr>
              <w:t>Document generation</w:t>
            </w:r>
          </w:p>
        </w:tc>
        <w:tc>
          <w:tcPr>
            <w:tcW w:type="dxa" w:w="2138"/>
          </w:tcPr>
          <w:p>
            <w:pPr>
              <w:spacing w:after="40" w:line="240" w:lineRule="auto"/>
              <w:jc w:val="center"/>
            </w:pPr>
            <w:r/>
            <w:r>
              <w:rPr>
                <w:rFonts w:ascii="Times New Roman" w:hAnsi="Times New Roman"/>
                <w:sz w:val="19"/>
              </w:rPr>
              <w:t>Word output</w:t>
            </w:r>
          </w:p>
        </w:tc>
      </w:tr>
    </w:tbl>
    <w:p>
      <w:pPr>
        <w:keepNext w:val="0"/>
        <w:spacing w:line="276" w:lineRule="auto" w:after="80"/>
        <w:jc w:val="both"/>
      </w:pPr>
    </w:p>
    <w:p>
      <w:pPr>
        <w:keepNext/>
        <w:spacing w:line="240" w:lineRule="auto" w:after="120"/>
        <w:jc w:val="left"/>
      </w:pPr>
      <w:r>
        <w:rPr>
          <w:rFonts w:ascii="Times New Roman" w:hAnsi="Times New Roman"/>
          <w:b/>
          <w:i/>
          <w:sz w:val="24"/>
        </w:rPr>
        <w:t>5.1.1 Target Formulation and Model</w:t>
      </w:r>
    </w:p>
    <w:p>
      <w:pPr>
        <w:keepNext w:val="0"/>
        <w:spacing w:line="276" w:lineRule="auto" w:after="120"/>
        <w:jc w:val="both"/>
      </w:pPr>
      <w:r>
        <w:rPr>
          <w:rFonts w:ascii="Times New Roman" w:hAnsi="Times New Roman"/>
          <w:b w:val="0"/>
          <w:i w:val="0"/>
          <w:sz w:val="24"/>
        </w:rPr>
        <w:t>The model predicts the next-day log return, and the price forecast is that return applied to the current close. Predicting returns rather than price levels does two things. It lets one model serve stocks priced from ten dollars to three thousand, because a return is scale-free. And it avoids a structural failure of tree models on price levels: a tree predicts by averaging training labels, so it can never forecast above the highest price it was trained on. Section 7.1.2 quantifies what happens when that rule is broken.</w:t>
      </w:r>
    </w:p>
    <w:p>
      <w:pPr>
        <w:keepNext w:val="0"/>
        <w:spacing w:line="276" w:lineRule="auto" w:after="120"/>
        <w:jc w:val="both"/>
      </w:pPr>
      <w:r>
        <w:rPr>
          <w:rFonts w:ascii="Times New Roman" w:hAnsi="Times New Roman"/>
          <w:b w:val="0"/>
          <w:i w:val="0"/>
          <w:sz w:val="24"/>
        </w:rPr>
        <w:t>The regressor is a scikit-learn Random Forest with 300 trees, each grown on a 25 per cent bootstrap sample. Two hyperparameters were tuned: the minimum number of samples in a leaf, over 200, 1,000 and 5,000, and the fraction of features considered at each split, over 0.3 and 0.6. Selection was by validation mean squared error, with the model trained only on data preceding the validation period. The chosen configuration is a leaf size of 5,000 and a feature fraction of 0.3, the most heavily regularised option in the grid. That choice is itself a result: a search that lands on maximum regularisation is telling you the signal-to-noise ratio is very low.</w:t>
      </w:r>
    </w:p>
    <w:p>
      <w:pPr>
        <w:keepNext/>
        <w:spacing w:line="240" w:lineRule="auto" w:after="120"/>
        <w:jc w:val="left"/>
      </w:pPr>
      <w:r>
        <w:rPr>
          <w:rFonts w:ascii="Times New Roman" w:hAnsi="Times New Roman"/>
          <w:b/>
          <w:i/>
          <w:sz w:val="24"/>
        </w:rPr>
        <w:t>5.1.2 Walk-Forward Protocol</w:t>
      </w:r>
    </w:p>
    <w:p>
      <w:pPr>
        <w:keepNext w:val="0"/>
        <w:spacing w:line="276" w:lineRule="auto" w:after="120"/>
        <w:jc w:val="both"/>
      </w:pPr>
      <w:r>
        <w:rPr>
          <w:rFonts w:ascii="Times New Roman" w:hAnsi="Times New Roman"/>
          <w:b w:val="0"/>
          <w:i w:val="0"/>
          <w:sz w:val="24"/>
        </w:rPr>
        <w:t>At the start of each test year the model is retrained on every stock-day from March 2013 up to the preceding 31 December, then forecasts every stock-day of that year. This mimics what a practitioner would actually do and guarantees that no forecast uses information from its own future.</w:t>
      </w:r>
    </w:p>
    <w:p>
      <w:pPr>
        <w:keepNext/>
        <w:spacing w:line="240" w:lineRule="auto" w:after="200"/>
        <w:jc w:val="center"/>
      </w:pPr>
      <w:r>
        <w:rPr>
          <w:rFonts w:ascii="Times New Roman" w:hAnsi="Times New Roman"/>
          <w:b w:val="0"/>
          <w:i w:val="0"/>
          <w:sz w:val="20"/>
        </w:rPr>
        <w:t>Table 5.2  Walk-forward training and forecasting</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1936"/>
        <w:gridCol w:w="2710"/>
        <w:gridCol w:w="2517"/>
        <w:gridCol w:w="1742"/>
      </w:tblGrid>
      <w:tr>
        <w:trPr>
          <w:cantSplit/>
          <w:tblHeader/>
        </w:trPr>
        <w:tc>
          <w:tcPr>
            <w:tcW w:type="dxa" w:w="1936"/>
            <w:shd w:val="clear" w:color="auto" w:fill="D9E2F3"/>
          </w:tcPr>
          <w:p>
            <w:pPr>
              <w:spacing w:after="40" w:line="240" w:lineRule="auto"/>
              <w:jc w:val="center"/>
            </w:pPr>
            <w:r/>
            <w:r>
              <w:rPr>
                <w:rFonts w:ascii="Times New Roman" w:hAnsi="Times New Roman"/>
                <w:b/>
                <w:sz w:val="19"/>
              </w:rPr>
              <w:t>Test year</w:t>
            </w:r>
          </w:p>
        </w:tc>
        <w:tc>
          <w:tcPr>
            <w:tcW w:type="dxa" w:w="2711"/>
            <w:shd w:val="clear" w:color="auto" w:fill="D9E2F3"/>
          </w:tcPr>
          <w:p>
            <w:pPr>
              <w:spacing w:after="40" w:line="240" w:lineRule="auto"/>
              <w:jc w:val="center"/>
            </w:pPr>
            <w:r/>
            <w:r>
              <w:rPr>
                <w:rFonts w:ascii="Times New Roman" w:hAnsi="Times New Roman"/>
                <w:b/>
                <w:sz w:val="19"/>
              </w:rPr>
              <w:t>Training stock-days</w:t>
            </w:r>
          </w:p>
        </w:tc>
        <w:tc>
          <w:tcPr>
            <w:tcW w:type="dxa" w:w="2517"/>
            <w:shd w:val="clear" w:color="auto" w:fill="D9E2F3"/>
          </w:tcPr>
          <w:p>
            <w:pPr>
              <w:spacing w:after="40" w:line="240" w:lineRule="auto"/>
              <w:jc w:val="center"/>
            </w:pPr>
            <w:r/>
            <w:r>
              <w:rPr>
                <w:rFonts w:ascii="Times New Roman" w:hAnsi="Times New Roman"/>
                <w:b/>
                <w:sz w:val="19"/>
              </w:rPr>
              <w:t>Forecasts produced</w:t>
            </w:r>
          </w:p>
        </w:tc>
        <w:tc>
          <w:tcPr>
            <w:tcW w:type="dxa" w:w="1743"/>
            <w:shd w:val="clear" w:color="auto" w:fill="D9E2F3"/>
          </w:tcPr>
          <w:p>
            <w:pPr>
              <w:spacing w:after="40" w:line="240" w:lineRule="auto"/>
              <w:jc w:val="center"/>
            </w:pPr>
            <w:r/>
            <w:r>
              <w:rPr>
                <w:rFonts w:ascii="Times New Roman" w:hAnsi="Times New Roman"/>
                <w:b/>
                <w:sz w:val="19"/>
              </w:rPr>
              <w:t>Training time</w:t>
            </w:r>
          </w:p>
        </w:tc>
      </w:tr>
      <w:tr>
        <w:trPr>
          <w:cantSplit/>
        </w:trPr>
        <w:tc>
          <w:tcPr>
            <w:tcW w:type="dxa" w:w="1936"/>
          </w:tcPr>
          <w:p>
            <w:pPr>
              <w:spacing w:after="40" w:line="240" w:lineRule="auto"/>
              <w:jc w:val="left"/>
            </w:pPr>
            <w:r/>
            <w:r>
              <w:rPr>
                <w:rFonts w:ascii="Times New Roman" w:hAnsi="Times New Roman"/>
                <w:sz w:val="19"/>
              </w:rPr>
              <w:t>2019</w:t>
            </w:r>
          </w:p>
        </w:tc>
        <w:tc>
          <w:tcPr>
            <w:tcW w:type="dxa" w:w="2711"/>
          </w:tcPr>
          <w:p>
            <w:pPr>
              <w:spacing w:after="40" w:line="240" w:lineRule="auto"/>
              <w:jc w:val="center"/>
            </w:pPr>
            <w:r/>
            <w:r>
              <w:rPr>
                <w:rFonts w:ascii="Times New Roman" w:hAnsi="Times New Roman"/>
                <w:sz w:val="19"/>
              </w:rPr>
              <w:t>691,620</w:t>
            </w:r>
          </w:p>
        </w:tc>
        <w:tc>
          <w:tcPr>
            <w:tcW w:type="dxa" w:w="2517"/>
          </w:tcPr>
          <w:p>
            <w:pPr>
              <w:spacing w:after="40" w:line="240" w:lineRule="auto"/>
              <w:jc w:val="center"/>
            </w:pPr>
            <w:r/>
            <w:r>
              <w:rPr>
                <w:rFonts w:ascii="Times New Roman" w:hAnsi="Times New Roman"/>
                <w:sz w:val="19"/>
              </w:rPr>
              <w:t>119,340</w:t>
            </w:r>
          </w:p>
        </w:tc>
        <w:tc>
          <w:tcPr>
            <w:tcW w:type="dxa" w:w="1743"/>
          </w:tcPr>
          <w:p>
            <w:pPr>
              <w:spacing w:after="40" w:line="240" w:lineRule="auto"/>
              <w:jc w:val="center"/>
            </w:pPr>
            <w:r/>
            <w:r>
              <w:rPr>
                <w:rFonts w:ascii="Times New Roman" w:hAnsi="Times New Roman"/>
                <w:sz w:val="19"/>
              </w:rPr>
              <w:t>96 s</w:t>
            </w:r>
          </w:p>
        </w:tc>
      </w:tr>
      <w:tr>
        <w:trPr>
          <w:cantSplit/>
        </w:trPr>
        <w:tc>
          <w:tcPr>
            <w:tcW w:type="dxa" w:w="1936"/>
          </w:tcPr>
          <w:p>
            <w:pPr>
              <w:spacing w:after="40" w:line="240" w:lineRule="auto"/>
              <w:jc w:val="left"/>
            </w:pPr>
            <w:r/>
            <w:r>
              <w:rPr>
                <w:rFonts w:ascii="Times New Roman" w:hAnsi="Times New Roman"/>
                <w:sz w:val="19"/>
              </w:rPr>
              <w:t>2020</w:t>
            </w:r>
          </w:p>
        </w:tc>
        <w:tc>
          <w:tcPr>
            <w:tcW w:type="dxa" w:w="2711"/>
          </w:tcPr>
          <w:p>
            <w:pPr>
              <w:spacing w:after="40" w:line="240" w:lineRule="auto"/>
              <w:jc w:val="center"/>
            </w:pPr>
            <w:r/>
            <w:r>
              <w:rPr>
                <w:rFonts w:ascii="Times New Roman" w:hAnsi="Times New Roman"/>
                <w:sz w:val="19"/>
              </w:rPr>
              <w:t>810,960</w:t>
            </w:r>
          </w:p>
        </w:tc>
        <w:tc>
          <w:tcPr>
            <w:tcW w:type="dxa" w:w="2517"/>
          </w:tcPr>
          <w:p>
            <w:pPr>
              <w:spacing w:after="40" w:line="240" w:lineRule="auto"/>
              <w:jc w:val="center"/>
            </w:pPr>
            <w:r/>
            <w:r>
              <w:rPr>
                <w:rFonts w:ascii="Times New Roman" w:hAnsi="Times New Roman"/>
                <w:sz w:val="19"/>
              </w:rPr>
              <w:t>119,919</w:t>
            </w:r>
          </w:p>
        </w:tc>
        <w:tc>
          <w:tcPr>
            <w:tcW w:type="dxa" w:w="1743"/>
          </w:tcPr>
          <w:p>
            <w:pPr>
              <w:spacing w:after="40" w:line="240" w:lineRule="auto"/>
              <w:jc w:val="center"/>
            </w:pPr>
            <w:r/>
            <w:r>
              <w:rPr>
                <w:rFonts w:ascii="Times New Roman" w:hAnsi="Times New Roman"/>
                <w:sz w:val="19"/>
              </w:rPr>
              <w:t>120 s</w:t>
            </w:r>
          </w:p>
        </w:tc>
      </w:tr>
      <w:tr>
        <w:trPr>
          <w:cantSplit/>
        </w:trPr>
        <w:tc>
          <w:tcPr>
            <w:tcW w:type="dxa" w:w="1936"/>
          </w:tcPr>
          <w:p>
            <w:pPr>
              <w:spacing w:after="40" w:line="240" w:lineRule="auto"/>
              <w:jc w:val="left"/>
            </w:pPr>
            <w:r/>
            <w:r>
              <w:rPr>
                <w:rFonts w:ascii="Times New Roman" w:hAnsi="Times New Roman"/>
                <w:sz w:val="19"/>
              </w:rPr>
              <w:t>2021</w:t>
            </w:r>
          </w:p>
        </w:tc>
        <w:tc>
          <w:tcPr>
            <w:tcW w:type="dxa" w:w="2711"/>
          </w:tcPr>
          <w:p>
            <w:pPr>
              <w:spacing w:after="40" w:line="240" w:lineRule="auto"/>
              <w:jc w:val="center"/>
            </w:pPr>
            <w:r/>
            <w:r>
              <w:rPr>
                <w:rFonts w:ascii="Times New Roman" w:hAnsi="Times New Roman"/>
                <w:sz w:val="19"/>
              </w:rPr>
              <w:t>930,879</w:t>
            </w:r>
          </w:p>
        </w:tc>
        <w:tc>
          <w:tcPr>
            <w:tcW w:type="dxa" w:w="2517"/>
          </w:tcPr>
          <w:p>
            <w:pPr>
              <w:spacing w:after="40" w:line="240" w:lineRule="auto"/>
              <w:jc w:val="center"/>
            </w:pPr>
            <w:r/>
            <w:r>
              <w:rPr>
                <w:rFonts w:ascii="Times New Roman" w:hAnsi="Times New Roman"/>
                <w:sz w:val="19"/>
              </w:rPr>
              <w:t>119,448</w:t>
            </w:r>
          </w:p>
        </w:tc>
        <w:tc>
          <w:tcPr>
            <w:tcW w:type="dxa" w:w="1743"/>
          </w:tcPr>
          <w:p>
            <w:pPr>
              <w:spacing w:after="40" w:line="240" w:lineRule="auto"/>
              <w:jc w:val="center"/>
            </w:pPr>
            <w:r/>
            <w:r>
              <w:rPr>
                <w:rFonts w:ascii="Times New Roman" w:hAnsi="Times New Roman"/>
                <w:sz w:val="19"/>
              </w:rPr>
              <w:t>160 s</w:t>
            </w:r>
          </w:p>
        </w:tc>
      </w:tr>
      <w:tr>
        <w:trPr>
          <w:cantSplit/>
        </w:trPr>
        <w:tc>
          <w:tcPr>
            <w:tcW w:type="dxa" w:w="1936"/>
          </w:tcPr>
          <w:p>
            <w:pPr>
              <w:spacing w:after="40" w:line="240" w:lineRule="auto"/>
              <w:jc w:val="left"/>
            </w:pPr>
            <w:r/>
            <w:r>
              <w:rPr>
                <w:rFonts w:ascii="Times New Roman" w:hAnsi="Times New Roman"/>
                <w:sz w:val="19"/>
              </w:rPr>
              <w:t>2022 (to May)</w:t>
            </w:r>
          </w:p>
        </w:tc>
        <w:tc>
          <w:tcPr>
            <w:tcW w:type="dxa" w:w="2711"/>
          </w:tcPr>
          <w:p>
            <w:pPr>
              <w:spacing w:after="40" w:line="240" w:lineRule="auto"/>
              <w:jc w:val="center"/>
            </w:pPr>
            <w:r/>
            <w:r>
              <w:rPr>
                <w:rFonts w:ascii="Times New Roman" w:hAnsi="Times New Roman"/>
                <w:sz w:val="19"/>
              </w:rPr>
              <w:t>1,050,327</w:t>
            </w:r>
          </w:p>
        </w:tc>
        <w:tc>
          <w:tcPr>
            <w:tcW w:type="dxa" w:w="2517"/>
          </w:tcPr>
          <w:p>
            <w:pPr>
              <w:spacing w:after="40" w:line="240" w:lineRule="auto"/>
              <w:jc w:val="center"/>
            </w:pPr>
            <w:r/>
            <w:r>
              <w:rPr>
                <w:rFonts w:ascii="Times New Roman" w:hAnsi="Times New Roman"/>
                <w:sz w:val="19"/>
              </w:rPr>
              <w:t>46,838</w:t>
            </w:r>
          </w:p>
        </w:tc>
        <w:tc>
          <w:tcPr>
            <w:tcW w:type="dxa" w:w="1743"/>
          </w:tcPr>
          <w:p>
            <w:pPr>
              <w:spacing w:after="40" w:line="240" w:lineRule="auto"/>
              <w:jc w:val="center"/>
            </w:pPr>
            <w:r/>
            <w:r>
              <w:rPr>
                <w:rFonts w:ascii="Times New Roman" w:hAnsi="Times New Roman"/>
                <w:sz w:val="19"/>
              </w:rPr>
              <w:t>185 s</w:t>
            </w:r>
          </w:p>
        </w:tc>
      </w:tr>
      <w:tr>
        <w:trPr>
          <w:cantSplit/>
        </w:trPr>
        <w:tc>
          <w:tcPr>
            <w:tcW w:type="dxa" w:w="1936"/>
          </w:tcPr>
          <w:p>
            <w:pPr>
              <w:spacing w:after="40" w:line="240" w:lineRule="auto"/>
              <w:jc w:val="left"/>
            </w:pPr>
            <w:r/>
            <w:r>
              <w:rPr>
                <w:rFonts w:ascii="Times New Roman" w:hAnsi="Times New Roman"/>
                <w:sz w:val="19"/>
              </w:rPr>
              <w:t>Total</w:t>
            </w:r>
          </w:p>
        </w:tc>
        <w:tc>
          <w:tcPr>
            <w:tcW w:type="dxa" w:w="2711"/>
          </w:tcPr>
          <w:p>
            <w:pPr>
              <w:spacing w:after="40" w:line="240" w:lineRule="auto"/>
              <w:jc w:val="center"/>
            </w:pPr>
            <w:r/>
            <w:r>
              <w:rPr>
                <w:rFonts w:ascii="Times New Roman" w:hAnsi="Times New Roman"/>
                <w:sz w:val="19"/>
              </w:rPr>
              <w:t>-</w:t>
            </w:r>
          </w:p>
        </w:tc>
        <w:tc>
          <w:tcPr>
            <w:tcW w:type="dxa" w:w="2517"/>
          </w:tcPr>
          <w:p>
            <w:pPr>
              <w:spacing w:after="40" w:line="240" w:lineRule="auto"/>
              <w:jc w:val="center"/>
            </w:pPr>
            <w:r/>
            <w:r>
              <w:rPr>
                <w:rFonts w:ascii="Times New Roman" w:hAnsi="Times New Roman"/>
                <w:sz w:val="19"/>
              </w:rPr>
              <w:t>405,545</w:t>
            </w:r>
          </w:p>
        </w:tc>
        <w:tc>
          <w:tcPr>
            <w:tcW w:type="dxa" w:w="1743"/>
          </w:tcPr>
          <w:p>
            <w:pPr>
              <w:spacing w:after="40" w:line="240" w:lineRule="auto"/>
              <w:jc w:val="center"/>
            </w:pPr>
            <w:r/>
            <w:r>
              <w:rPr>
                <w:rFonts w:ascii="Times New Roman" w:hAnsi="Times New Roman"/>
                <w:sz w:val="19"/>
              </w:rPr>
              <w:t>561 s</w:t>
            </w:r>
          </w:p>
        </w:tc>
      </w:tr>
    </w:tbl>
    <w:p>
      <w:pPr>
        <w:keepNext w:val="0"/>
        <w:spacing w:line="276" w:lineRule="auto" w:after="80"/>
        <w:jc w:val="both"/>
      </w:pPr>
    </w:p>
    <w:p>
      <w:pPr>
        <w:keepNext/>
        <w:spacing w:line="240" w:lineRule="auto" w:after="120"/>
        <w:jc w:val="left"/>
      </w:pPr>
      <w:r>
        <w:rPr>
          <w:rFonts w:ascii="Times New Roman" w:hAnsi="Times New Roman"/>
          <w:b/>
          <w:i/>
          <w:sz w:val="24"/>
        </w:rPr>
        <w:t>5.1.3 Baselines and Metrics</w:t>
      </w:r>
    </w:p>
    <w:p>
      <w:pPr>
        <w:keepNext w:val="0"/>
        <w:spacing w:line="276" w:lineRule="auto" w:after="120"/>
        <w:jc w:val="both"/>
      </w:pPr>
      <w:r>
        <w:rPr>
          <w:rFonts w:ascii="Times New Roman" w:hAnsi="Times New Roman"/>
          <w:b w:val="0"/>
          <w:i w:val="0"/>
          <w:sz w:val="24"/>
        </w:rPr>
        <w:t>Five comparison models are scored on exactly the same stock-days: naive persistence, which forecasts zero return; historical drift, the mean training return; Ridge regression on the same 32 features; a Random Forest trained on raw price levels; and a Random Forest classifier for next-day direction. Every model produces one forecast, which is then scored twice, once on the return and once on the price.</w:t>
      </w:r>
    </w:p>
    <w:p>
      <w:pPr>
        <w:keepNext w:val="0"/>
        <w:spacing w:line="276" w:lineRule="auto" w:after="120"/>
        <w:jc w:val="both"/>
      </w:pPr>
      <w:r>
        <w:rPr>
          <w:rFonts w:ascii="Times New Roman" w:hAnsi="Times New Roman"/>
          <w:b w:val="0"/>
          <w:i w:val="0"/>
          <w:sz w:val="24"/>
        </w:rPr>
        <w:t>Return-space metrics are the primary result: mean absolute and root mean squared error in basis points, out-of-sample R-squared against both a zero-return and a drift benchmark, the daily information coefficient and its rank and ratio variants, directional accuracy, and the standard deviation of the forecasts themselves against the realised figure. Price-space metrics follow for comparability. An economic view sorts each day's stocks into deciles of predicted return and measures what each decile actually returned, reporting the long-short spread gross and net of an assumed ten basis point round-trip cost.</w:t>
      </w:r>
    </w:p>
    <w:p>
      <w:pPr>
        <w:keepNext w:val="0"/>
        <w:spacing w:line="276" w:lineRule="auto" w:after="120"/>
        <w:jc w:val="both"/>
      </w:pPr>
      <w:r>
        <w:rPr>
          <w:rFonts w:ascii="Times New Roman" w:hAnsi="Times New Roman"/>
          <w:b w:val="0"/>
          <w:i w:val="0"/>
          <w:sz w:val="24"/>
        </w:rPr>
        <w:t>Two significance tests are applied throughout. A Diebold-Mariano test with Newey-West standard errors over five lags compares daily mean squared error against the relevant benchmark. A binomial test compares directional accuracy against the rule of always predicting the majority direction, which is the benchmark a directional claim must actually beat.</w:t>
      </w:r>
    </w:p>
    <w:p>
      <w:pPr>
        <w:keepNext/>
        <w:spacing w:line="240" w:lineRule="auto" w:after="120"/>
        <w:jc w:val="left"/>
      </w:pPr>
      <w:r>
        <w:rPr>
          <w:rFonts w:ascii="Times New Roman" w:hAnsi="Times New Roman"/>
          <w:b/>
          <w:i/>
          <w:sz w:val="24"/>
        </w:rPr>
        <w:t>5.1.4 Explanation Methods</w:t>
      </w:r>
    </w:p>
    <w:p>
      <w:pPr>
        <w:keepNext w:val="0"/>
        <w:spacing w:line="276" w:lineRule="auto" w:after="120"/>
        <w:jc w:val="both"/>
      </w:pPr>
      <w:r>
        <w:rPr>
          <w:rFonts w:ascii="Times New Roman" w:hAnsi="Times New Roman"/>
          <w:b w:val="0"/>
          <w:i w:val="0"/>
          <w:sz w:val="24"/>
        </w:rPr>
        <w:t>TreeSHAP is applied through shap.TreeExplainer. For tree ensembles it computes exact Shapley values in time polynomial in tree depth, and it is additive by construction: the base value plus the 32 attributions equals the forecast. That additivity is verified rather than assumed, and the maximum observed error is 2.6 times ten to the minus seventeen, which is floating-point noise. The sample is 40 random stocks per test day plus AAPL, MSFT, JPM, XOM and PFE on every day, giving 38,183 stock-days, each explained by the model belonging to its own year.</w:t>
      </w:r>
    </w:p>
    <w:p>
      <w:pPr>
        <w:keepNext w:val="0"/>
        <w:spacing w:line="276" w:lineRule="auto" w:after="120"/>
        <w:jc w:val="both"/>
      </w:pPr>
      <w:r>
        <w:rPr>
          <w:rFonts w:ascii="Times New Roman" w:hAnsi="Times New Roman"/>
          <w:b w:val="0"/>
          <w:i w:val="0"/>
          <w:sz w:val="24"/>
        </w:rPr>
        <w:t>LIME is applied through lime.lime_tabular.LimeTabularExplainer with its default settings: quartile discretisation, 5,000 perturbed samples per explanation, and a reference distribution of 5,000 training rows. The sample is 804 stock-days, 200 per test year plus the cases examined individually, and each is explained five times with five different random seeds so that run-to-run variability can be measured. Two further explainers are computed for comparison: permutation importance, the increase in test mean squared error when a feature is shuffled, over three repeats; and mean decrease in impurity, the forest's own built-in importance.</w:t>
      </w:r>
    </w:p>
    <w:p>
      <w:pPr>
        <w:keepNext/>
        <w:spacing w:line="240" w:lineRule="auto" w:after="120"/>
        <w:jc w:val="left"/>
      </w:pPr>
      <w:r>
        <w:rPr>
          <w:rFonts w:ascii="Times New Roman" w:hAnsi="Times New Roman"/>
          <w:b/>
          <w:i/>
          <w:sz w:val="24"/>
        </w:rPr>
        <w:t>5.1.5 The Reliability Audit</w:t>
      </w:r>
    </w:p>
    <w:p>
      <w:pPr>
        <w:keepNext/>
        <w:spacing w:line="240" w:lineRule="auto" w:after="200"/>
        <w:jc w:val="center"/>
      </w:pPr>
      <w:r>
        <w:rPr>
          <w:rFonts w:ascii="Times New Roman" w:hAnsi="Times New Roman"/>
          <w:b w:val="0"/>
          <w:i w:val="0"/>
          <w:sz w:val="20"/>
        </w:rPr>
        <w:t>Table 5.3  The five reliability checks and how each is measured</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1548"/>
        <w:gridCol w:w="4259"/>
        <w:gridCol w:w="3097"/>
      </w:tblGrid>
      <w:tr>
        <w:trPr>
          <w:cantSplit/>
          <w:tblHeader/>
        </w:trPr>
        <w:tc>
          <w:tcPr>
            <w:tcW w:type="dxa" w:w="1549"/>
            <w:shd w:val="clear" w:color="auto" w:fill="D9E2F3"/>
          </w:tcPr>
          <w:p>
            <w:pPr>
              <w:spacing w:after="40" w:line="240" w:lineRule="auto"/>
              <w:jc w:val="center"/>
            </w:pPr>
            <w:r/>
            <w:r>
              <w:rPr>
                <w:rFonts w:ascii="Times New Roman" w:hAnsi="Times New Roman"/>
                <w:b/>
                <w:sz w:val="19"/>
              </w:rPr>
              <w:t>Check</w:t>
            </w:r>
          </w:p>
        </w:tc>
        <w:tc>
          <w:tcPr>
            <w:tcW w:type="dxa" w:w="4260"/>
            <w:shd w:val="clear" w:color="auto" w:fill="D9E2F3"/>
          </w:tcPr>
          <w:p>
            <w:pPr>
              <w:spacing w:after="40" w:line="240" w:lineRule="auto"/>
              <w:jc w:val="center"/>
            </w:pPr>
            <w:r/>
            <w:r>
              <w:rPr>
                <w:rFonts w:ascii="Times New Roman" w:hAnsi="Times New Roman"/>
                <w:b/>
                <w:sz w:val="19"/>
              </w:rPr>
              <w:t>Applied to SHAP</w:t>
            </w:r>
          </w:p>
        </w:tc>
        <w:tc>
          <w:tcPr>
            <w:tcW w:type="dxa" w:w="3098"/>
            <w:shd w:val="clear" w:color="auto" w:fill="D9E2F3"/>
          </w:tcPr>
          <w:p>
            <w:pPr>
              <w:spacing w:after="40" w:line="240" w:lineRule="auto"/>
              <w:jc w:val="center"/>
            </w:pPr>
            <w:r/>
            <w:r>
              <w:rPr>
                <w:rFonts w:ascii="Times New Roman" w:hAnsi="Times New Roman"/>
                <w:b/>
                <w:sz w:val="19"/>
              </w:rPr>
              <w:t>Applied to LIME</w:t>
            </w:r>
          </w:p>
        </w:tc>
      </w:tr>
      <w:tr>
        <w:trPr>
          <w:cantSplit/>
        </w:trPr>
        <w:tc>
          <w:tcPr>
            <w:tcW w:type="dxa" w:w="1549"/>
          </w:tcPr>
          <w:p>
            <w:pPr>
              <w:spacing w:after="40" w:line="240" w:lineRule="auto"/>
              <w:jc w:val="left"/>
            </w:pPr>
            <w:r/>
            <w:r>
              <w:rPr>
                <w:rFonts w:ascii="Times New Roman" w:hAnsi="Times New Roman"/>
                <w:sz w:val="19"/>
              </w:rPr>
              <w:t>Faithfulness</w:t>
            </w:r>
          </w:p>
        </w:tc>
        <w:tc>
          <w:tcPr>
            <w:tcW w:type="dxa" w:w="4260"/>
          </w:tcPr>
          <w:p>
            <w:pPr>
              <w:spacing w:after="40" w:line="240" w:lineRule="auto"/>
              <w:jc w:val="center"/>
            </w:pPr>
            <w:r/>
            <w:r>
              <w:rPr>
                <w:rFonts w:ascii="Times New Roman" w:hAnsi="Times New Roman"/>
                <w:sz w:val="19"/>
              </w:rPr>
              <w:t>Replace the top k features by absolute SHAP with values from 32 random training rows, for k in 1, 2, 4, 8, 16, 32; compare against random order; report deletion curves, AOPC and fidelity</w:t>
            </w:r>
          </w:p>
        </w:tc>
        <w:tc>
          <w:tcPr>
            <w:tcW w:type="dxa" w:w="3098"/>
          </w:tcPr>
          <w:p>
            <w:pPr>
              <w:spacing w:after="40" w:line="240" w:lineRule="auto"/>
              <w:jc w:val="center"/>
            </w:pPr>
            <w:r/>
            <w:r>
              <w:rPr>
                <w:rFonts w:ascii="Times New Roman" w:hAnsi="Times New Roman"/>
                <w:sz w:val="19"/>
              </w:rPr>
              <w:t>The same deletion test, ordered by absolute LIME weight</w:t>
            </w:r>
          </w:p>
        </w:tc>
      </w:tr>
      <w:tr>
        <w:trPr>
          <w:cantSplit/>
        </w:trPr>
        <w:tc>
          <w:tcPr>
            <w:tcW w:type="dxa" w:w="1549"/>
          </w:tcPr>
          <w:p>
            <w:pPr>
              <w:spacing w:after="40" w:line="240" w:lineRule="auto"/>
              <w:jc w:val="left"/>
            </w:pPr>
            <w:r/>
            <w:r>
              <w:rPr>
                <w:rFonts w:ascii="Times New Roman" w:hAnsi="Times New Roman"/>
                <w:sz w:val="19"/>
              </w:rPr>
              <w:t>Stability</w:t>
            </w:r>
          </w:p>
        </w:tc>
        <w:tc>
          <w:tcPr>
            <w:tcW w:type="dxa" w:w="4260"/>
          </w:tcPr>
          <w:p>
            <w:pPr>
              <w:spacing w:after="40" w:line="240" w:lineRule="auto"/>
              <w:jc w:val="center"/>
            </w:pPr>
            <w:r/>
            <w:r>
              <w:rPr>
                <w:rFonts w:ascii="Times New Roman" w:hAnsi="Times New Roman"/>
                <w:sz w:val="19"/>
              </w:rPr>
              <w:t>Five random seeds on identical data, and four consecutive yearly retrains; global Kendall tau and per-row Spearman rho</w:t>
            </w:r>
          </w:p>
        </w:tc>
        <w:tc>
          <w:tcPr>
            <w:tcW w:type="dxa" w:w="3098"/>
          </w:tcPr>
          <w:p>
            <w:pPr>
              <w:spacing w:after="40" w:line="240" w:lineRule="auto"/>
              <w:jc w:val="center"/>
            </w:pPr>
            <w:r/>
            <w:r>
              <w:rPr>
                <w:rFonts w:ascii="Times New Roman" w:hAnsi="Times New Roman"/>
                <w:sz w:val="19"/>
              </w:rPr>
              <w:t>The same stock-day explained with five LIME seeds</w:t>
            </w:r>
          </w:p>
        </w:tc>
      </w:tr>
      <w:tr>
        <w:trPr>
          <w:cantSplit/>
        </w:trPr>
        <w:tc>
          <w:tcPr>
            <w:tcW w:type="dxa" w:w="1549"/>
          </w:tcPr>
          <w:p>
            <w:pPr>
              <w:spacing w:after="40" w:line="240" w:lineRule="auto"/>
              <w:jc w:val="left"/>
            </w:pPr>
            <w:r/>
            <w:r>
              <w:rPr>
                <w:rFonts w:ascii="Times New Roman" w:hAnsi="Times New Roman"/>
                <w:sz w:val="19"/>
              </w:rPr>
              <w:t>Local fit</w:t>
            </w:r>
          </w:p>
        </w:tc>
        <w:tc>
          <w:tcPr>
            <w:tcW w:type="dxa" w:w="4260"/>
          </w:tcPr>
          <w:p>
            <w:pPr>
              <w:spacing w:after="40" w:line="240" w:lineRule="auto"/>
              <w:jc w:val="center"/>
            </w:pPr>
            <w:r/>
            <w:r>
              <w:rPr>
                <w:rFonts w:ascii="Times New Roman" w:hAnsi="Times New Roman"/>
                <w:sz w:val="19"/>
              </w:rPr>
              <w:t>Exact by construction, through additivity</w:t>
            </w:r>
          </w:p>
        </w:tc>
        <w:tc>
          <w:tcPr>
            <w:tcW w:type="dxa" w:w="3098"/>
          </w:tcPr>
          <w:p>
            <w:pPr>
              <w:spacing w:after="40" w:line="240" w:lineRule="auto"/>
              <w:jc w:val="center"/>
            </w:pPr>
            <w:r/>
            <w:r>
              <w:rPr>
                <w:rFonts w:ascii="Times New Roman" w:hAnsi="Times New Roman"/>
                <w:sz w:val="19"/>
              </w:rPr>
              <w:t>R-squared of LIME's own linear surrogate on its perturbation sample</w:t>
            </w:r>
          </w:p>
        </w:tc>
      </w:tr>
      <w:tr>
        <w:trPr>
          <w:cantSplit/>
        </w:trPr>
        <w:tc>
          <w:tcPr>
            <w:tcW w:type="dxa" w:w="1549"/>
          </w:tcPr>
          <w:p>
            <w:pPr>
              <w:spacing w:after="40" w:line="240" w:lineRule="auto"/>
              <w:jc w:val="left"/>
            </w:pPr>
            <w:r/>
            <w:r>
              <w:rPr>
                <w:rFonts w:ascii="Times New Roman" w:hAnsi="Times New Roman"/>
                <w:sz w:val="19"/>
              </w:rPr>
              <w:t>Agreement</w:t>
            </w:r>
          </w:p>
        </w:tc>
        <w:tc>
          <w:tcPr>
            <w:tcW w:type="dxa" w:w="4260"/>
          </w:tcPr>
          <w:p>
            <w:pPr>
              <w:spacing w:after="40" w:line="240" w:lineRule="auto"/>
              <w:jc w:val="center"/>
            </w:pPr>
            <w:r/>
            <w:r>
              <w:rPr>
                <w:rFonts w:ascii="Times New Roman" w:hAnsi="Times New Roman"/>
                <w:sz w:val="19"/>
              </w:rPr>
              <w:t>Global Kendall tau among all four explainers; per-row Spearman rho, top-5 overlap, same top feature and sign agreement</w:t>
            </w:r>
          </w:p>
        </w:tc>
        <w:tc>
          <w:tcPr>
            <w:tcW w:type="dxa" w:w="3098"/>
          </w:tcPr>
          <w:p>
            <w:pPr>
              <w:spacing w:after="40" w:line="240" w:lineRule="auto"/>
              <w:jc w:val="center"/>
            </w:pPr>
            <w:r/>
            <w:r>
              <w:rPr>
                <w:rFonts w:ascii="Times New Roman" w:hAnsi="Times New Roman"/>
                <w:sz w:val="19"/>
              </w:rPr>
              <w:t>The same statistics</w:t>
            </w:r>
          </w:p>
        </w:tc>
      </w:tr>
      <w:tr>
        <w:trPr>
          <w:cantSplit/>
        </w:trPr>
        <w:tc>
          <w:tcPr>
            <w:tcW w:type="dxa" w:w="1549"/>
          </w:tcPr>
          <w:p>
            <w:pPr>
              <w:spacing w:after="40" w:line="240" w:lineRule="auto"/>
              <w:jc w:val="left"/>
            </w:pPr>
            <w:r/>
            <w:r>
              <w:rPr>
                <w:rFonts w:ascii="Times New Roman" w:hAnsi="Times New Roman"/>
                <w:sz w:val="19"/>
              </w:rPr>
              <w:t>Sanity</w:t>
            </w:r>
          </w:p>
        </w:tc>
        <w:tc>
          <w:tcPr>
            <w:tcW w:type="dxa" w:w="4260"/>
          </w:tcPr>
          <w:p>
            <w:pPr>
              <w:spacing w:after="40" w:line="240" w:lineRule="auto"/>
              <w:jc w:val="center"/>
            </w:pPr>
            <w:r/>
            <w:r>
              <w:rPr>
                <w:rFonts w:ascii="Times New Roman" w:hAnsi="Times New Roman"/>
                <w:sz w:val="19"/>
              </w:rPr>
              <w:t>Forests trained on fully shuffled labels, and on labels shuffled within each day, compared against the real model</w:t>
            </w:r>
          </w:p>
        </w:tc>
        <w:tc>
          <w:tcPr>
            <w:tcW w:type="dxa" w:w="3098"/>
          </w:tcPr>
          <w:p>
            <w:pPr>
              <w:spacing w:after="40" w:line="240" w:lineRule="auto"/>
              <w:jc w:val="center"/>
            </w:pPr>
            <w:r/>
            <w:r>
              <w:rPr>
                <w:rFonts w:ascii="Times New Roman" w:hAnsi="Times New Roman"/>
                <w:sz w:val="19"/>
              </w:rPr>
              <w:t>Not applicable</w:t>
            </w:r>
          </w:p>
        </w:tc>
      </w:tr>
      <w:tr>
        <w:trPr>
          <w:cantSplit/>
        </w:trPr>
        <w:tc>
          <w:tcPr>
            <w:tcW w:type="dxa" w:w="1549"/>
          </w:tcPr>
          <w:p>
            <w:pPr>
              <w:spacing w:after="40" w:line="240" w:lineRule="auto"/>
              <w:jc w:val="left"/>
            </w:pPr>
            <w:r/>
            <w:r>
              <w:rPr>
                <w:rFonts w:ascii="Times New Roman" w:hAnsi="Times New Roman"/>
                <w:sz w:val="19"/>
              </w:rPr>
              <w:t>Drift</w:t>
            </w:r>
          </w:p>
        </w:tc>
        <w:tc>
          <w:tcPr>
            <w:tcW w:type="dxa" w:w="4260"/>
          </w:tcPr>
          <w:p>
            <w:pPr>
              <w:spacing w:after="40" w:line="240" w:lineRule="auto"/>
              <w:jc w:val="center"/>
            </w:pPr>
            <w:r/>
            <w:r>
              <w:rPr>
                <w:rFonts w:ascii="Times New Roman" w:hAnsi="Times New Roman"/>
                <w:sz w:val="19"/>
              </w:rPr>
              <w:t>Mean pairwise total variation distance between family-share vectors, against a null from 1,000 permutations of whole days or whole stocks</w:t>
            </w:r>
          </w:p>
        </w:tc>
        <w:tc>
          <w:tcPr>
            <w:tcW w:type="dxa" w:w="3098"/>
          </w:tcPr>
          <w:p>
            <w:pPr>
              <w:spacing w:after="40" w:line="240" w:lineRule="auto"/>
              <w:jc w:val="center"/>
            </w:pPr>
            <w:r/>
            <w:r>
              <w:rPr>
                <w:rFonts w:ascii="Times New Roman" w:hAnsi="Times New Roman"/>
                <w:sz w:val="19"/>
              </w:rPr>
              <w:t>Not applicable</w:t>
            </w:r>
          </w:p>
        </w:tc>
      </w:tr>
    </w:tbl>
    <w:p>
      <w:pPr>
        <w:keepNext w:val="0"/>
        <w:spacing w:line="276" w:lineRule="auto" w:after="80"/>
        <w:jc w:val="both"/>
      </w:pPr>
    </w:p>
    <w:p>
      <w:pPr>
        <w:keepNext w:val="0"/>
        <w:spacing w:line="276" w:lineRule="auto" w:after="120"/>
        <w:jc w:val="both"/>
      </w:pPr>
      <w:r>
        <w:rPr>
          <w:rFonts w:ascii="Times New Roman" w:hAnsi="Times New Roman"/>
          <w:b w:val="0"/>
          <w:i w:val="0"/>
          <w:sz w:val="24"/>
        </w:rPr>
        <w:t>The four market regimes were fixed in advance from well-known market events, before any explanation was computed. This ordering matters: boundaries chosen after seeing which ones produced a significant result would make the drift test meaningless.</w:t>
      </w:r>
    </w:p>
    <w:p>
      <w:pPr>
        <w:keepNext/>
        <w:spacing w:line="240" w:lineRule="auto" w:after="200"/>
        <w:jc w:val="center"/>
      </w:pPr>
      <w:r>
        <w:rPr>
          <w:rFonts w:ascii="Times New Roman" w:hAnsi="Times New Roman"/>
          <w:b w:val="0"/>
          <w:i w:val="0"/>
          <w:sz w:val="20"/>
        </w:rPr>
        <w:t>Table 5.4  Market regimes, fixed in advance</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2071"/>
        <w:gridCol w:w="1657"/>
        <w:gridCol w:w="1657"/>
        <w:gridCol w:w="3521"/>
      </w:tblGrid>
      <w:tr>
        <w:trPr>
          <w:cantSplit/>
          <w:tblHeader/>
        </w:trPr>
        <w:tc>
          <w:tcPr>
            <w:tcW w:type="dxa" w:w="2071"/>
            <w:shd w:val="clear" w:color="auto" w:fill="D9E2F3"/>
          </w:tcPr>
          <w:p>
            <w:pPr>
              <w:spacing w:after="40" w:line="240" w:lineRule="auto"/>
              <w:jc w:val="center"/>
            </w:pPr>
            <w:r/>
            <w:r>
              <w:rPr>
                <w:rFonts w:ascii="Times New Roman" w:hAnsi="Times New Roman"/>
                <w:b/>
                <w:sz w:val="19"/>
              </w:rPr>
              <w:t>Regime</w:t>
            </w:r>
          </w:p>
        </w:tc>
        <w:tc>
          <w:tcPr>
            <w:tcW w:type="dxa" w:w="1657"/>
            <w:shd w:val="clear" w:color="auto" w:fill="D9E2F3"/>
          </w:tcPr>
          <w:p>
            <w:pPr>
              <w:spacing w:after="40" w:line="240" w:lineRule="auto"/>
              <w:jc w:val="center"/>
            </w:pPr>
            <w:r/>
            <w:r>
              <w:rPr>
                <w:rFonts w:ascii="Times New Roman" w:hAnsi="Times New Roman"/>
                <w:b/>
                <w:sz w:val="19"/>
              </w:rPr>
              <w:t>From</w:t>
            </w:r>
          </w:p>
        </w:tc>
        <w:tc>
          <w:tcPr>
            <w:tcW w:type="dxa" w:w="1657"/>
            <w:shd w:val="clear" w:color="auto" w:fill="D9E2F3"/>
          </w:tcPr>
          <w:p>
            <w:pPr>
              <w:spacing w:after="40" w:line="240" w:lineRule="auto"/>
              <w:jc w:val="center"/>
            </w:pPr>
            <w:r/>
            <w:r>
              <w:rPr>
                <w:rFonts w:ascii="Times New Roman" w:hAnsi="Times New Roman"/>
                <w:b/>
                <w:sz w:val="19"/>
              </w:rPr>
              <w:t>To</w:t>
            </w:r>
          </w:p>
        </w:tc>
        <w:tc>
          <w:tcPr>
            <w:tcW w:type="dxa" w:w="3521"/>
            <w:shd w:val="clear" w:color="auto" w:fill="D9E2F3"/>
          </w:tcPr>
          <w:p>
            <w:pPr>
              <w:spacing w:after="40" w:line="240" w:lineRule="auto"/>
              <w:jc w:val="center"/>
            </w:pPr>
            <w:r/>
            <w:r>
              <w:rPr>
                <w:rFonts w:ascii="Times New Roman" w:hAnsi="Times New Roman"/>
                <w:b/>
                <w:sz w:val="19"/>
              </w:rPr>
              <w:t>Character</w:t>
            </w:r>
          </w:p>
        </w:tc>
      </w:tr>
      <w:tr>
        <w:trPr>
          <w:cantSplit/>
        </w:trPr>
        <w:tc>
          <w:tcPr>
            <w:tcW w:type="dxa" w:w="2071"/>
          </w:tcPr>
          <w:p>
            <w:pPr>
              <w:spacing w:after="40" w:line="240" w:lineRule="auto"/>
              <w:jc w:val="left"/>
            </w:pPr>
            <w:r/>
            <w:r>
              <w:rPr>
                <w:rFonts w:ascii="Times New Roman" w:hAnsi="Times New Roman"/>
                <w:sz w:val="19"/>
              </w:rPr>
              <w:t>Pre-COVID bull</w:t>
            </w:r>
          </w:p>
        </w:tc>
        <w:tc>
          <w:tcPr>
            <w:tcW w:type="dxa" w:w="1657"/>
          </w:tcPr>
          <w:p>
            <w:pPr>
              <w:spacing w:after="40" w:line="240" w:lineRule="auto"/>
              <w:jc w:val="center"/>
            </w:pPr>
            <w:r/>
            <w:r>
              <w:rPr>
                <w:rFonts w:ascii="Times New Roman" w:hAnsi="Times New Roman"/>
                <w:sz w:val="19"/>
              </w:rPr>
              <w:t>1 Jan 2019</w:t>
            </w:r>
          </w:p>
        </w:tc>
        <w:tc>
          <w:tcPr>
            <w:tcW w:type="dxa" w:w="1657"/>
          </w:tcPr>
          <w:p>
            <w:pPr>
              <w:spacing w:after="40" w:line="240" w:lineRule="auto"/>
              <w:jc w:val="center"/>
            </w:pPr>
            <w:r/>
            <w:r>
              <w:rPr>
                <w:rFonts w:ascii="Times New Roman" w:hAnsi="Times New Roman"/>
                <w:sz w:val="19"/>
              </w:rPr>
              <w:t>19 Feb 2020</w:t>
            </w:r>
          </w:p>
        </w:tc>
        <w:tc>
          <w:tcPr>
            <w:tcW w:type="dxa" w:w="3521"/>
          </w:tcPr>
          <w:p>
            <w:pPr>
              <w:spacing w:after="40" w:line="240" w:lineRule="auto"/>
              <w:jc w:val="center"/>
            </w:pPr>
            <w:r/>
            <w:r>
              <w:rPr>
                <w:rFonts w:ascii="Times New Roman" w:hAnsi="Times New Roman"/>
                <w:sz w:val="19"/>
              </w:rPr>
              <w:t>Steady rise to the pre-pandemic peak</w:t>
            </w:r>
          </w:p>
        </w:tc>
      </w:tr>
      <w:tr>
        <w:trPr>
          <w:cantSplit/>
        </w:trPr>
        <w:tc>
          <w:tcPr>
            <w:tcW w:type="dxa" w:w="2071"/>
          </w:tcPr>
          <w:p>
            <w:pPr>
              <w:spacing w:after="40" w:line="240" w:lineRule="auto"/>
              <w:jc w:val="left"/>
            </w:pPr>
            <w:r/>
            <w:r>
              <w:rPr>
                <w:rFonts w:ascii="Times New Roman" w:hAnsi="Times New Roman"/>
                <w:sz w:val="19"/>
              </w:rPr>
              <w:t>COVID crash</w:t>
            </w:r>
          </w:p>
        </w:tc>
        <w:tc>
          <w:tcPr>
            <w:tcW w:type="dxa" w:w="1657"/>
          </w:tcPr>
          <w:p>
            <w:pPr>
              <w:spacing w:after="40" w:line="240" w:lineRule="auto"/>
              <w:jc w:val="center"/>
            </w:pPr>
            <w:r/>
            <w:r>
              <w:rPr>
                <w:rFonts w:ascii="Times New Roman" w:hAnsi="Times New Roman"/>
                <w:sz w:val="19"/>
              </w:rPr>
              <w:t>20 Feb 2020</w:t>
            </w:r>
          </w:p>
        </w:tc>
        <w:tc>
          <w:tcPr>
            <w:tcW w:type="dxa" w:w="1657"/>
          </w:tcPr>
          <w:p>
            <w:pPr>
              <w:spacing w:after="40" w:line="240" w:lineRule="auto"/>
              <w:jc w:val="center"/>
            </w:pPr>
            <w:r/>
            <w:r>
              <w:rPr>
                <w:rFonts w:ascii="Times New Roman" w:hAnsi="Times New Roman"/>
                <w:sz w:val="19"/>
              </w:rPr>
              <w:t>23 Mar 2020</w:t>
            </w:r>
          </w:p>
        </w:tc>
        <w:tc>
          <w:tcPr>
            <w:tcW w:type="dxa" w:w="3521"/>
          </w:tcPr>
          <w:p>
            <w:pPr>
              <w:spacing w:after="40" w:line="240" w:lineRule="auto"/>
              <w:jc w:val="center"/>
            </w:pPr>
            <w:r/>
            <w:r>
              <w:rPr>
                <w:rFonts w:ascii="Times New Roman" w:hAnsi="Times New Roman"/>
                <w:sz w:val="19"/>
              </w:rPr>
              <w:t>23 trading days, index down about a third</w:t>
            </w:r>
          </w:p>
        </w:tc>
      </w:tr>
      <w:tr>
        <w:trPr>
          <w:cantSplit/>
        </w:trPr>
        <w:tc>
          <w:tcPr>
            <w:tcW w:type="dxa" w:w="2071"/>
          </w:tcPr>
          <w:p>
            <w:pPr>
              <w:spacing w:after="40" w:line="240" w:lineRule="auto"/>
              <w:jc w:val="left"/>
            </w:pPr>
            <w:r/>
            <w:r>
              <w:rPr>
                <w:rFonts w:ascii="Times New Roman" w:hAnsi="Times New Roman"/>
                <w:sz w:val="19"/>
              </w:rPr>
              <w:t>Recovery</w:t>
            </w:r>
          </w:p>
        </w:tc>
        <w:tc>
          <w:tcPr>
            <w:tcW w:type="dxa" w:w="1657"/>
          </w:tcPr>
          <w:p>
            <w:pPr>
              <w:spacing w:after="40" w:line="240" w:lineRule="auto"/>
              <w:jc w:val="center"/>
            </w:pPr>
            <w:r/>
            <w:r>
              <w:rPr>
                <w:rFonts w:ascii="Times New Roman" w:hAnsi="Times New Roman"/>
                <w:sz w:val="19"/>
              </w:rPr>
              <w:t>24 Mar 2020</w:t>
            </w:r>
          </w:p>
        </w:tc>
        <w:tc>
          <w:tcPr>
            <w:tcW w:type="dxa" w:w="1657"/>
          </w:tcPr>
          <w:p>
            <w:pPr>
              <w:spacing w:after="40" w:line="240" w:lineRule="auto"/>
              <w:jc w:val="center"/>
            </w:pPr>
            <w:r/>
            <w:r>
              <w:rPr>
                <w:rFonts w:ascii="Times New Roman" w:hAnsi="Times New Roman"/>
                <w:sz w:val="19"/>
              </w:rPr>
              <w:t>31 Dec 2021</w:t>
            </w:r>
          </w:p>
        </w:tc>
        <w:tc>
          <w:tcPr>
            <w:tcW w:type="dxa" w:w="3521"/>
          </w:tcPr>
          <w:p>
            <w:pPr>
              <w:spacing w:after="40" w:line="240" w:lineRule="auto"/>
              <w:jc w:val="center"/>
            </w:pPr>
            <w:r/>
            <w:r>
              <w:rPr>
                <w:rFonts w:ascii="Times New Roman" w:hAnsi="Times New Roman"/>
                <w:sz w:val="19"/>
              </w:rPr>
              <w:t>Sustained rally to new highs</w:t>
            </w:r>
          </w:p>
        </w:tc>
      </w:tr>
      <w:tr>
        <w:trPr>
          <w:cantSplit/>
        </w:trPr>
        <w:tc>
          <w:tcPr>
            <w:tcW w:type="dxa" w:w="2071"/>
          </w:tcPr>
          <w:p>
            <w:pPr>
              <w:spacing w:after="40" w:line="240" w:lineRule="auto"/>
              <w:jc w:val="left"/>
            </w:pPr>
            <w:r/>
            <w:r>
              <w:rPr>
                <w:rFonts w:ascii="Times New Roman" w:hAnsi="Times New Roman"/>
                <w:sz w:val="19"/>
              </w:rPr>
              <w:t>2022 bear</w:t>
            </w:r>
          </w:p>
        </w:tc>
        <w:tc>
          <w:tcPr>
            <w:tcW w:type="dxa" w:w="1657"/>
          </w:tcPr>
          <w:p>
            <w:pPr>
              <w:spacing w:after="40" w:line="240" w:lineRule="auto"/>
              <w:jc w:val="center"/>
            </w:pPr>
            <w:r/>
            <w:r>
              <w:rPr>
                <w:rFonts w:ascii="Times New Roman" w:hAnsi="Times New Roman"/>
                <w:sz w:val="19"/>
              </w:rPr>
              <w:t>1 Jan 2022</w:t>
            </w:r>
          </w:p>
        </w:tc>
        <w:tc>
          <w:tcPr>
            <w:tcW w:type="dxa" w:w="1657"/>
          </w:tcPr>
          <w:p>
            <w:pPr>
              <w:spacing w:after="40" w:line="240" w:lineRule="auto"/>
              <w:jc w:val="center"/>
            </w:pPr>
            <w:r/>
            <w:r>
              <w:rPr>
                <w:rFonts w:ascii="Times New Roman" w:hAnsi="Times New Roman"/>
                <w:sz w:val="19"/>
              </w:rPr>
              <w:t>24 May 2022</w:t>
            </w:r>
          </w:p>
        </w:tc>
        <w:tc>
          <w:tcPr>
            <w:tcW w:type="dxa" w:w="3521"/>
          </w:tcPr>
          <w:p>
            <w:pPr>
              <w:spacing w:after="40" w:line="240" w:lineRule="auto"/>
              <w:jc w:val="center"/>
            </w:pPr>
            <w:r/>
            <w:r>
              <w:rPr>
                <w:rFonts w:ascii="Times New Roman" w:hAnsi="Times New Roman"/>
                <w:sz w:val="19"/>
              </w:rPr>
              <w:t>Rate-driven decline</w:t>
            </w:r>
          </w:p>
        </w:tc>
      </w:tr>
    </w:tbl>
    <w:p>
      <w:pPr>
        <w:keepNext w:val="0"/>
        <w:spacing w:line="276" w:lineRule="auto" w:after="80"/>
        <w:jc w:val="both"/>
      </w:pPr>
    </w:p>
    <w:p>
      <w:pPr>
        <w:keepNext/>
        <w:spacing w:line="240" w:lineRule="auto" w:after="160"/>
        <w:jc w:val="left"/>
      </w:pPr>
      <w:r>
        <w:rPr>
          <w:rFonts w:ascii="Times New Roman" w:hAnsi="Times New Roman"/>
          <w:b/>
          <w:i w:val="0"/>
          <w:sz w:val="26"/>
        </w:rPr>
        <w:t>5.2 Testing</w:t>
      </w:r>
    </w:p>
    <w:p>
      <w:pPr>
        <w:keepNext/>
        <w:spacing w:line="240" w:lineRule="auto" w:after="120"/>
        <w:jc w:val="left"/>
      </w:pPr>
      <w:r>
        <w:rPr>
          <w:rFonts w:ascii="Times New Roman" w:hAnsi="Times New Roman"/>
          <w:b/>
          <w:i/>
          <w:sz w:val="24"/>
        </w:rPr>
        <w:t>5.2.1 Acceptance Criteria</w:t>
      </w:r>
    </w:p>
    <w:p>
      <w:pPr>
        <w:keepNext w:val="0"/>
        <w:spacing w:line="276" w:lineRule="auto" w:after="120"/>
        <w:jc w:val="both"/>
      </w:pPr>
      <w:r>
        <w:rPr>
          <w:rFonts w:ascii="Times New Roman" w:hAnsi="Times New Roman"/>
          <w:b w:val="0"/>
          <w:i w:val="0"/>
          <w:sz w:val="24"/>
        </w:rPr>
        <w:t>Eleven acceptance criteria were defined before the results were produced. Each is either met or not, and the evidence is a committed artifact.</w:t>
      </w:r>
    </w:p>
    <w:p>
      <w:pPr>
        <w:keepNext/>
        <w:spacing w:line="240" w:lineRule="auto" w:after="200"/>
        <w:jc w:val="center"/>
      </w:pPr>
      <w:r>
        <w:rPr>
          <w:rFonts w:ascii="Times New Roman" w:hAnsi="Times New Roman"/>
          <w:b w:val="0"/>
          <w:i w:val="0"/>
          <w:sz w:val="20"/>
        </w:rPr>
        <w:t>Table 5.5  Acceptance criteria and outcomes</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774"/>
        <w:gridCol w:w="4453"/>
        <w:gridCol w:w="3678"/>
      </w:tblGrid>
      <w:tr>
        <w:trPr>
          <w:cantSplit/>
          <w:tblHeader/>
        </w:trPr>
        <w:tc>
          <w:tcPr>
            <w:tcW w:type="dxa" w:w="774"/>
            <w:shd w:val="clear" w:color="auto" w:fill="D9E2F3"/>
          </w:tcPr>
          <w:p>
            <w:pPr>
              <w:spacing w:after="40" w:line="240" w:lineRule="auto"/>
              <w:jc w:val="center"/>
            </w:pPr>
            <w:r/>
            <w:r>
              <w:rPr>
                <w:rFonts w:ascii="Times New Roman" w:hAnsi="Times New Roman"/>
                <w:b/>
                <w:sz w:val="19"/>
              </w:rPr>
              <w:t>ID</w:t>
            </w:r>
          </w:p>
        </w:tc>
        <w:tc>
          <w:tcPr>
            <w:tcW w:type="dxa" w:w="4453"/>
            <w:shd w:val="clear" w:color="auto" w:fill="D9E2F3"/>
          </w:tcPr>
          <w:p>
            <w:pPr>
              <w:spacing w:after="40" w:line="240" w:lineRule="auto"/>
              <w:jc w:val="center"/>
            </w:pPr>
            <w:r/>
            <w:r>
              <w:rPr>
                <w:rFonts w:ascii="Times New Roman" w:hAnsi="Times New Roman"/>
                <w:b/>
                <w:sz w:val="19"/>
              </w:rPr>
              <w:t>Criterion</w:t>
            </w:r>
          </w:p>
        </w:tc>
        <w:tc>
          <w:tcPr>
            <w:tcW w:type="dxa" w:w="3679"/>
            <w:shd w:val="clear" w:color="auto" w:fill="D9E2F3"/>
          </w:tcPr>
          <w:p>
            <w:pPr>
              <w:spacing w:after="40" w:line="240" w:lineRule="auto"/>
              <w:jc w:val="center"/>
            </w:pPr>
            <w:r/>
            <w:r>
              <w:rPr>
                <w:rFonts w:ascii="Times New Roman" w:hAnsi="Times New Roman"/>
                <w:b/>
                <w:sz w:val="19"/>
              </w:rPr>
              <w:t>Outcome</w:t>
            </w:r>
          </w:p>
        </w:tc>
      </w:tr>
      <w:tr>
        <w:trPr>
          <w:cantSplit/>
        </w:trPr>
        <w:tc>
          <w:tcPr>
            <w:tcW w:type="dxa" w:w="774"/>
          </w:tcPr>
          <w:p>
            <w:pPr>
              <w:spacing w:after="40" w:line="240" w:lineRule="auto"/>
              <w:jc w:val="left"/>
            </w:pPr>
            <w:r/>
            <w:r>
              <w:rPr>
                <w:rFonts w:ascii="Times New Roman" w:hAnsi="Times New Roman"/>
                <w:sz w:val="19"/>
              </w:rPr>
              <w:t>AC1</w:t>
            </w:r>
          </w:p>
        </w:tc>
        <w:tc>
          <w:tcPr>
            <w:tcW w:type="dxa" w:w="4453"/>
          </w:tcPr>
          <w:p>
            <w:pPr>
              <w:spacing w:after="40" w:line="240" w:lineRule="auto"/>
              <w:jc w:val="center"/>
            </w:pPr>
            <w:r/>
            <w:r>
              <w:rPr>
                <w:rFonts w:ascii="Times New Roman" w:hAnsi="Times New Roman"/>
                <w:sz w:val="19"/>
              </w:rPr>
              <w:t>Walk-forward forecasts exist for every test stock-day with no look-ahead</w:t>
            </w:r>
          </w:p>
        </w:tc>
        <w:tc>
          <w:tcPr>
            <w:tcW w:type="dxa" w:w="3679"/>
          </w:tcPr>
          <w:p>
            <w:pPr>
              <w:spacing w:after="40" w:line="240" w:lineRule="auto"/>
              <w:jc w:val="center"/>
            </w:pPr>
            <w:r/>
            <w:r>
              <w:rPr>
                <w:rFonts w:ascii="Times New Roman" w:hAnsi="Times New Roman"/>
                <w:sz w:val="19"/>
              </w:rPr>
              <w:t>Met: 405,545 forecasts</w:t>
            </w:r>
          </w:p>
        </w:tc>
      </w:tr>
      <w:tr>
        <w:trPr>
          <w:cantSplit/>
        </w:trPr>
        <w:tc>
          <w:tcPr>
            <w:tcW w:type="dxa" w:w="774"/>
          </w:tcPr>
          <w:p>
            <w:pPr>
              <w:spacing w:after="40" w:line="240" w:lineRule="auto"/>
              <w:jc w:val="left"/>
            </w:pPr>
            <w:r/>
            <w:r>
              <w:rPr>
                <w:rFonts w:ascii="Times New Roman" w:hAnsi="Times New Roman"/>
                <w:sz w:val="19"/>
              </w:rPr>
              <w:t>AC2</w:t>
            </w:r>
          </w:p>
        </w:tc>
        <w:tc>
          <w:tcPr>
            <w:tcW w:type="dxa" w:w="4453"/>
          </w:tcPr>
          <w:p>
            <w:pPr>
              <w:spacing w:after="40" w:line="240" w:lineRule="auto"/>
              <w:jc w:val="center"/>
            </w:pPr>
            <w:r/>
            <w:r>
              <w:rPr>
                <w:rFonts w:ascii="Times New Roman" w:hAnsi="Times New Roman"/>
                <w:sz w:val="19"/>
              </w:rPr>
              <w:t>Return-space and price-space results are both reported, return space first</w:t>
            </w:r>
          </w:p>
        </w:tc>
        <w:tc>
          <w:tcPr>
            <w:tcW w:type="dxa" w:w="3679"/>
          </w:tcPr>
          <w:p>
            <w:pPr>
              <w:spacing w:after="40" w:line="240" w:lineRule="auto"/>
              <w:jc w:val="center"/>
            </w:pPr>
            <w:r/>
            <w:r>
              <w:rPr>
                <w:rFonts w:ascii="Times New Roman" w:hAnsi="Times New Roman"/>
                <w:sz w:val="19"/>
              </w:rPr>
              <w:t>Met: Section 7.1</w:t>
            </w:r>
          </w:p>
        </w:tc>
      </w:tr>
      <w:tr>
        <w:trPr>
          <w:cantSplit/>
        </w:trPr>
        <w:tc>
          <w:tcPr>
            <w:tcW w:type="dxa" w:w="774"/>
          </w:tcPr>
          <w:p>
            <w:pPr>
              <w:spacing w:after="40" w:line="240" w:lineRule="auto"/>
              <w:jc w:val="left"/>
            </w:pPr>
            <w:r/>
            <w:r>
              <w:rPr>
                <w:rFonts w:ascii="Times New Roman" w:hAnsi="Times New Roman"/>
                <w:sz w:val="19"/>
              </w:rPr>
              <w:t>AC3</w:t>
            </w:r>
          </w:p>
        </w:tc>
        <w:tc>
          <w:tcPr>
            <w:tcW w:type="dxa" w:w="4453"/>
          </w:tcPr>
          <w:p>
            <w:pPr>
              <w:spacing w:after="40" w:line="240" w:lineRule="auto"/>
              <w:jc w:val="center"/>
            </w:pPr>
            <w:r/>
            <w:r>
              <w:rPr>
                <w:rFonts w:ascii="Times New Roman" w:hAnsi="Times New Roman"/>
                <w:sz w:val="19"/>
              </w:rPr>
              <w:t>Every accuracy claim carries a benchmark and a significance test</w:t>
            </w:r>
          </w:p>
        </w:tc>
        <w:tc>
          <w:tcPr>
            <w:tcW w:type="dxa" w:w="3679"/>
          </w:tcPr>
          <w:p>
            <w:pPr>
              <w:spacing w:after="40" w:line="240" w:lineRule="auto"/>
              <w:jc w:val="center"/>
            </w:pPr>
            <w:r/>
            <w:r>
              <w:rPr>
                <w:rFonts w:ascii="Times New Roman" w:hAnsi="Times New Roman"/>
                <w:sz w:val="19"/>
              </w:rPr>
              <w:t>Met: Diebold-Mariano and binomial throughout</w:t>
            </w:r>
          </w:p>
        </w:tc>
      </w:tr>
      <w:tr>
        <w:trPr>
          <w:cantSplit/>
        </w:trPr>
        <w:tc>
          <w:tcPr>
            <w:tcW w:type="dxa" w:w="774"/>
          </w:tcPr>
          <w:p>
            <w:pPr>
              <w:spacing w:after="40" w:line="240" w:lineRule="auto"/>
              <w:jc w:val="left"/>
            </w:pPr>
            <w:r/>
            <w:r>
              <w:rPr>
                <w:rFonts w:ascii="Times New Roman" w:hAnsi="Times New Roman"/>
                <w:sz w:val="19"/>
              </w:rPr>
              <w:t>AC4</w:t>
            </w:r>
          </w:p>
        </w:tc>
        <w:tc>
          <w:tcPr>
            <w:tcW w:type="dxa" w:w="4453"/>
          </w:tcPr>
          <w:p>
            <w:pPr>
              <w:spacing w:after="40" w:line="240" w:lineRule="auto"/>
              <w:jc w:val="center"/>
            </w:pPr>
            <w:r/>
            <w:r>
              <w:rPr>
                <w:rFonts w:ascii="Times New Roman" w:hAnsi="Times New Roman"/>
                <w:sz w:val="19"/>
              </w:rPr>
              <w:t>SHAP additivity error below 1e-15</w:t>
            </w:r>
          </w:p>
        </w:tc>
        <w:tc>
          <w:tcPr>
            <w:tcW w:type="dxa" w:w="3679"/>
          </w:tcPr>
          <w:p>
            <w:pPr>
              <w:spacing w:after="40" w:line="240" w:lineRule="auto"/>
              <w:jc w:val="center"/>
            </w:pPr>
            <w:r/>
            <w:r>
              <w:rPr>
                <w:rFonts w:ascii="Times New Roman" w:hAnsi="Times New Roman"/>
                <w:sz w:val="19"/>
              </w:rPr>
              <w:t>Met: maximum 2.6e-17</w:t>
            </w:r>
          </w:p>
        </w:tc>
      </w:tr>
      <w:tr>
        <w:trPr>
          <w:cantSplit/>
        </w:trPr>
        <w:tc>
          <w:tcPr>
            <w:tcW w:type="dxa" w:w="774"/>
          </w:tcPr>
          <w:p>
            <w:pPr>
              <w:spacing w:after="40" w:line="240" w:lineRule="auto"/>
              <w:jc w:val="left"/>
            </w:pPr>
            <w:r/>
            <w:r>
              <w:rPr>
                <w:rFonts w:ascii="Times New Roman" w:hAnsi="Times New Roman"/>
                <w:sz w:val="19"/>
              </w:rPr>
              <w:t>AC5</w:t>
            </w:r>
          </w:p>
        </w:tc>
        <w:tc>
          <w:tcPr>
            <w:tcW w:type="dxa" w:w="4453"/>
          </w:tcPr>
          <w:p>
            <w:pPr>
              <w:spacing w:after="40" w:line="240" w:lineRule="auto"/>
              <w:jc w:val="center"/>
            </w:pPr>
            <w:r/>
            <w:r>
              <w:rPr>
                <w:rFonts w:ascii="Times New Roman" w:hAnsi="Times New Roman"/>
                <w:sz w:val="19"/>
              </w:rPr>
              <w:t>Deletion of top-ranked features moves the forecast materially more than random deletion</w:t>
            </w:r>
          </w:p>
        </w:tc>
        <w:tc>
          <w:tcPr>
            <w:tcW w:type="dxa" w:w="3679"/>
          </w:tcPr>
          <w:p>
            <w:pPr>
              <w:spacing w:after="40" w:line="240" w:lineRule="auto"/>
              <w:jc w:val="center"/>
            </w:pPr>
            <w:r/>
            <w:r>
              <w:rPr>
                <w:rFonts w:ascii="Times New Roman" w:hAnsi="Times New Roman"/>
                <w:sz w:val="19"/>
              </w:rPr>
              <w:t>Met: 13.3 times at k = 1</w:t>
            </w:r>
          </w:p>
        </w:tc>
      </w:tr>
      <w:tr>
        <w:trPr>
          <w:cantSplit/>
        </w:trPr>
        <w:tc>
          <w:tcPr>
            <w:tcW w:type="dxa" w:w="774"/>
          </w:tcPr>
          <w:p>
            <w:pPr>
              <w:spacing w:after="40" w:line="240" w:lineRule="auto"/>
              <w:jc w:val="left"/>
            </w:pPr>
            <w:r/>
            <w:r>
              <w:rPr>
                <w:rFonts w:ascii="Times New Roman" w:hAnsi="Times New Roman"/>
                <w:sz w:val="19"/>
              </w:rPr>
              <w:t>AC6</w:t>
            </w:r>
          </w:p>
        </w:tc>
        <w:tc>
          <w:tcPr>
            <w:tcW w:type="dxa" w:w="4453"/>
          </w:tcPr>
          <w:p>
            <w:pPr>
              <w:spacing w:after="40" w:line="240" w:lineRule="auto"/>
              <w:jc w:val="center"/>
            </w:pPr>
            <w:r/>
            <w:r>
              <w:rPr>
                <w:rFonts w:ascii="Times New Roman" w:hAnsi="Times New Roman"/>
                <w:sz w:val="19"/>
              </w:rPr>
              <w:t>Stability and sanity are both quantified</w:t>
            </w:r>
          </w:p>
        </w:tc>
        <w:tc>
          <w:tcPr>
            <w:tcW w:type="dxa" w:w="3679"/>
          </w:tcPr>
          <w:p>
            <w:pPr>
              <w:spacing w:after="40" w:line="240" w:lineRule="auto"/>
              <w:jc w:val="center"/>
            </w:pPr>
            <w:r/>
            <w:r>
              <w:rPr>
                <w:rFonts w:ascii="Times New Roman" w:hAnsi="Times New Roman"/>
                <w:sz w:val="19"/>
              </w:rPr>
              <w:t>Met: tau 0.85 across seeds; tau 0.13 against a no-signal model</w:t>
            </w:r>
          </w:p>
        </w:tc>
      </w:tr>
      <w:tr>
        <w:trPr>
          <w:cantSplit/>
        </w:trPr>
        <w:tc>
          <w:tcPr>
            <w:tcW w:type="dxa" w:w="774"/>
          </w:tcPr>
          <w:p>
            <w:pPr>
              <w:spacing w:after="40" w:line="240" w:lineRule="auto"/>
              <w:jc w:val="left"/>
            </w:pPr>
            <w:r/>
            <w:r>
              <w:rPr>
                <w:rFonts w:ascii="Times New Roman" w:hAnsi="Times New Roman"/>
                <w:sz w:val="19"/>
              </w:rPr>
              <w:t>AC7</w:t>
            </w:r>
          </w:p>
        </w:tc>
        <w:tc>
          <w:tcPr>
            <w:tcW w:type="dxa" w:w="4453"/>
          </w:tcPr>
          <w:p>
            <w:pPr>
              <w:spacing w:after="40" w:line="240" w:lineRule="auto"/>
              <w:jc w:val="center"/>
            </w:pPr>
            <w:r/>
            <w:r>
              <w:rPr>
                <w:rFonts w:ascii="Times New Roman" w:hAnsi="Times New Roman"/>
                <w:sz w:val="19"/>
              </w:rPr>
              <w:t>Drift is tested statistically, not asserted</w:t>
            </w:r>
          </w:p>
        </w:tc>
        <w:tc>
          <w:tcPr>
            <w:tcW w:type="dxa" w:w="3679"/>
          </w:tcPr>
          <w:p>
            <w:pPr>
              <w:spacing w:after="40" w:line="240" w:lineRule="auto"/>
              <w:jc w:val="center"/>
            </w:pPr>
            <w:r/>
            <w:r>
              <w:rPr>
                <w:rFonts w:ascii="Times New Roman" w:hAnsi="Times New Roman"/>
                <w:sz w:val="19"/>
              </w:rPr>
              <w:t>Met: regimes p = 0.003, sectors p = 0.001</w:t>
            </w:r>
          </w:p>
        </w:tc>
      </w:tr>
      <w:tr>
        <w:trPr>
          <w:cantSplit/>
        </w:trPr>
        <w:tc>
          <w:tcPr>
            <w:tcW w:type="dxa" w:w="774"/>
          </w:tcPr>
          <w:p>
            <w:pPr>
              <w:spacing w:after="40" w:line="240" w:lineRule="auto"/>
              <w:jc w:val="left"/>
            </w:pPr>
            <w:r/>
            <w:r>
              <w:rPr>
                <w:rFonts w:ascii="Times New Roman" w:hAnsi="Times New Roman"/>
                <w:sz w:val="19"/>
              </w:rPr>
              <w:t>AC8</w:t>
            </w:r>
          </w:p>
        </w:tc>
        <w:tc>
          <w:tcPr>
            <w:tcW w:type="dxa" w:w="4453"/>
          </w:tcPr>
          <w:p>
            <w:pPr>
              <w:spacing w:after="40" w:line="240" w:lineRule="auto"/>
              <w:jc w:val="center"/>
            </w:pPr>
            <w:r/>
            <w:r>
              <w:rPr>
                <w:rFonts w:ascii="Times New Roman" w:hAnsi="Times New Roman"/>
                <w:sz w:val="19"/>
              </w:rPr>
              <w:t>The pipeline reproduces from a clean checkout</w:t>
            </w:r>
          </w:p>
        </w:tc>
        <w:tc>
          <w:tcPr>
            <w:tcW w:type="dxa" w:w="3679"/>
          </w:tcPr>
          <w:p>
            <w:pPr>
              <w:spacing w:after="40" w:line="240" w:lineRule="auto"/>
              <w:jc w:val="center"/>
            </w:pPr>
            <w:r/>
            <w:r>
              <w:rPr>
                <w:rFonts w:ascii="Times New Roman" w:hAnsi="Times New Roman"/>
                <w:sz w:val="19"/>
              </w:rPr>
              <w:t>Met: 12 documented steps</w:t>
            </w:r>
          </w:p>
        </w:tc>
      </w:tr>
      <w:tr>
        <w:trPr>
          <w:cantSplit/>
        </w:trPr>
        <w:tc>
          <w:tcPr>
            <w:tcW w:type="dxa" w:w="774"/>
          </w:tcPr>
          <w:p>
            <w:pPr>
              <w:spacing w:after="40" w:line="240" w:lineRule="auto"/>
              <w:jc w:val="left"/>
            </w:pPr>
            <w:r/>
            <w:r>
              <w:rPr>
                <w:rFonts w:ascii="Times New Roman" w:hAnsi="Times New Roman"/>
                <w:sz w:val="19"/>
              </w:rPr>
              <w:t>AC9</w:t>
            </w:r>
          </w:p>
        </w:tc>
        <w:tc>
          <w:tcPr>
            <w:tcW w:type="dxa" w:w="4453"/>
          </w:tcPr>
          <w:p>
            <w:pPr>
              <w:spacing w:after="40" w:line="240" w:lineRule="auto"/>
              <w:jc w:val="center"/>
            </w:pPr>
            <w:r/>
            <w:r>
              <w:rPr>
                <w:rFonts w:ascii="Times New Roman" w:hAnsi="Times New Roman"/>
                <w:sz w:val="19"/>
              </w:rPr>
              <w:t>Repeating a LIME explanation with the same seed returns identical weights</w:t>
            </w:r>
          </w:p>
        </w:tc>
        <w:tc>
          <w:tcPr>
            <w:tcW w:type="dxa" w:w="3679"/>
          </w:tcPr>
          <w:p>
            <w:pPr>
              <w:spacing w:after="40" w:line="240" w:lineRule="auto"/>
              <w:jc w:val="center"/>
            </w:pPr>
            <w:r/>
            <w:r>
              <w:rPr>
                <w:rFonts w:ascii="Times New Roman" w:hAnsi="Times New Roman"/>
                <w:sz w:val="19"/>
              </w:rPr>
              <w:t>Met after the defect in Section 5.3.3 was fixed; previously rho 0.46 to 0.53</w:t>
            </w:r>
          </w:p>
        </w:tc>
      </w:tr>
      <w:tr>
        <w:trPr>
          <w:cantSplit/>
        </w:trPr>
        <w:tc>
          <w:tcPr>
            <w:tcW w:type="dxa" w:w="774"/>
          </w:tcPr>
          <w:p>
            <w:pPr>
              <w:spacing w:after="40" w:line="240" w:lineRule="auto"/>
              <w:jc w:val="left"/>
            </w:pPr>
            <w:r/>
            <w:r>
              <w:rPr>
                <w:rFonts w:ascii="Times New Roman" w:hAnsi="Times New Roman"/>
                <w:sz w:val="19"/>
              </w:rPr>
              <w:t>AC10</w:t>
            </w:r>
          </w:p>
        </w:tc>
        <w:tc>
          <w:tcPr>
            <w:tcW w:type="dxa" w:w="4453"/>
          </w:tcPr>
          <w:p>
            <w:pPr>
              <w:spacing w:after="40" w:line="240" w:lineRule="auto"/>
              <w:jc w:val="center"/>
            </w:pPr>
            <w:r/>
            <w:r>
              <w:rPr>
                <w:rFonts w:ascii="Times New Roman" w:hAnsi="Times New Roman"/>
                <w:sz w:val="19"/>
              </w:rPr>
              <w:t>A single forecast can be explained and audited interactively</w:t>
            </w:r>
          </w:p>
        </w:tc>
        <w:tc>
          <w:tcPr>
            <w:tcW w:type="dxa" w:w="3679"/>
          </w:tcPr>
          <w:p>
            <w:pPr>
              <w:spacing w:after="40" w:line="240" w:lineRule="auto"/>
              <w:jc w:val="center"/>
            </w:pPr>
            <w:r/>
            <w:r>
              <w:rPr>
                <w:rFonts w:ascii="Times New Roman" w:hAnsi="Times New Roman"/>
                <w:sz w:val="19"/>
              </w:rPr>
              <w:t>Met: about 0.7 s per stock-day, nothing served from cache</w:t>
            </w:r>
          </w:p>
        </w:tc>
      </w:tr>
      <w:tr>
        <w:trPr>
          <w:cantSplit/>
        </w:trPr>
        <w:tc>
          <w:tcPr>
            <w:tcW w:type="dxa" w:w="774"/>
          </w:tcPr>
          <w:p>
            <w:pPr>
              <w:spacing w:after="40" w:line="240" w:lineRule="auto"/>
              <w:jc w:val="left"/>
            </w:pPr>
            <w:r/>
            <w:r>
              <w:rPr>
                <w:rFonts w:ascii="Times New Roman" w:hAnsi="Times New Roman"/>
                <w:sz w:val="19"/>
              </w:rPr>
              <w:t>AC11</w:t>
            </w:r>
          </w:p>
        </w:tc>
        <w:tc>
          <w:tcPr>
            <w:tcW w:type="dxa" w:w="4453"/>
          </w:tcPr>
          <w:p>
            <w:pPr>
              <w:spacing w:after="40" w:line="240" w:lineRule="auto"/>
              <w:jc w:val="center"/>
            </w:pPr>
            <w:r/>
            <w:r>
              <w:rPr>
                <w:rFonts w:ascii="Times New Roman" w:hAnsi="Times New Roman"/>
                <w:sz w:val="19"/>
              </w:rPr>
              <w:t>A forecast exists for a session that has not yet traded</w:t>
            </w:r>
          </w:p>
        </w:tc>
        <w:tc>
          <w:tcPr>
            <w:tcW w:type="dxa" w:w="3679"/>
          </w:tcPr>
          <w:p>
            <w:pPr>
              <w:spacing w:after="40" w:line="240" w:lineRule="auto"/>
              <w:jc w:val="center"/>
            </w:pPr>
            <w:r/>
            <w:r>
              <w:rPr>
                <w:rFonts w:ascii="Times New Roman" w:hAnsi="Times New Roman"/>
                <w:sz w:val="19"/>
              </w:rPr>
              <w:t>Met: 431 stocks, retrained on 1,473,486 stock-days, outcome fields blank</w:t>
            </w:r>
          </w:p>
        </w:tc>
      </w:tr>
    </w:tbl>
    <w:p>
      <w:pPr>
        <w:keepNext w:val="0"/>
        <w:spacing w:line="276" w:lineRule="auto" w:after="80"/>
        <w:jc w:val="both"/>
      </w:pPr>
    </w:p>
    <w:p>
      <w:pPr>
        <w:keepNext/>
        <w:spacing w:line="240" w:lineRule="auto" w:after="120"/>
        <w:jc w:val="left"/>
      </w:pPr>
      <w:r>
        <w:rPr>
          <w:rFonts w:ascii="Times New Roman" w:hAnsi="Times New Roman"/>
          <w:b/>
          <w:i/>
          <w:sz w:val="24"/>
        </w:rPr>
        <w:t>5.2.2 Correctness Checks Built Into the Pipeline</w:t>
      </w:r>
    </w:p>
    <w:p>
      <w:pPr>
        <w:keepNext w:val="0"/>
        <w:spacing w:line="276" w:lineRule="auto" w:after="120"/>
        <w:jc w:val="both"/>
      </w:pPr>
      <w:r>
        <w:rPr>
          <w:rFonts w:ascii="Times New Roman" w:hAnsi="Times New Roman"/>
          <w:b w:val="0"/>
          <w:i w:val="0"/>
          <w:sz w:val="24"/>
        </w:rPr>
        <w:t>Rather than a separate test suite, correctness is enforced by assertions and invariants at the points where an error would be silent and damaging.</w:t>
      </w:r>
    </w:p>
    <w:p>
      <w:pPr>
        <w:pStyle w:val="ListBullet"/>
        <w:spacing w:line="276" w:lineRule="auto" w:after="60"/>
        <w:jc w:val="both"/>
      </w:pPr>
      <w:r>
        <w:rPr>
          <w:rFonts w:ascii="Times New Roman" w:hAnsi="Times New Roman"/>
          <w:sz w:val="24"/>
        </w:rPr>
        <w:t>Price integrity. After cleaning, the day's high must be at least the maximum of open and close, and the low at most the minimum. This invariant is what exposed the twelve mis-adjusted tickers in the first place.</w:t>
      </w:r>
    </w:p>
    <w:p>
      <w:pPr>
        <w:pStyle w:val="ListBullet"/>
        <w:spacing w:line="276" w:lineRule="auto" w:after="60"/>
        <w:jc w:val="both"/>
      </w:pPr>
      <w:r>
        <w:rPr>
          <w:rFonts w:ascii="Times New Roman" w:hAnsi="Times New Roman"/>
          <w:sz w:val="24"/>
        </w:rPr>
        <w:t>SHAP additivity. The base value plus the 32 attributions is compared against the model's own prediction for every explained row, and the maximum deviation is reported in the run log.</w:t>
      </w:r>
    </w:p>
    <w:p>
      <w:pPr>
        <w:pStyle w:val="ListBullet"/>
        <w:spacing w:line="276" w:lineRule="auto" w:after="60"/>
        <w:jc w:val="both"/>
      </w:pPr>
      <w:r>
        <w:rPr>
          <w:rFonts w:ascii="Times New Roman" w:hAnsi="Times New Roman"/>
          <w:sz w:val="24"/>
        </w:rPr>
        <w:t>Leakage. Features are built on wide date-by-ticker tables where every shift is explicit, and the target is constructed by shifting the close backwards by one day, so a sign error would produce an implausibly high R-squared rather than a silent bias.</w:t>
      </w:r>
    </w:p>
    <w:p>
      <w:pPr>
        <w:pStyle w:val="ListBullet"/>
        <w:spacing w:line="276" w:lineRule="auto" w:after="60"/>
        <w:jc w:val="both"/>
      </w:pPr>
      <w:r>
        <w:rPr>
          <w:rFonts w:ascii="Times New Roman" w:hAnsi="Times New Roman"/>
          <w:sz w:val="24"/>
        </w:rPr>
        <w:t>Live forecasting. The live module asserts that the day being forecast has no known outcome. If the script is run while a session is still in progress the assertion fails and the run stops, rather than presenting a hindsight value as a forecast.</w:t>
      </w:r>
    </w:p>
    <w:p>
      <w:pPr>
        <w:pStyle w:val="ListBullet"/>
        <w:spacing w:line="276" w:lineRule="auto" w:after="60"/>
        <w:jc w:val="both"/>
      </w:pPr>
      <w:r>
        <w:rPr>
          <w:rFonts w:ascii="Times New Roman" w:hAnsi="Times New Roman"/>
          <w:sz w:val="24"/>
        </w:rPr>
        <w:t>Deletion control. The faithfulness test is always run against a random-order control on the same rows, so a result cannot be reported without its own null.</w:t>
      </w:r>
    </w:p>
    <w:p>
      <w:pPr>
        <w:keepNext/>
        <w:spacing w:line="240" w:lineRule="auto" w:after="120"/>
        <w:jc w:val="left"/>
      </w:pPr>
      <w:r>
        <w:rPr>
          <w:rFonts w:ascii="Times New Roman" w:hAnsi="Times New Roman"/>
          <w:b/>
          <w:i/>
          <w:sz w:val="24"/>
        </w:rPr>
        <w:t>5.2.3 A Defect Found by Testing: LIME Reproducibility</w:t>
      </w:r>
    </w:p>
    <w:p>
      <w:pPr>
        <w:keepNext w:val="0"/>
        <w:spacing w:line="276" w:lineRule="auto" w:after="120"/>
        <w:jc w:val="both"/>
      </w:pPr>
      <w:r>
        <w:rPr>
          <w:rFonts w:ascii="Times New Roman" w:hAnsi="Times New Roman"/>
          <w:b w:val="0"/>
          <w:i w:val="0"/>
          <w:sz w:val="24"/>
        </w:rPr>
        <w:t>Enforcing NFR1 uncovered a defect in the conventional way LIME is used. The natural pattern is to construct one LimeTabularExplainer and reassign its random_state attribute between runs. The class, however, binds its RandomState into the discretiser and into the surrogate solver at construction time, so reassignment controls only part of the sampling. The consequence is that repeats which were intended to be identical were not: the measured Spearman correlation between two runs with the same seed was 0.46 to 0.53, where it should have been exactly 1.000.</w:t>
      </w:r>
    </w:p>
    <w:p>
      <w:pPr>
        <w:spacing w:line="240" w:lineRule="auto" w:after="0"/>
        <w:ind w:left="454"/>
        <w:jc w:val="left"/>
      </w:pPr>
      <w:r>
        <w:rPr>
          <w:rFonts w:ascii="Consolas" w:hAnsi="Consolas"/>
          <w:sz w:val="16"/>
        </w:rPr>
        <w:t># Wrong: the explainer binds its RandomState at construction, so the same seed</w:t>
      </w:r>
    </w:p>
    <w:p>
      <w:pPr>
        <w:spacing w:line="240" w:lineRule="auto" w:after="0"/>
        <w:ind w:left="454"/>
        <w:jc w:val="left"/>
      </w:pPr>
      <w:r>
        <w:rPr>
          <w:rFonts w:ascii="Consolas" w:hAnsi="Consolas"/>
          <w:sz w:val="16"/>
        </w:rPr>
        <w:t># does not reproduce the same explanation.</w:t>
      </w:r>
    </w:p>
    <w:p>
      <w:pPr>
        <w:spacing w:line="240" w:lineRule="auto" w:after="0"/>
        <w:ind w:left="454"/>
        <w:jc w:val="left"/>
      </w:pPr>
      <w:r>
        <w:rPr>
          <w:rFonts w:ascii="Consolas" w:hAnsi="Consolas"/>
          <w:sz w:val="16"/>
        </w:rPr>
        <w:t>explainer.random_state = seed</w:t>
      </w:r>
    </w:p>
    <w:p>
      <w:pPr>
        <w:spacing w:line="240" w:lineRule="auto" w:after="0"/>
        <w:ind w:left="454"/>
        <w:jc w:val="left"/>
      </w:pPr>
      <w:r>
        <w:rPr>
          <w:rFonts w:ascii="Consolas" w:hAnsi="Consolas"/>
          <w:sz w:val="16"/>
        </w:rPr>
        <w:t>weights = explainer.explain_instance(x, predict).as_map()</w:t>
      </w:r>
    </w:p>
    <w:p>
      <w:pPr>
        <w:spacing w:line="240" w:lineRule="auto" w:after="0"/>
        <w:ind w:left="454"/>
        <w:jc w:val="left"/>
      </w:pPr>
      <w:r>
        <w:rPr>
          <w:rFonts w:ascii="Consolas" w:hAnsi="Consolas"/>
          <w:sz w:val="16"/>
        </w:rPr>
        <w:t xml:space="preserve"> </w:t>
      </w:r>
    </w:p>
    <w:p>
      <w:pPr>
        <w:spacing w:line="240" w:lineRule="auto" w:after="0"/>
        <w:ind w:left="454"/>
        <w:jc w:val="left"/>
      </w:pPr>
      <w:r>
        <w:rPr>
          <w:rFonts w:ascii="Consolas" w:hAnsi="Consolas"/>
          <w:sz w:val="16"/>
        </w:rPr>
        <w:t># Correct: build a fresh explainer per seed. Costs 18 ms; repeats are bit-identical.</w:t>
      </w:r>
    </w:p>
    <w:p>
      <w:pPr>
        <w:spacing w:line="240" w:lineRule="auto" w:after="0"/>
        <w:ind w:left="454"/>
        <w:jc w:val="left"/>
      </w:pPr>
      <w:r>
        <w:rPr>
          <w:rFonts w:ascii="Consolas" w:hAnsi="Consolas"/>
          <w:sz w:val="16"/>
        </w:rPr>
        <w:t>explainer = LimeTabularExplainer(reference, random_state=seed, ...)</w:t>
      </w:r>
    </w:p>
    <w:p>
      <w:pPr>
        <w:spacing w:line="240" w:lineRule="auto" w:after="0"/>
        <w:ind w:left="454"/>
        <w:jc w:val="left"/>
      </w:pPr>
      <w:r>
        <w:rPr>
          <w:rFonts w:ascii="Consolas" w:hAnsi="Consolas"/>
          <w:sz w:val="16"/>
        </w:rPr>
        <w:t>weights = explainer.explain_instance(x, predict).as_map()</w:t>
      </w:r>
    </w:p>
    <w:p>
      <w:pPr>
        <w:keepNext w:val="0"/>
        <w:spacing w:line="276" w:lineRule="auto" w:after="80"/>
        <w:jc w:val="both"/>
      </w:pPr>
    </w:p>
    <w:p>
      <w:pPr>
        <w:keepNext w:val="0"/>
        <w:spacing w:line="276" w:lineRule="auto" w:after="120"/>
        <w:jc w:val="both"/>
      </w:pPr>
      <w:r>
        <w:rPr>
          <w:rFonts w:ascii="Times New Roman" w:hAnsi="Times New Roman"/>
          <w:b w:val="0"/>
          <w:i w:val="0"/>
          <w:sz w:val="24"/>
        </w:rPr>
        <w:t>The defect mattered because it inflated a headline result. Before the fix the global agreement between TreeSHAP and LIME read Kendall tau 0.73; after it, tau 0.58. The higher figure was partly an artefact of LIME not being reproducible across runs that were supposed to be identical. A reliability study that does not audit its own tooling can report the inflated number without ever seeing the problem, which is itself a finding of this project.</w:t>
      </w:r>
    </w:p>
    <w:p>
      <w:pPr>
        <w:keepNext/>
        <w:pageBreakBefore/>
        <w:spacing w:line="360" w:lineRule="auto" w:after="200"/>
        <w:jc w:val="center"/>
      </w:pPr>
      <w:r>
        <w:rPr>
          <w:rFonts w:ascii="Times New Roman" w:hAnsi="Times New Roman"/>
          <w:b/>
          <w:i w:val="0"/>
          <w:sz w:val="28"/>
        </w:rPr>
        <w:t>CHAPTER 6</w:t>
      </w:r>
    </w:p>
    <w:p>
      <w:pPr>
        <w:keepNext/>
        <w:spacing w:line="360" w:lineRule="auto" w:after="320"/>
        <w:jc w:val="center"/>
      </w:pPr>
      <w:r>
        <w:rPr>
          <w:rFonts w:ascii="Times New Roman" w:hAnsi="Times New Roman"/>
          <w:b/>
          <w:i w:val="0"/>
          <w:sz w:val="28"/>
        </w:rPr>
        <w:t>6. PROJECT DEMONSTRATION</w:t>
      </w:r>
    </w:p>
    <w:p>
      <w:pPr>
        <w:keepNext w:val="0"/>
        <w:spacing w:line="276" w:lineRule="auto" w:after="120"/>
        <w:jc w:val="both"/>
      </w:pPr>
      <w:r>
        <w:rPr>
          <w:rFonts w:ascii="Times New Roman" w:hAnsi="Times New Roman"/>
          <w:b w:val="0"/>
          <w:i w:val="0"/>
          <w:sz w:val="24"/>
        </w:rPr>
        <w:t>Every number in Chapter 7 comes from forecasting days whose outcome is already known. That is not a weakness of the design; it is the only way a forecast can be scored. An out-of-sample R-squared of plus 0.00013 cannot be established unless 405,545 forecasts have been compared against what actually happened.</w:t>
      </w:r>
    </w:p>
    <w:p>
      <w:pPr>
        <w:keepNext w:val="0"/>
        <w:spacing w:line="276" w:lineRule="auto" w:after="120"/>
        <w:jc w:val="both"/>
      </w:pPr>
      <w:r>
        <w:rPr>
          <w:rFonts w:ascii="Times New Roman" w:hAnsi="Times New Roman"/>
          <w:b w:val="0"/>
          <w:i w:val="0"/>
          <w:sz w:val="24"/>
        </w:rPr>
        <w:t>It does leave one question open. Does the pipeline work on a day that has not yet happened? A backtest can be made to look good by construction, through a feature that leaks, a universe chosen after the fact, or hyperparameters tuned on the test period. Running the identical code forward on data that did not exist when the code was written removes all three possibilities at once. This chapter describes that demonstration.</w:t>
      </w:r>
    </w:p>
    <w:p>
      <w:pPr>
        <w:keepNext/>
        <w:spacing w:line="240" w:lineRule="auto" w:after="160"/>
        <w:jc w:val="left"/>
      </w:pPr>
      <w:r>
        <w:rPr>
          <w:rFonts w:ascii="Times New Roman" w:hAnsi="Times New Roman"/>
          <w:b/>
          <w:i w:val="0"/>
          <w:sz w:val="26"/>
        </w:rPr>
        <w:t>6.1 Live Forecasting</w:t>
      </w:r>
    </w:p>
    <w:p>
      <w:pPr>
        <w:keepNext w:val="0"/>
        <w:spacing w:line="276" w:lineRule="auto" w:after="120"/>
        <w:jc w:val="both"/>
      </w:pPr>
      <w:r>
        <w:rPr>
          <w:rFonts w:ascii="Times New Roman" w:hAnsi="Times New Roman"/>
          <w:b w:val="0"/>
          <w:i w:val="0"/>
          <w:sz w:val="24"/>
        </w:rPr>
        <w:t>The live module downloads current prices for the study's tickers from Yahoo Finance, rebuilds the 32 features by calling the same features.build function used in the study, retrains a Random Forest with the hyperparameters already selected, and forecasts the next trading session. The only substantive difference from the study path is one line: the study discards every row with a missing target, which necessarily throws away the most recent day, whereas the live path keeps it precisely because its outcome is unknown.</w:t>
      </w:r>
    </w:p>
    <w:p>
      <w:pPr>
        <w:spacing w:line="240" w:lineRule="auto" w:after="0"/>
        <w:ind w:left="454"/>
        <w:jc w:val="left"/>
      </w:pPr>
      <w:r>
        <w:rPr>
          <w:rFonts w:ascii="Consolas" w:hAnsi="Consolas"/>
          <w:sz w:val="16"/>
        </w:rPr>
        <w:t>df = df.dropna(subset=FEATURES + ["close"])   # NOT on the target: the last day has none</w:t>
      </w:r>
    </w:p>
    <w:p>
      <w:pPr>
        <w:spacing w:line="240" w:lineRule="auto" w:after="0"/>
        <w:ind w:left="454"/>
        <w:jc w:val="left"/>
      </w:pPr>
      <w:r>
        <w:rPr>
          <w:rFonts w:ascii="Consolas" w:hAnsi="Consolas"/>
          <w:sz w:val="16"/>
        </w:rPr>
        <w:t>train = df.dropna(subset=["target_ret"])      # train on every day with a known outcome</w:t>
      </w:r>
    </w:p>
    <w:p>
      <w:pPr>
        <w:spacing w:line="240" w:lineRule="auto" w:after="0"/>
        <w:ind w:left="454"/>
        <w:jc w:val="left"/>
      </w:pPr>
      <w:r>
        <w:rPr>
          <w:rFonts w:ascii="Consolas" w:hAnsi="Consolas"/>
          <w:sz w:val="16"/>
        </w:rPr>
        <w:t>live  = df[df.date == last_day].copy()        # forecast the one day with no outcome</w:t>
      </w:r>
    </w:p>
    <w:p>
      <w:pPr>
        <w:spacing w:line="240" w:lineRule="auto" w:after="0"/>
        <w:ind w:left="454"/>
        <w:jc w:val="left"/>
      </w:pPr>
      <w:r>
        <w:rPr>
          <w:rFonts w:ascii="Consolas" w:hAnsi="Consolas"/>
          <w:sz w:val="16"/>
        </w:rPr>
        <w:t>assert live.target_ret.isna().all(), "the last day already has a known outcome"</w:t>
      </w:r>
    </w:p>
    <w:p>
      <w:pPr>
        <w:keepNext w:val="0"/>
        <w:spacing w:line="276" w:lineRule="auto" w:after="80"/>
        <w:jc w:val="both"/>
      </w:pPr>
    </w:p>
    <w:p>
      <w:pPr>
        <w:keepNext w:val="0"/>
        <w:spacing w:line="276" w:lineRule="auto" w:after="120"/>
        <w:jc w:val="both"/>
      </w:pPr>
      <w:r>
        <w:rPr>
          <w:rFonts w:ascii="Times New Roman" w:hAnsi="Times New Roman"/>
          <w:b w:val="0"/>
          <w:i w:val="0"/>
          <w:sz w:val="24"/>
        </w:rPr>
        <w:t>The assertion guards against the most tempting error in a demonstration of this kind. If the script is run while a session is still in progress, the last available day already has an outcome, and the script stops rather than presenting a hindsight value as a forecast.</w:t>
      </w:r>
    </w:p>
    <w:p>
      <w:pPr>
        <w:keepNext/>
        <w:spacing w:line="240" w:lineRule="auto" w:after="200"/>
        <w:jc w:val="center"/>
      </w:pPr>
      <w:r>
        <w:rPr>
          <w:rFonts w:ascii="Times New Roman" w:hAnsi="Times New Roman"/>
          <w:b w:val="0"/>
          <w:i w:val="0"/>
          <w:sz w:val="20"/>
        </w:rPr>
        <w:t>Table 6.1  A representative live run, as of the close of 29 October 2026</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2823"/>
        <w:gridCol w:w="6082"/>
      </w:tblGrid>
      <w:tr>
        <w:trPr>
          <w:cantSplit/>
          <w:tblHeader/>
        </w:trPr>
        <w:tc>
          <w:tcPr>
            <w:tcW w:type="dxa" w:w="2824"/>
            <w:shd w:val="clear" w:color="auto" w:fill="D9E2F3"/>
          </w:tcPr>
          <w:p>
            <w:pPr>
              <w:spacing w:after="40" w:line="240" w:lineRule="auto"/>
              <w:jc w:val="center"/>
            </w:pPr>
            <w:r/>
            <w:r>
              <w:rPr>
                <w:rFonts w:ascii="Times New Roman" w:hAnsi="Times New Roman"/>
                <w:b/>
                <w:sz w:val="19"/>
              </w:rPr>
              <w:t>Quantity</w:t>
            </w:r>
          </w:p>
        </w:tc>
        <w:tc>
          <w:tcPr>
            <w:tcW w:type="dxa" w:w="6082"/>
            <w:shd w:val="clear" w:color="auto" w:fill="D9E2F3"/>
          </w:tcPr>
          <w:p>
            <w:pPr>
              <w:spacing w:after="40" w:line="240" w:lineRule="auto"/>
              <w:jc w:val="center"/>
            </w:pPr>
            <w:r/>
            <w:r>
              <w:rPr>
                <w:rFonts w:ascii="Times New Roman" w:hAnsi="Times New Roman"/>
                <w:b/>
                <w:sz w:val="19"/>
              </w:rPr>
              <w:t>Value</w:t>
            </w:r>
          </w:p>
        </w:tc>
      </w:tr>
      <w:tr>
        <w:trPr>
          <w:cantSplit/>
        </w:trPr>
        <w:tc>
          <w:tcPr>
            <w:tcW w:type="dxa" w:w="2824"/>
          </w:tcPr>
          <w:p>
            <w:pPr>
              <w:spacing w:after="40" w:line="240" w:lineRule="auto"/>
              <w:jc w:val="left"/>
            </w:pPr>
            <w:r/>
            <w:r>
              <w:rPr>
                <w:rFonts w:ascii="Times New Roman" w:hAnsi="Times New Roman"/>
                <w:sz w:val="19"/>
              </w:rPr>
              <w:t>Stocks forecast</w:t>
            </w:r>
          </w:p>
        </w:tc>
        <w:tc>
          <w:tcPr>
            <w:tcW w:type="dxa" w:w="6082"/>
          </w:tcPr>
          <w:p>
            <w:pPr>
              <w:spacing w:after="40" w:line="240" w:lineRule="auto"/>
              <w:jc w:val="center"/>
            </w:pPr>
            <w:r/>
            <w:r>
              <w:rPr>
                <w:rFonts w:ascii="Times New Roman" w:hAnsi="Times New Roman"/>
                <w:sz w:val="19"/>
              </w:rPr>
              <w:t>431</w:t>
            </w:r>
          </w:p>
        </w:tc>
      </w:tr>
      <w:tr>
        <w:trPr>
          <w:cantSplit/>
        </w:trPr>
        <w:tc>
          <w:tcPr>
            <w:tcW w:type="dxa" w:w="2824"/>
          </w:tcPr>
          <w:p>
            <w:pPr>
              <w:spacing w:after="40" w:line="240" w:lineRule="auto"/>
              <w:jc w:val="left"/>
            </w:pPr>
            <w:r/>
            <w:r>
              <w:rPr>
                <w:rFonts w:ascii="Times New Roman" w:hAnsi="Times New Roman"/>
                <w:sz w:val="19"/>
              </w:rPr>
              <w:t>Training rows</w:t>
            </w:r>
          </w:p>
        </w:tc>
        <w:tc>
          <w:tcPr>
            <w:tcW w:type="dxa" w:w="6082"/>
          </w:tcPr>
          <w:p>
            <w:pPr>
              <w:spacing w:after="40" w:line="240" w:lineRule="auto"/>
              <w:jc w:val="center"/>
            </w:pPr>
            <w:r/>
            <w:r>
              <w:rPr>
                <w:rFonts w:ascii="Times New Roman" w:hAnsi="Times New Roman"/>
                <w:sz w:val="19"/>
              </w:rPr>
              <w:t>1,473,486 stock-days, through 28 October 2026</w:t>
            </w:r>
          </w:p>
        </w:tc>
      </w:tr>
      <w:tr>
        <w:trPr>
          <w:cantSplit/>
        </w:trPr>
        <w:tc>
          <w:tcPr>
            <w:tcW w:type="dxa" w:w="2824"/>
          </w:tcPr>
          <w:p>
            <w:pPr>
              <w:spacing w:after="40" w:line="240" w:lineRule="auto"/>
              <w:jc w:val="left"/>
            </w:pPr>
            <w:r/>
            <w:r>
              <w:rPr>
                <w:rFonts w:ascii="Times New Roman" w:hAnsi="Times New Roman"/>
                <w:sz w:val="19"/>
              </w:rPr>
              <w:t>Hyperparameters</w:t>
            </w:r>
          </w:p>
        </w:tc>
        <w:tc>
          <w:tcPr>
            <w:tcW w:type="dxa" w:w="6082"/>
          </w:tcPr>
          <w:p>
            <w:pPr>
              <w:spacing w:after="40" w:line="240" w:lineRule="auto"/>
              <w:jc w:val="center"/>
            </w:pPr>
            <w:r/>
            <w:r>
              <w:rPr>
                <w:rFonts w:ascii="Times New Roman" w:hAnsi="Times New Roman"/>
                <w:sz w:val="19"/>
              </w:rPr>
              <w:t>Unchanged from the study: 300 trees, leaf 5,000, feature fraction 0.3</w:t>
            </w:r>
          </w:p>
        </w:tc>
      </w:tr>
      <w:tr>
        <w:trPr>
          <w:cantSplit/>
        </w:trPr>
        <w:tc>
          <w:tcPr>
            <w:tcW w:type="dxa" w:w="2824"/>
          </w:tcPr>
          <w:p>
            <w:pPr>
              <w:spacing w:after="40" w:line="240" w:lineRule="auto"/>
              <w:jc w:val="left"/>
            </w:pPr>
            <w:r/>
            <w:r>
              <w:rPr>
                <w:rFonts w:ascii="Times New Roman" w:hAnsi="Times New Roman"/>
                <w:sz w:val="19"/>
              </w:rPr>
              <w:t>Price source</w:t>
            </w:r>
          </w:p>
        </w:tc>
        <w:tc>
          <w:tcPr>
            <w:tcW w:type="dxa" w:w="6082"/>
          </w:tcPr>
          <w:p>
            <w:pPr>
              <w:spacing w:after="40" w:line="240" w:lineRule="auto"/>
              <w:jc w:val="center"/>
            </w:pPr>
            <w:r/>
            <w:r>
              <w:rPr>
                <w:rFonts w:ascii="Times New Roman" w:hAnsi="Times New Roman"/>
                <w:sz w:val="19"/>
              </w:rPr>
              <w:t>Yahoo Finance via yfinance, split- and dividend-adjusted</w:t>
            </w:r>
          </w:p>
        </w:tc>
      </w:tr>
      <w:tr>
        <w:trPr>
          <w:cantSplit/>
        </w:trPr>
        <w:tc>
          <w:tcPr>
            <w:tcW w:type="dxa" w:w="2824"/>
          </w:tcPr>
          <w:p>
            <w:pPr>
              <w:spacing w:after="40" w:line="240" w:lineRule="auto"/>
              <w:jc w:val="left"/>
            </w:pPr>
            <w:r/>
            <w:r>
              <w:rPr>
                <w:rFonts w:ascii="Times New Roman" w:hAnsi="Times New Roman"/>
                <w:sz w:val="19"/>
              </w:rPr>
              <w:t>Tickers no longer trading</w:t>
            </w:r>
          </w:p>
        </w:tc>
        <w:tc>
          <w:tcPr>
            <w:tcW w:type="dxa" w:w="6082"/>
          </w:tcPr>
          <w:p>
            <w:pPr>
              <w:spacing w:after="40" w:line="240" w:lineRule="auto"/>
              <w:jc w:val="center"/>
            </w:pPr>
            <w:r/>
            <w:r>
              <w:rPr>
                <w:rFonts w:ascii="Times New Roman" w:hAnsi="Times New Roman"/>
                <w:sz w:val="19"/>
              </w:rPr>
              <w:t>43 of the original 474</w:t>
            </w:r>
          </w:p>
        </w:tc>
      </w:tr>
    </w:tbl>
    <w:p>
      <w:pPr>
        <w:keepNext w:val="0"/>
        <w:spacing w:line="276" w:lineRule="auto" w:after="80"/>
        <w:jc w:val="both"/>
      </w:pPr>
    </w:p>
    <w:p>
      <w:pPr>
        <w:keepNext w:val="0"/>
        <w:spacing w:line="276" w:lineRule="auto" w:after="120"/>
        <w:jc w:val="both"/>
      </w:pPr>
      <w:r>
        <w:rPr>
          <w:rFonts w:ascii="Times New Roman" w:hAnsi="Times New Roman"/>
          <w:b w:val="0"/>
          <w:i w:val="0"/>
          <w:sz w:val="24"/>
        </w:rPr>
        <w:t>Three caveats are reported by the system itself rather than left to the reader. Forty-three of the original tickers have been acquired, merged or delisted, so the live universe is smaller than the study universe and the market-context features are computed over the survivors. That is survivorship bias made visible rather than hidden. The prices come from a different vendor than the study panel; both are adjusted, but they are not the same series. And nothing in the live output is scored, because the outcome does not exist yet: the live mode demonstrates that the mechanism runs forward, not that it is accurate.</w:t>
      </w:r>
    </w:p>
    <w:p>
      <w:pPr>
        <w:keepNext/>
        <w:spacing w:line="240" w:lineRule="auto" w:after="160"/>
        <w:jc w:val="left"/>
      </w:pPr>
      <w:r>
        <w:rPr>
          <w:rFonts w:ascii="Times New Roman" w:hAnsi="Times New Roman"/>
          <w:b/>
          <w:i w:val="0"/>
          <w:sz w:val="26"/>
        </w:rPr>
        <w:t>6.2 The Interactive Demonstration</w:t>
      </w:r>
    </w:p>
    <w:p>
      <w:pPr>
        <w:keepNext w:val="0"/>
        <w:spacing w:line="276" w:lineRule="auto" w:after="120"/>
        <w:jc w:val="both"/>
      </w:pPr>
      <w:r>
        <w:rPr>
          <w:rFonts w:ascii="Times New Roman" w:hAnsi="Times New Roman"/>
          <w:b w:val="0"/>
          <w:i w:val="0"/>
          <w:sz w:val="24"/>
        </w:rPr>
        <w:t>The serving module presents a single page from the Python standard library's threading HTTP server. It loads the four walk-forward models, a TreeSHAP explainer for each, the LIME reference samples, the cleaned price history and, when present, the live forecast and its retrained model.</w:t>
      </w:r>
    </w:p>
    <w:p>
      <w:pPr>
        <w:keepNext/>
        <w:spacing w:line="240" w:lineRule="auto" w:after="200"/>
        <w:jc w:val="center"/>
      </w:pPr>
      <w:r>
        <w:rPr>
          <w:rFonts w:ascii="Times New Roman" w:hAnsi="Times New Roman"/>
          <w:b w:val="0"/>
          <w:i w:val="0"/>
          <w:sz w:val="20"/>
        </w:rPr>
        <w:t>Table 6.2  Endpoints exposed by the demonstration</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3692"/>
        <w:gridCol w:w="5213"/>
      </w:tblGrid>
      <w:tr>
        <w:trPr>
          <w:cantSplit/>
          <w:tblHeader/>
        </w:trPr>
        <w:tc>
          <w:tcPr>
            <w:tcW w:type="dxa" w:w="3693"/>
            <w:shd w:val="clear" w:color="auto" w:fill="D9E2F3"/>
          </w:tcPr>
          <w:p>
            <w:pPr>
              <w:spacing w:after="40" w:line="240" w:lineRule="auto"/>
              <w:jc w:val="center"/>
            </w:pPr>
            <w:r/>
            <w:r>
              <w:rPr>
                <w:rFonts w:ascii="Times New Roman" w:hAnsi="Times New Roman"/>
                <w:b/>
                <w:sz w:val="19"/>
              </w:rPr>
              <w:t>Endpoint</w:t>
            </w:r>
          </w:p>
        </w:tc>
        <w:tc>
          <w:tcPr>
            <w:tcW w:type="dxa" w:w="5214"/>
            <w:shd w:val="clear" w:color="auto" w:fill="D9E2F3"/>
          </w:tcPr>
          <w:p>
            <w:pPr>
              <w:spacing w:after="40" w:line="240" w:lineRule="auto"/>
              <w:jc w:val="center"/>
            </w:pPr>
            <w:r/>
            <w:r>
              <w:rPr>
                <w:rFonts w:ascii="Times New Roman" w:hAnsi="Times New Roman"/>
                <w:b/>
                <w:sz w:val="19"/>
              </w:rPr>
              <w:t>Returns</w:t>
            </w:r>
          </w:p>
        </w:tc>
      </w:tr>
      <w:tr>
        <w:trPr>
          <w:cantSplit/>
        </w:trPr>
        <w:tc>
          <w:tcPr>
            <w:tcW w:type="dxa" w:w="3693"/>
          </w:tcPr>
          <w:p>
            <w:pPr>
              <w:spacing w:after="40" w:line="240" w:lineRule="auto"/>
              <w:jc w:val="left"/>
            </w:pPr>
            <w:r/>
            <w:r>
              <w:rPr>
                <w:rFonts w:ascii="Times New Roman" w:hAnsi="Times New Roman"/>
                <w:sz w:val="19"/>
              </w:rPr>
              <w:t>GET /api/meta</w:t>
            </w:r>
          </w:p>
        </w:tc>
        <w:tc>
          <w:tcPr>
            <w:tcW w:type="dxa" w:w="5214"/>
          </w:tcPr>
          <w:p>
            <w:pPr>
              <w:spacing w:after="40" w:line="240" w:lineRule="auto"/>
              <w:jc w:val="center"/>
            </w:pPr>
            <w:r/>
            <w:r>
              <w:rPr>
                <w:rFonts w:ascii="Times New Roman" w:hAnsi="Times New Roman"/>
                <w:sz w:val="19"/>
              </w:rPr>
              <w:t>Ticker list, date range, suggested cases, live metadata</w:t>
            </w:r>
          </w:p>
        </w:tc>
      </w:tr>
      <w:tr>
        <w:trPr>
          <w:cantSplit/>
        </w:trPr>
        <w:tc>
          <w:tcPr>
            <w:tcW w:type="dxa" w:w="3693"/>
          </w:tcPr>
          <w:p>
            <w:pPr>
              <w:spacing w:after="40" w:line="240" w:lineRule="auto"/>
              <w:jc w:val="left"/>
            </w:pPr>
            <w:r/>
            <w:r>
              <w:rPr>
                <w:rFonts w:ascii="Times New Roman" w:hAnsi="Times New Roman"/>
                <w:sz w:val="19"/>
              </w:rPr>
              <w:t>GET /api/dates?ticker=...</w:t>
            </w:r>
          </w:p>
        </w:tc>
        <w:tc>
          <w:tcPr>
            <w:tcW w:type="dxa" w:w="5214"/>
          </w:tcPr>
          <w:p>
            <w:pPr>
              <w:spacing w:after="40" w:line="240" w:lineRule="auto"/>
              <w:jc w:val="center"/>
            </w:pPr>
            <w:r/>
            <w:r>
              <w:rPr>
                <w:rFonts w:ascii="Times New Roman" w:hAnsi="Times New Roman"/>
                <w:sz w:val="19"/>
              </w:rPr>
              <w:t>The dates on which that stock can be explained</w:t>
            </w:r>
          </w:p>
        </w:tc>
      </w:tr>
      <w:tr>
        <w:trPr>
          <w:cantSplit/>
        </w:trPr>
        <w:tc>
          <w:tcPr>
            <w:tcW w:type="dxa" w:w="3693"/>
          </w:tcPr>
          <w:p>
            <w:pPr>
              <w:spacing w:after="40" w:line="240" w:lineRule="auto"/>
              <w:jc w:val="left"/>
            </w:pPr>
            <w:r/>
            <w:r>
              <w:rPr>
                <w:rFonts w:ascii="Times New Roman" w:hAnsi="Times New Roman"/>
                <w:sz w:val="19"/>
              </w:rPr>
              <w:t>GET /api/explain?ticker=...&amp;date=...</w:t>
            </w:r>
          </w:p>
        </w:tc>
        <w:tc>
          <w:tcPr>
            <w:tcW w:type="dxa" w:w="5214"/>
          </w:tcPr>
          <w:p>
            <w:pPr>
              <w:spacing w:after="40" w:line="240" w:lineRule="auto"/>
              <w:jc w:val="center"/>
            </w:pPr>
            <w:r/>
            <w:r>
              <w:rPr>
                <w:rFonts w:ascii="Times New Roman" w:hAnsi="Times New Roman"/>
                <w:sz w:val="19"/>
              </w:rPr>
              <w:t>Forecast, SHAP attributions, five LIME runs, agreement statistics, faithfulness probe</w:t>
            </w:r>
          </w:p>
        </w:tc>
      </w:tr>
    </w:tbl>
    <w:p>
      <w:pPr>
        <w:keepNext w:val="0"/>
        <w:spacing w:line="276" w:lineRule="auto" w:after="80"/>
        <w:jc w:val="both"/>
      </w:pPr>
    </w:p>
    <w:p>
      <w:pPr>
        <w:keepNext w:val="0"/>
        <w:spacing w:line="276" w:lineRule="auto" w:after="120"/>
        <w:jc w:val="both"/>
      </w:pPr>
      <w:r>
        <w:rPr>
          <w:rFonts w:ascii="Times New Roman" w:hAnsi="Times New Roman"/>
          <w:b w:val="0"/>
          <w:i w:val="0"/>
          <w:sz w:val="24"/>
        </w:rPr>
        <w:t>Two design decisions carry the credibility of the demonstration. Nothing is served from a cached result file: each request runs TreeSHAP once and LIME five times, on the saved model, at request time, so the page shows what the pipeline produces rather than a transcription of the results chapter. And the live and historical paths share one function, which differs between the two modes only in which model and which feature row it selects. The TreeSHAP call, the five LIME runs, the agreement statistics and the faithfulness probe are the same lines of code in both cases, so the demonstration cannot drift into being a more flattering version of the study.</w:t>
      </w:r>
    </w:p>
    <w:p>
      <w:pPr>
        <w:keepNext/>
        <w:spacing w:line="240" w:lineRule="auto" w:after="160"/>
        <w:jc w:val="left"/>
      </w:pPr>
      <w:r>
        <w:rPr>
          <w:rFonts w:ascii="Times New Roman" w:hAnsi="Times New Roman"/>
          <w:b/>
          <w:i w:val="0"/>
          <w:sz w:val="26"/>
        </w:rPr>
        <w:t>6.3 Input and Output</w:t>
      </w:r>
    </w:p>
    <w:p>
      <w:pPr>
        <w:keepNext w:val="0"/>
        <w:spacing w:line="276" w:lineRule="auto" w:after="120"/>
        <w:jc w:val="both"/>
      </w:pPr>
      <w:r>
        <w:rPr>
          <w:rFonts w:ascii="Times New Roman" w:hAnsi="Times New Roman"/>
          <w:b w:val="0"/>
          <w:i w:val="0"/>
          <w:sz w:val="24"/>
        </w:rPr>
        <w:t>The user supplies two values: a stock, from 474 in historical mode or 431 in live mode, and either a trading day between 2 January 2019 and 24 May 2022 or the next session. The page returns seven things.</w:t>
      </w:r>
    </w:p>
    <w:p>
      <w:pPr>
        <w:spacing w:line="276" w:lineRule="auto" w:after="60"/>
        <w:ind w:left="567" w:hanging="567"/>
        <w:jc w:val="both"/>
      </w:pPr>
      <w:r>
        <w:rPr>
          <w:rFonts w:ascii="Times New Roman" w:hAnsi="Times New Roman"/>
          <w:sz w:val="24"/>
        </w:rPr>
        <w:t>1.</w:t>
        <w:tab/>
        <w:t>The forecast. Predicted next-day return in basis points, the implied close in dollars, and the classifier's probability that the day is up. In historical mode the realised return and close appear beside it, with the direction marked correct or incorrect.</w:t>
      </w:r>
    </w:p>
    <w:p>
      <w:pPr>
        <w:spacing w:line="276" w:lineRule="auto" w:after="60"/>
        <w:ind w:left="567" w:hanging="567"/>
        <w:jc w:val="both"/>
      </w:pPr>
      <w:r>
        <w:rPr>
          <w:rFonts w:ascii="Times New Roman" w:hAnsi="Times New Roman"/>
          <w:sz w:val="24"/>
        </w:rPr>
        <w:t>2.</w:t>
        <w:tab/>
        <w:t>The forecast in context. The last 60 closes, a dashed segment to the forecast, and a shaded band of one standard deviation of that stock's recent daily moves. The band is the point of the chart: for AAPL on 29 October 2026 the forecast is minus 4.05 basis points against a band of plus or minus 87, so the model predicts a move about 22 times smaller than a normal day.</w:t>
      </w:r>
    </w:p>
    <w:p>
      <w:pPr>
        <w:spacing w:line="276" w:lineRule="auto" w:after="60"/>
        <w:ind w:left="567" w:hanging="567"/>
        <w:jc w:val="both"/>
      </w:pPr>
      <w:r>
        <w:rPr>
          <w:rFonts w:ascii="Times New Roman" w:hAnsi="Times New Roman"/>
          <w:sz w:val="24"/>
        </w:rPr>
        <w:t>3.</w:t>
        <w:tab/>
        <w:t>A SHAP waterfall. The base value, then the top eight contributions in turn, then the remaining 24 features as one bar, ending exactly on the forecast. The exactness is the demonstration of additivity: the bars do not illustrate the forecast, they sum to it.</w:t>
      </w:r>
    </w:p>
    <w:p>
      <w:pPr>
        <w:spacing w:line="276" w:lineRule="auto" w:after="60"/>
        <w:ind w:left="567" w:hanging="567"/>
        <w:jc w:val="both"/>
      </w:pPr>
      <w:r>
        <w:rPr>
          <w:rFonts w:ascii="Times New Roman" w:hAnsi="Times New Roman"/>
          <w:sz w:val="24"/>
        </w:rPr>
        <w:t>4.</w:t>
        <w:tab/>
        <w:t>Both explanations. SHAP and LIME bar charts of the same forecast side by side, plus a table of all 32 features with both attributions in basis points.</w:t>
      </w:r>
    </w:p>
    <w:p>
      <w:pPr>
        <w:spacing w:line="276" w:lineRule="auto" w:after="60"/>
        <w:ind w:left="567" w:hanging="567"/>
        <w:jc w:val="both"/>
      </w:pPr>
      <w:r>
        <w:rPr>
          <w:rFonts w:ascii="Times New Roman" w:hAnsi="Times New Roman"/>
          <w:sz w:val="24"/>
        </w:rPr>
        <w:t>5.</w:t>
        <w:tab/>
        <w:t>Agreement. Spearman rho between the two attribution vectors, top-5 overlap, whether they name the same top feature, and sign agreement on SHAP's top five.</w:t>
      </w:r>
    </w:p>
    <w:p>
      <w:pPr>
        <w:spacing w:line="276" w:lineRule="auto" w:after="60"/>
        <w:ind w:left="567" w:hanging="567"/>
        <w:jc w:val="both"/>
      </w:pPr>
      <w:r>
        <w:rPr>
          <w:rFonts w:ascii="Times New Roman" w:hAnsi="Times New Roman"/>
          <w:sz w:val="24"/>
        </w:rPr>
        <w:t>6.</w:t>
        <w:tab/>
        <w:t>Stability. The top feature from each of five LIME runs with different seeds, the mean Spearman between runs, and the median surrogate fit. TreeSHAP is labelled deterministic, because re-running it returns identical values.</w:t>
      </w:r>
    </w:p>
    <w:p>
      <w:pPr>
        <w:spacing w:line="276" w:lineRule="auto" w:after="60"/>
        <w:ind w:left="567" w:hanging="567"/>
        <w:jc w:val="both"/>
      </w:pPr>
      <w:r>
        <w:rPr>
          <w:rFonts w:ascii="Times New Roman" w:hAnsi="Times New Roman"/>
          <w:sz w:val="24"/>
        </w:rPr>
        <w:t>7.</w:t>
        <w:tab/>
        <w:t>Faithfulness. The change in the forecast when SHAP's top feature is deleted, the mean change for eight random features, and the ratio between them.</w:t>
      </w:r>
    </w:p>
    <w:p>
      <w:pPr>
        <w:keepNext w:val="0"/>
        <w:spacing w:line="276" w:lineRule="auto" w:after="120"/>
        <w:jc w:val="both"/>
      </w:pPr>
      <w:r>
        <w:rPr>
          <w:rFonts w:ascii="Times New Roman" w:hAnsi="Times New Roman"/>
          <w:b w:val="0"/>
          <w:i w:val="0"/>
          <w:sz w:val="24"/>
        </w:rPr>
        <w:t>The five preset cases are chosen to show both outcomes of the SHAP-against-LIME comparison: two stock-days where the explainers agree, and two where they name a different top feature, which happened on 41 per cent of the sampled stock-days, including one where LIME contradicts its own re-runs.</w:t>
      </w:r>
    </w:p>
    <w:p>
      <w:pPr>
        <w:keepNext/>
        <w:spacing w:line="240" w:lineRule="auto" w:after="160"/>
        <w:jc w:val="left"/>
      </w:pPr>
      <w:r>
        <w:rPr>
          <w:rFonts w:ascii="Times New Roman" w:hAnsi="Times New Roman"/>
          <w:b/>
          <w:i w:val="0"/>
          <w:sz w:val="26"/>
        </w:rPr>
        <w:t>6.4 Guards Against Overclaiming</w:t>
      </w:r>
    </w:p>
    <w:p>
      <w:pPr>
        <w:keepNext w:val="0"/>
        <w:spacing w:line="276" w:lineRule="auto" w:after="120"/>
        <w:jc w:val="both"/>
      </w:pPr>
      <w:r>
        <w:rPr>
          <w:rFonts w:ascii="Times New Roman" w:hAnsi="Times New Roman"/>
          <w:b w:val="0"/>
          <w:i w:val="0"/>
          <w:sz w:val="24"/>
        </w:rPr>
        <w:t>The demonstration is the part of this project most likely to be mistaken for a trading system, so three guards are built into it.</w:t>
      </w:r>
    </w:p>
    <w:p>
      <w:pPr>
        <w:pStyle w:val="ListBullet"/>
        <w:spacing w:line="276" w:lineRule="auto" w:after="60"/>
        <w:jc w:val="both"/>
      </w:pPr>
      <w:r>
        <w:rPr>
          <w:rFonts w:ascii="Times New Roman" w:hAnsi="Times New Roman"/>
          <w:sz w:val="24"/>
        </w:rPr>
        <w:t>The live forecast carries its age. The server computes how many days have passed since the close the forecast was made from, and the page displays a warning beyond three days, because a forecast for a session that has already traded is no longer a forecast.</w:t>
      </w:r>
    </w:p>
    <w:p>
      <w:pPr>
        <w:pStyle w:val="ListBullet"/>
        <w:spacing w:line="276" w:lineRule="auto" w:after="60"/>
        <w:jc w:val="both"/>
      </w:pPr>
      <w:r>
        <w:rPr>
          <w:rFonts w:ascii="Times New Roman" w:hAnsi="Times New Roman"/>
          <w:sz w:val="24"/>
        </w:rPr>
        <w:t>The 43 delisted tickers are listed on the page rather than silently dropped.</w:t>
      </w:r>
    </w:p>
    <w:p>
      <w:pPr>
        <w:pStyle w:val="ListBullet"/>
        <w:spacing w:line="276" w:lineRule="auto" w:after="60"/>
        <w:jc w:val="both"/>
      </w:pPr>
      <w:r>
        <w:rPr>
          <w:rFonts w:ascii="Times New Roman" w:hAnsi="Times New Roman"/>
          <w:sz w:val="24"/>
        </w:rPr>
        <w:t>The page states that the forecast has an out-of-sample R-squared of plus 0.00013 across 405,545 scored forecasts. The live mode demonstrates that the mechanism works; Chapter 7 remains the statement of how well it works.</w:t>
      </w:r>
    </w:p>
    <w:p>
      <w:pPr>
        <w:keepNext/>
        <w:pageBreakBefore/>
        <w:spacing w:line="360" w:lineRule="auto" w:after="200"/>
        <w:jc w:val="center"/>
      </w:pPr>
      <w:r>
        <w:rPr>
          <w:rFonts w:ascii="Times New Roman" w:hAnsi="Times New Roman"/>
          <w:b/>
          <w:i w:val="0"/>
          <w:sz w:val="28"/>
        </w:rPr>
        <w:t>CHAPTER 7</w:t>
      </w:r>
    </w:p>
    <w:p>
      <w:pPr>
        <w:keepNext/>
        <w:spacing w:line="360" w:lineRule="auto" w:after="320"/>
        <w:jc w:val="center"/>
      </w:pPr>
      <w:r>
        <w:rPr>
          <w:rFonts w:ascii="Times New Roman" w:hAnsi="Times New Roman"/>
          <w:b/>
          <w:i w:val="0"/>
          <w:sz w:val="28"/>
        </w:rPr>
        <w:t>7. RESULT AND DISCUSSION</w:t>
      </w:r>
    </w:p>
    <w:p>
      <w:pPr>
        <w:keepNext/>
        <w:spacing w:line="240" w:lineRule="auto" w:after="160"/>
        <w:jc w:val="left"/>
      </w:pPr>
      <w:r>
        <w:rPr>
          <w:rFonts w:ascii="Times New Roman" w:hAnsi="Times New Roman"/>
          <w:b/>
          <w:i w:val="0"/>
          <w:sz w:val="26"/>
        </w:rPr>
        <w:t>7.1 RQ1: Forecast Skill</w:t>
      </w:r>
    </w:p>
    <w:p>
      <w:pPr>
        <w:keepNext w:val="0"/>
        <w:spacing w:line="276" w:lineRule="auto" w:after="120"/>
        <w:jc w:val="both"/>
      </w:pPr>
      <w:r>
        <w:rPr>
          <w:rFonts w:ascii="Times New Roman" w:hAnsi="Times New Roman"/>
          <w:b w:val="0"/>
          <w:i w:val="0"/>
          <w:sz w:val="24"/>
        </w:rPr>
        <w:t>The model predicts a next-day log return, and the price forecast is only that return applied to the current close. Skill is therefore measured on returns first. Price-space accuracy follows, because that is what the literature quotes, and the distance between the two verdicts is itself the first result of this project.</w:t>
      </w:r>
    </w:p>
    <w:p>
      <w:pPr>
        <w:keepNext/>
        <w:spacing w:line="240" w:lineRule="auto" w:after="120"/>
        <w:jc w:val="left"/>
      </w:pPr>
      <w:r>
        <w:rPr>
          <w:rFonts w:ascii="Times New Roman" w:hAnsi="Times New Roman"/>
          <w:b/>
          <w:i/>
          <w:sz w:val="24"/>
        </w:rPr>
        <w:t>7.1.1 Return Space</w:t>
      </w:r>
    </w:p>
    <w:p>
      <w:pPr>
        <w:keepNext w:val="0"/>
        <w:spacing w:line="276" w:lineRule="auto" w:after="120"/>
        <w:jc w:val="both"/>
      </w:pPr>
      <w:r>
        <w:rPr>
          <w:rFonts w:ascii="Times New Roman" w:hAnsi="Times New Roman"/>
          <w:b w:val="0"/>
          <w:i w:val="0"/>
          <w:sz w:val="24"/>
        </w:rPr>
        <w:t>Across 405,545 stock-days from January 2019 to May 2022, the realised next-day return has a standard deviation of 245 basis points.</w:t>
      </w:r>
    </w:p>
    <w:p>
      <w:pPr>
        <w:keepNext/>
        <w:spacing w:line="240" w:lineRule="auto" w:after="200"/>
        <w:jc w:val="center"/>
      </w:pPr>
      <w:r>
        <w:rPr>
          <w:rFonts w:ascii="Times New Roman" w:hAnsi="Times New Roman"/>
          <w:b w:val="0"/>
          <w:i w:val="0"/>
          <w:sz w:val="20"/>
        </w:rPr>
        <w:t>Table 7.1  Return-space skill. One basis point is one hundredth of one per cent</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2137"/>
        <w:gridCol w:w="979"/>
        <w:gridCol w:w="1068"/>
        <w:gridCol w:w="1068"/>
        <w:gridCol w:w="1246"/>
        <w:gridCol w:w="1157"/>
        <w:gridCol w:w="1246"/>
      </w:tblGrid>
      <w:tr>
        <w:trPr>
          <w:cantSplit/>
          <w:tblHeader/>
        </w:trPr>
        <w:tc>
          <w:tcPr>
            <w:tcW w:type="dxa" w:w="2138"/>
            <w:shd w:val="clear" w:color="auto" w:fill="D9E2F3"/>
          </w:tcPr>
          <w:p>
            <w:pPr>
              <w:spacing w:after="40" w:line="240" w:lineRule="auto"/>
              <w:jc w:val="center"/>
            </w:pPr>
            <w:r/>
            <w:r>
              <w:rPr>
                <w:rFonts w:ascii="Times New Roman" w:hAnsi="Times New Roman"/>
                <w:b/>
                <w:sz w:val="19"/>
              </w:rPr>
              <w:t>Model</w:t>
            </w:r>
          </w:p>
        </w:tc>
        <w:tc>
          <w:tcPr>
            <w:tcW w:type="dxa" w:w="980"/>
            <w:shd w:val="clear" w:color="auto" w:fill="D9E2F3"/>
          </w:tcPr>
          <w:p>
            <w:pPr>
              <w:spacing w:after="40" w:line="240" w:lineRule="auto"/>
              <w:jc w:val="center"/>
            </w:pPr>
            <w:r/>
            <w:r>
              <w:rPr>
                <w:rFonts w:ascii="Times New Roman" w:hAnsi="Times New Roman"/>
                <w:b/>
                <w:sz w:val="19"/>
              </w:rPr>
              <w:t>RMSE (bp)</w:t>
            </w:r>
          </w:p>
        </w:tc>
        <w:tc>
          <w:tcPr>
            <w:tcW w:type="dxa" w:w="1069"/>
            <w:shd w:val="clear" w:color="auto" w:fill="D9E2F3"/>
          </w:tcPr>
          <w:p>
            <w:pPr>
              <w:spacing w:after="40" w:line="240" w:lineRule="auto"/>
              <w:jc w:val="center"/>
            </w:pPr>
            <w:r/>
            <w:r>
              <w:rPr>
                <w:rFonts w:ascii="Times New Roman" w:hAnsi="Times New Roman"/>
                <w:b/>
                <w:sz w:val="19"/>
              </w:rPr>
              <w:t>R2 vs zero</w:t>
            </w:r>
          </w:p>
        </w:tc>
        <w:tc>
          <w:tcPr>
            <w:tcW w:type="dxa" w:w="1069"/>
            <w:shd w:val="clear" w:color="auto" w:fill="D9E2F3"/>
          </w:tcPr>
          <w:p>
            <w:pPr>
              <w:spacing w:after="40" w:line="240" w:lineRule="auto"/>
              <w:jc w:val="center"/>
            </w:pPr>
            <w:r/>
            <w:r>
              <w:rPr>
                <w:rFonts w:ascii="Times New Roman" w:hAnsi="Times New Roman"/>
                <w:b/>
                <w:sz w:val="19"/>
              </w:rPr>
              <w:t>R2 vs drift</w:t>
            </w:r>
          </w:p>
        </w:tc>
        <w:tc>
          <w:tcPr>
            <w:tcW w:type="dxa" w:w="1247"/>
            <w:shd w:val="clear" w:color="auto" w:fill="D9E2F3"/>
          </w:tcPr>
          <w:p>
            <w:pPr>
              <w:spacing w:after="40" w:line="240" w:lineRule="auto"/>
              <w:jc w:val="center"/>
            </w:pPr>
            <w:r/>
            <w:r>
              <w:rPr>
                <w:rFonts w:ascii="Times New Roman" w:hAnsi="Times New Roman"/>
                <w:b/>
                <w:sz w:val="19"/>
              </w:rPr>
              <w:t>Daily IC (t)</w:t>
            </w:r>
          </w:p>
        </w:tc>
        <w:tc>
          <w:tcPr>
            <w:tcW w:type="dxa" w:w="1158"/>
            <w:shd w:val="clear" w:color="auto" w:fill="D9E2F3"/>
          </w:tcPr>
          <w:p>
            <w:pPr>
              <w:spacing w:after="40" w:line="240" w:lineRule="auto"/>
              <w:jc w:val="center"/>
            </w:pPr>
            <w:r/>
            <w:r>
              <w:rPr>
                <w:rFonts w:ascii="Times New Roman" w:hAnsi="Times New Roman"/>
                <w:b/>
                <w:sz w:val="19"/>
              </w:rPr>
              <w:t>Direction</w:t>
            </w:r>
          </w:p>
        </w:tc>
        <w:tc>
          <w:tcPr>
            <w:tcW w:type="dxa" w:w="1247"/>
            <w:shd w:val="clear" w:color="auto" w:fill="D9E2F3"/>
          </w:tcPr>
          <w:p>
            <w:pPr>
              <w:spacing w:after="40" w:line="240" w:lineRule="auto"/>
              <w:jc w:val="center"/>
            </w:pPr>
            <w:r/>
            <w:r>
              <w:rPr>
                <w:rFonts w:ascii="Times New Roman" w:hAnsi="Times New Roman"/>
                <w:b/>
                <w:sz w:val="19"/>
              </w:rPr>
              <w:t>DM p</w:t>
            </w:r>
          </w:p>
        </w:tc>
      </w:tr>
      <w:tr>
        <w:trPr>
          <w:cantSplit/>
        </w:trPr>
        <w:tc>
          <w:tcPr>
            <w:tcW w:type="dxa" w:w="2138"/>
          </w:tcPr>
          <w:p>
            <w:pPr>
              <w:spacing w:after="40" w:line="240" w:lineRule="auto"/>
              <w:jc w:val="left"/>
            </w:pPr>
            <w:r/>
            <w:r>
              <w:rPr>
                <w:rFonts w:ascii="Times New Roman" w:hAnsi="Times New Roman"/>
                <w:sz w:val="19"/>
              </w:rPr>
              <w:t>Naive, forecast zero return</w:t>
            </w:r>
          </w:p>
        </w:tc>
        <w:tc>
          <w:tcPr>
            <w:tcW w:type="dxa" w:w="980"/>
          </w:tcPr>
          <w:p>
            <w:pPr>
              <w:spacing w:after="40" w:line="240" w:lineRule="auto"/>
              <w:jc w:val="center"/>
            </w:pPr>
            <w:r/>
            <w:r>
              <w:rPr>
                <w:rFonts w:ascii="Times New Roman" w:hAnsi="Times New Roman"/>
                <w:sz w:val="19"/>
              </w:rPr>
              <w:t>245.5</w:t>
            </w:r>
          </w:p>
        </w:tc>
        <w:tc>
          <w:tcPr>
            <w:tcW w:type="dxa" w:w="1069"/>
          </w:tcPr>
          <w:p>
            <w:pPr>
              <w:spacing w:after="40" w:line="240" w:lineRule="auto"/>
              <w:jc w:val="center"/>
            </w:pPr>
            <w:r/>
            <w:r>
              <w:rPr>
                <w:rFonts w:ascii="Times New Roman" w:hAnsi="Times New Roman"/>
                <w:sz w:val="19"/>
              </w:rPr>
              <w:t>0.00000</w:t>
            </w:r>
          </w:p>
        </w:tc>
        <w:tc>
          <w:tcPr>
            <w:tcW w:type="dxa" w:w="1069"/>
          </w:tcPr>
          <w:p>
            <w:pPr>
              <w:spacing w:after="40" w:line="240" w:lineRule="auto"/>
              <w:jc w:val="center"/>
            </w:pPr>
            <w:r/>
            <w:r>
              <w:rPr>
                <w:rFonts w:ascii="Times New Roman" w:hAnsi="Times New Roman"/>
                <w:sz w:val="19"/>
              </w:rPr>
              <w:t>-0.00043</w:t>
            </w:r>
          </w:p>
        </w:tc>
        <w:tc>
          <w:tcPr>
            <w:tcW w:type="dxa" w:w="1247"/>
          </w:tcPr>
          <w:p>
            <w:pPr>
              <w:spacing w:after="40" w:line="240" w:lineRule="auto"/>
              <w:jc w:val="center"/>
            </w:pPr>
            <w:r/>
            <w:r>
              <w:rPr>
                <w:rFonts w:ascii="Times New Roman" w:hAnsi="Times New Roman"/>
                <w:sz w:val="19"/>
              </w:rPr>
              <w:t>-</w:t>
            </w:r>
          </w:p>
        </w:tc>
        <w:tc>
          <w:tcPr>
            <w:tcW w:type="dxa" w:w="1158"/>
          </w:tcPr>
          <w:p>
            <w:pPr>
              <w:spacing w:after="40" w:line="240" w:lineRule="auto"/>
              <w:jc w:val="center"/>
            </w:pPr>
            <w:r/>
            <w:r>
              <w:rPr>
                <w:rFonts w:ascii="Times New Roman" w:hAnsi="Times New Roman"/>
                <w:sz w:val="19"/>
              </w:rPr>
              <w:t>47.2%</w:t>
            </w:r>
          </w:p>
        </w:tc>
        <w:tc>
          <w:tcPr>
            <w:tcW w:type="dxa" w:w="1247"/>
          </w:tcPr>
          <w:p>
            <w:pPr>
              <w:spacing w:after="40" w:line="240" w:lineRule="auto"/>
              <w:jc w:val="center"/>
            </w:pPr>
            <w:r/>
            <w:r>
              <w:rPr>
                <w:rFonts w:ascii="Times New Roman" w:hAnsi="Times New Roman"/>
                <w:sz w:val="19"/>
              </w:rPr>
              <w:t>-</w:t>
            </w:r>
          </w:p>
        </w:tc>
      </w:tr>
      <w:tr>
        <w:trPr>
          <w:cantSplit/>
        </w:trPr>
        <w:tc>
          <w:tcPr>
            <w:tcW w:type="dxa" w:w="2138"/>
          </w:tcPr>
          <w:p>
            <w:pPr>
              <w:spacing w:after="40" w:line="240" w:lineRule="auto"/>
              <w:jc w:val="left"/>
            </w:pPr>
            <w:r/>
            <w:r>
              <w:rPr>
                <w:rFonts w:ascii="Times New Roman" w:hAnsi="Times New Roman"/>
                <w:sz w:val="19"/>
              </w:rPr>
              <w:t>Historical drift</w:t>
            </w:r>
          </w:p>
        </w:tc>
        <w:tc>
          <w:tcPr>
            <w:tcW w:type="dxa" w:w="980"/>
          </w:tcPr>
          <w:p>
            <w:pPr>
              <w:spacing w:after="40" w:line="240" w:lineRule="auto"/>
              <w:jc w:val="center"/>
            </w:pPr>
            <w:r/>
            <w:r>
              <w:rPr>
                <w:rFonts w:ascii="Times New Roman" w:hAnsi="Times New Roman"/>
                <w:sz w:val="19"/>
              </w:rPr>
              <w:t>245.5</w:t>
            </w:r>
          </w:p>
        </w:tc>
        <w:tc>
          <w:tcPr>
            <w:tcW w:type="dxa" w:w="1069"/>
          </w:tcPr>
          <w:p>
            <w:pPr>
              <w:spacing w:after="40" w:line="240" w:lineRule="auto"/>
              <w:jc w:val="center"/>
            </w:pPr>
            <w:r/>
            <w:r>
              <w:rPr>
                <w:rFonts w:ascii="Times New Roman" w:hAnsi="Times New Roman"/>
                <w:sz w:val="19"/>
              </w:rPr>
              <w:t>+0.00043</w:t>
            </w:r>
          </w:p>
        </w:tc>
        <w:tc>
          <w:tcPr>
            <w:tcW w:type="dxa" w:w="1069"/>
          </w:tcPr>
          <w:p>
            <w:pPr>
              <w:spacing w:after="40" w:line="240" w:lineRule="auto"/>
              <w:jc w:val="center"/>
            </w:pPr>
            <w:r/>
            <w:r>
              <w:rPr>
                <w:rFonts w:ascii="Times New Roman" w:hAnsi="Times New Roman"/>
                <w:sz w:val="19"/>
              </w:rPr>
              <w:t>0.00000</w:t>
            </w:r>
          </w:p>
        </w:tc>
        <w:tc>
          <w:tcPr>
            <w:tcW w:type="dxa" w:w="1247"/>
          </w:tcPr>
          <w:p>
            <w:pPr>
              <w:spacing w:after="40" w:line="240" w:lineRule="auto"/>
              <w:jc w:val="center"/>
            </w:pPr>
            <w:r/>
            <w:r>
              <w:rPr>
                <w:rFonts w:ascii="Times New Roman" w:hAnsi="Times New Roman"/>
                <w:sz w:val="19"/>
              </w:rPr>
              <w:t>-</w:t>
            </w:r>
          </w:p>
        </w:tc>
        <w:tc>
          <w:tcPr>
            <w:tcW w:type="dxa" w:w="1158"/>
          </w:tcPr>
          <w:p>
            <w:pPr>
              <w:spacing w:after="40" w:line="240" w:lineRule="auto"/>
              <w:jc w:val="center"/>
            </w:pPr>
            <w:r/>
            <w:r>
              <w:rPr>
                <w:rFonts w:ascii="Times New Roman" w:hAnsi="Times New Roman"/>
                <w:sz w:val="19"/>
              </w:rPr>
              <w:t>52.8%</w:t>
            </w:r>
          </w:p>
        </w:tc>
        <w:tc>
          <w:tcPr>
            <w:tcW w:type="dxa" w:w="1247"/>
          </w:tcPr>
          <w:p>
            <w:pPr>
              <w:spacing w:after="40" w:line="240" w:lineRule="auto"/>
              <w:jc w:val="center"/>
            </w:pPr>
            <w:r/>
            <w:r>
              <w:rPr>
                <w:rFonts w:ascii="Times New Roman" w:hAnsi="Times New Roman"/>
                <w:sz w:val="19"/>
              </w:rPr>
              <w:t>0.64</w:t>
            </w:r>
          </w:p>
        </w:tc>
      </w:tr>
      <w:tr>
        <w:trPr>
          <w:cantSplit/>
        </w:trPr>
        <w:tc>
          <w:tcPr>
            <w:tcW w:type="dxa" w:w="2138"/>
          </w:tcPr>
          <w:p>
            <w:pPr>
              <w:spacing w:after="40" w:line="240" w:lineRule="auto"/>
              <w:jc w:val="left"/>
            </w:pPr>
            <w:r/>
            <w:r>
              <w:rPr>
                <w:rFonts w:ascii="Times New Roman" w:hAnsi="Times New Roman"/>
                <w:sz w:val="19"/>
              </w:rPr>
              <w:t>Ridge regression</w:t>
            </w:r>
          </w:p>
        </w:tc>
        <w:tc>
          <w:tcPr>
            <w:tcW w:type="dxa" w:w="980"/>
          </w:tcPr>
          <w:p>
            <w:pPr>
              <w:spacing w:after="40" w:line="240" w:lineRule="auto"/>
              <w:jc w:val="center"/>
            </w:pPr>
            <w:r/>
            <w:r>
              <w:rPr>
                <w:rFonts w:ascii="Times New Roman" w:hAnsi="Times New Roman"/>
                <w:sz w:val="19"/>
              </w:rPr>
              <w:t>246.9</w:t>
            </w:r>
          </w:p>
        </w:tc>
        <w:tc>
          <w:tcPr>
            <w:tcW w:type="dxa" w:w="1069"/>
          </w:tcPr>
          <w:p>
            <w:pPr>
              <w:spacing w:after="40" w:line="240" w:lineRule="auto"/>
              <w:jc w:val="center"/>
            </w:pPr>
            <w:r/>
            <w:r>
              <w:rPr>
                <w:rFonts w:ascii="Times New Roman" w:hAnsi="Times New Roman"/>
                <w:sz w:val="19"/>
              </w:rPr>
              <w:t>-0.01076</w:t>
            </w:r>
          </w:p>
        </w:tc>
        <w:tc>
          <w:tcPr>
            <w:tcW w:type="dxa" w:w="1069"/>
          </w:tcPr>
          <w:p>
            <w:pPr>
              <w:spacing w:after="40" w:line="240" w:lineRule="auto"/>
              <w:jc w:val="center"/>
            </w:pPr>
            <w:r/>
            <w:r>
              <w:rPr>
                <w:rFonts w:ascii="Times New Roman" w:hAnsi="Times New Roman"/>
                <w:sz w:val="19"/>
              </w:rPr>
              <w:t>-0.01120</w:t>
            </w:r>
          </w:p>
        </w:tc>
        <w:tc>
          <w:tcPr>
            <w:tcW w:type="dxa" w:w="1247"/>
          </w:tcPr>
          <w:p>
            <w:pPr>
              <w:spacing w:after="40" w:line="240" w:lineRule="auto"/>
              <w:jc w:val="center"/>
            </w:pPr>
            <w:r/>
            <w:r>
              <w:rPr>
                <w:rFonts w:ascii="Times New Roman" w:hAnsi="Times New Roman"/>
                <w:sz w:val="19"/>
              </w:rPr>
              <w:t>+0.0019 (0.30)</w:t>
            </w:r>
          </w:p>
        </w:tc>
        <w:tc>
          <w:tcPr>
            <w:tcW w:type="dxa" w:w="1158"/>
          </w:tcPr>
          <w:p>
            <w:pPr>
              <w:spacing w:after="40" w:line="240" w:lineRule="auto"/>
              <w:jc w:val="center"/>
            </w:pPr>
            <w:r/>
            <w:r>
              <w:rPr>
                <w:rFonts w:ascii="Times New Roman" w:hAnsi="Times New Roman"/>
                <w:sz w:val="19"/>
              </w:rPr>
              <w:t>51.7%</w:t>
            </w:r>
          </w:p>
        </w:tc>
        <w:tc>
          <w:tcPr>
            <w:tcW w:type="dxa" w:w="1247"/>
          </w:tcPr>
          <w:p>
            <w:pPr>
              <w:spacing w:after="40" w:line="240" w:lineRule="auto"/>
              <w:jc w:val="center"/>
            </w:pPr>
            <w:r/>
            <w:r>
              <w:rPr>
                <w:rFonts w:ascii="Times New Roman" w:hAnsi="Times New Roman"/>
                <w:sz w:val="19"/>
              </w:rPr>
              <w:t>0.39</w:t>
            </w:r>
          </w:p>
        </w:tc>
      </w:tr>
      <w:tr>
        <w:trPr>
          <w:cantSplit/>
        </w:trPr>
        <w:tc>
          <w:tcPr>
            <w:tcW w:type="dxa" w:w="2138"/>
          </w:tcPr>
          <w:p>
            <w:pPr>
              <w:spacing w:after="40" w:line="240" w:lineRule="auto"/>
              <w:jc w:val="left"/>
            </w:pPr>
            <w:r/>
            <w:r>
              <w:rPr>
                <w:rFonts w:ascii="Times New Roman" w:hAnsi="Times New Roman"/>
                <w:sz w:val="19"/>
              </w:rPr>
              <w:t>RF on price levels</w:t>
            </w:r>
          </w:p>
        </w:tc>
        <w:tc>
          <w:tcPr>
            <w:tcW w:type="dxa" w:w="980"/>
          </w:tcPr>
          <w:p>
            <w:pPr>
              <w:spacing w:after="40" w:line="240" w:lineRule="auto"/>
              <w:jc w:val="center"/>
            </w:pPr>
            <w:r/>
            <w:r>
              <w:rPr>
                <w:rFonts w:ascii="Times New Roman" w:hAnsi="Times New Roman"/>
                <w:sz w:val="19"/>
              </w:rPr>
              <w:t>250.4</w:t>
            </w:r>
          </w:p>
        </w:tc>
        <w:tc>
          <w:tcPr>
            <w:tcW w:type="dxa" w:w="1069"/>
          </w:tcPr>
          <w:p>
            <w:pPr>
              <w:spacing w:after="40" w:line="240" w:lineRule="auto"/>
              <w:jc w:val="center"/>
            </w:pPr>
            <w:r/>
            <w:r>
              <w:rPr>
                <w:rFonts w:ascii="Times New Roman" w:hAnsi="Times New Roman"/>
                <w:sz w:val="19"/>
              </w:rPr>
              <w:t>-0.03972</w:t>
            </w:r>
          </w:p>
        </w:tc>
        <w:tc>
          <w:tcPr>
            <w:tcW w:type="dxa" w:w="1069"/>
          </w:tcPr>
          <w:p>
            <w:pPr>
              <w:spacing w:after="40" w:line="240" w:lineRule="auto"/>
              <w:jc w:val="center"/>
            </w:pPr>
            <w:r/>
            <w:r>
              <w:rPr>
                <w:rFonts w:ascii="Times New Roman" w:hAnsi="Times New Roman"/>
                <w:sz w:val="19"/>
              </w:rPr>
              <w:t>-0.04016</w:t>
            </w:r>
          </w:p>
        </w:tc>
        <w:tc>
          <w:tcPr>
            <w:tcW w:type="dxa" w:w="1247"/>
          </w:tcPr>
          <w:p>
            <w:pPr>
              <w:spacing w:after="40" w:line="240" w:lineRule="auto"/>
              <w:jc w:val="center"/>
            </w:pPr>
            <w:r/>
            <w:r>
              <w:rPr>
                <w:rFonts w:ascii="Times New Roman" w:hAnsi="Times New Roman"/>
                <w:sz w:val="19"/>
              </w:rPr>
              <w:t>+0.0063 (2.24)</w:t>
            </w:r>
          </w:p>
        </w:tc>
        <w:tc>
          <w:tcPr>
            <w:tcW w:type="dxa" w:w="1158"/>
          </w:tcPr>
          <w:p>
            <w:pPr>
              <w:spacing w:after="40" w:line="240" w:lineRule="auto"/>
              <w:jc w:val="center"/>
            </w:pPr>
            <w:r/>
            <w:r>
              <w:rPr>
                <w:rFonts w:ascii="Times New Roman" w:hAnsi="Times New Roman"/>
                <w:sz w:val="19"/>
              </w:rPr>
              <w:t>50.8%</w:t>
            </w:r>
          </w:p>
        </w:tc>
        <w:tc>
          <w:tcPr>
            <w:tcW w:type="dxa" w:w="1247"/>
          </w:tcPr>
          <w:p>
            <w:pPr>
              <w:spacing w:after="40" w:line="240" w:lineRule="auto"/>
              <w:jc w:val="center"/>
            </w:pPr>
            <w:r/>
            <w:r>
              <w:rPr>
                <w:rFonts w:ascii="Times New Roman" w:hAnsi="Times New Roman"/>
                <w:sz w:val="19"/>
              </w:rPr>
              <w:t>&lt;0.001 worse</w:t>
            </w:r>
          </w:p>
        </w:tc>
      </w:tr>
      <w:tr>
        <w:trPr>
          <w:cantSplit/>
        </w:trPr>
        <w:tc>
          <w:tcPr>
            <w:tcW w:type="dxa" w:w="2138"/>
          </w:tcPr>
          <w:p>
            <w:pPr>
              <w:spacing w:after="40" w:line="240" w:lineRule="auto"/>
              <w:jc w:val="left"/>
            </w:pPr>
            <w:r/>
            <w:r>
              <w:rPr>
                <w:rFonts w:ascii="Times New Roman" w:hAnsi="Times New Roman"/>
                <w:sz w:val="19"/>
              </w:rPr>
              <w:t>Random Forest (proposed)</w:t>
            </w:r>
          </w:p>
        </w:tc>
        <w:tc>
          <w:tcPr>
            <w:tcW w:type="dxa" w:w="980"/>
          </w:tcPr>
          <w:p>
            <w:pPr>
              <w:spacing w:after="40" w:line="240" w:lineRule="auto"/>
              <w:jc w:val="center"/>
            </w:pPr>
            <w:r/>
            <w:r>
              <w:rPr>
                <w:rFonts w:ascii="Times New Roman" w:hAnsi="Times New Roman"/>
                <w:sz w:val="19"/>
              </w:rPr>
              <w:t>245.5</w:t>
            </w:r>
          </w:p>
        </w:tc>
        <w:tc>
          <w:tcPr>
            <w:tcW w:type="dxa" w:w="1069"/>
          </w:tcPr>
          <w:p>
            <w:pPr>
              <w:spacing w:after="40" w:line="240" w:lineRule="auto"/>
              <w:jc w:val="center"/>
            </w:pPr>
            <w:r/>
            <w:r>
              <w:rPr>
                <w:rFonts w:ascii="Times New Roman" w:hAnsi="Times New Roman"/>
                <w:sz w:val="19"/>
              </w:rPr>
              <w:t>+0.00013</w:t>
            </w:r>
          </w:p>
        </w:tc>
        <w:tc>
          <w:tcPr>
            <w:tcW w:type="dxa" w:w="1069"/>
          </w:tcPr>
          <w:p>
            <w:pPr>
              <w:spacing w:after="40" w:line="240" w:lineRule="auto"/>
              <w:jc w:val="center"/>
            </w:pPr>
            <w:r/>
            <w:r>
              <w:rPr>
                <w:rFonts w:ascii="Times New Roman" w:hAnsi="Times New Roman"/>
                <w:sz w:val="19"/>
              </w:rPr>
              <w:t>-0.00030</w:t>
            </w:r>
          </w:p>
        </w:tc>
        <w:tc>
          <w:tcPr>
            <w:tcW w:type="dxa" w:w="1247"/>
          </w:tcPr>
          <w:p>
            <w:pPr>
              <w:spacing w:after="40" w:line="240" w:lineRule="auto"/>
              <w:jc w:val="center"/>
            </w:pPr>
            <w:r/>
            <w:r>
              <w:rPr>
                <w:rFonts w:ascii="Times New Roman" w:hAnsi="Times New Roman"/>
                <w:sz w:val="19"/>
              </w:rPr>
              <w:t>+0.0090 (1.39)</w:t>
            </w:r>
          </w:p>
        </w:tc>
        <w:tc>
          <w:tcPr>
            <w:tcW w:type="dxa" w:w="1158"/>
          </w:tcPr>
          <w:p>
            <w:pPr>
              <w:spacing w:after="40" w:line="240" w:lineRule="auto"/>
              <w:jc w:val="center"/>
            </w:pPr>
            <w:r/>
            <w:r>
              <w:rPr>
                <w:rFonts w:ascii="Times New Roman" w:hAnsi="Times New Roman"/>
                <w:sz w:val="19"/>
              </w:rPr>
              <w:t>51.8%</w:t>
            </w:r>
          </w:p>
        </w:tc>
        <w:tc>
          <w:tcPr>
            <w:tcW w:type="dxa" w:w="1247"/>
          </w:tcPr>
          <w:p>
            <w:pPr>
              <w:spacing w:after="40" w:line="240" w:lineRule="auto"/>
              <w:jc w:val="center"/>
            </w:pPr>
            <w:r/>
            <w:r>
              <w:rPr>
                <w:rFonts w:ascii="Times New Roman" w:hAnsi="Times New Roman"/>
                <w:sz w:val="19"/>
              </w:rPr>
              <w:t>0.97</w:t>
            </w:r>
          </w:p>
        </w:tc>
      </w:tr>
      <w:tr>
        <w:trPr>
          <w:cantSplit/>
        </w:trPr>
        <w:tc>
          <w:tcPr>
            <w:tcW w:type="dxa" w:w="2138"/>
          </w:tcPr>
          <w:p>
            <w:pPr>
              <w:spacing w:after="40" w:line="240" w:lineRule="auto"/>
              <w:jc w:val="left"/>
            </w:pPr>
            <w:r/>
            <w:r>
              <w:rPr>
                <w:rFonts w:ascii="Times New Roman" w:hAnsi="Times New Roman"/>
                <w:sz w:val="19"/>
              </w:rPr>
              <w:t>Majority-direction rule</w:t>
            </w:r>
          </w:p>
        </w:tc>
        <w:tc>
          <w:tcPr>
            <w:tcW w:type="dxa" w:w="980"/>
          </w:tcPr>
          <w:p>
            <w:pPr>
              <w:spacing w:after="40" w:line="240" w:lineRule="auto"/>
              <w:jc w:val="center"/>
            </w:pPr>
            <w:r/>
            <w:r>
              <w:rPr>
                <w:rFonts w:ascii="Times New Roman" w:hAnsi="Times New Roman"/>
                <w:sz w:val="19"/>
              </w:rPr>
              <w:t>-</w:t>
            </w:r>
          </w:p>
        </w:tc>
        <w:tc>
          <w:tcPr>
            <w:tcW w:type="dxa" w:w="1069"/>
          </w:tcPr>
          <w:p>
            <w:pPr>
              <w:spacing w:after="40" w:line="240" w:lineRule="auto"/>
              <w:jc w:val="center"/>
            </w:pPr>
            <w:r/>
            <w:r>
              <w:rPr>
                <w:rFonts w:ascii="Times New Roman" w:hAnsi="Times New Roman"/>
                <w:sz w:val="19"/>
              </w:rPr>
              <w:t>-</w:t>
            </w:r>
          </w:p>
        </w:tc>
        <w:tc>
          <w:tcPr>
            <w:tcW w:type="dxa" w:w="1069"/>
          </w:tcPr>
          <w:p>
            <w:pPr>
              <w:spacing w:after="40" w:line="240" w:lineRule="auto"/>
              <w:jc w:val="center"/>
            </w:pPr>
            <w:r/>
            <w:r>
              <w:rPr>
                <w:rFonts w:ascii="Times New Roman" w:hAnsi="Times New Roman"/>
                <w:sz w:val="19"/>
              </w:rPr>
              <w:t>-</w:t>
            </w:r>
          </w:p>
        </w:tc>
        <w:tc>
          <w:tcPr>
            <w:tcW w:type="dxa" w:w="1247"/>
          </w:tcPr>
          <w:p>
            <w:pPr>
              <w:spacing w:after="40" w:line="240" w:lineRule="auto"/>
              <w:jc w:val="center"/>
            </w:pPr>
            <w:r/>
            <w:r>
              <w:rPr>
                <w:rFonts w:ascii="Times New Roman" w:hAnsi="Times New Roman"/>
                <w:sz w:val="19"/>
              </w:rPr>
              <w:t>-</w:t>
            </w:r>
          </w:p>
        </w:tc>
        <w:tc>
          <w:tcPr>
            <w:tcW w:type="dxa" w:w="1158"/>
          </w:tcPr>
          <w:p>
            <w:pPr>
              <w:spacing w:after="40" w:line="240" w:lineRule="auto"/>
              <w:jc w:val="center"/>
            </w:pPr>
            <w:r/>
            <w:r>
              <w:rPr>
                <w:rFonts w:ascii="Times New Roman" w:hAnsi="Times New Roman"/>
                <w:sz w:val="19"/>
              </w:rPr>
              <w:t>52.8%</w:t>
            </w:r>
          </w:p>
        </w:tc>
        <w:tc>
          <w:tcPr>
            <w:tcW w:type="dxa" w:w="1247"/>
          </w:tcPr>
          <w:p>
            <w:pPr>
              <w:spacing w:after="40" w:line="240" w:lineRule="auto"/>
              <w:jc w:val="center"/>
            </w:pPr>
            <w:r/>
            <w:r>
              <w:rPr>
                <w:rFonts w:ascii="Times New Roman" w:hAnsi="Times New Roman"/>
                <w:sz w:val="19"/>
              </w:rPr>
              <w:t>-</w:t>
            </w:r>
          </w:p>
        </w:tc>
      </w:tr>
    </w:tbl>
    <w:p>
      <w:pPr>
        <w:keepNext w:val="0"/>
        <w:spacing w:line="276" w:lineRule="auto" w:after="80"/>
        <w:jc w:val="both"/>
      </w:pPr>
    </w:p>
    <w:p>
      <w:pPr>
        <w:keepNext w:val="0"/>
        <w:spacing w:line="276" w:lineRule="auto" w:after="120"/>
        <w:jc w:val="both"/>
      </w:pPr>
      <w:r>
        <w:rPr>
          <w:rFonts w:ascii="Times New Roman" w:hAnsi="Times New Roman"/>
          <w:b w:val="0"/>
          <w:i w:val="0"/>
          <w:sz w:val="24"/>
        </w:rPr>
        <w:t>The proposed model explains 0.013 per cent of next-day return variance, and the Diebold-Mariano test cannot distinguish it from simply predicting zero, at p = 0.97. Against the slightly stronger drift benchmark the sign flips. Directional accuracy of 51.8 per cent is below the 52.8 per cent achieved by always predicting the majority direction, and the binomial test returns p = 1.00.</w:t>
      </w:r>
    </w:p>
    <w:p>
      <w:pPr>
        <w:keepNext w:val="0"/>
        <w:spacing w:line="276" w:lineRule="auto" w:after="120"/>
        <w:jc w:val="both"/>
      </w:pPr>
      <w:r>
        <w:rPr>
          <w:rFonts w:ascii="Times New Roman" w:hAnsi="Times New Roman"/>
          <w:b w:val="0"/>
          <w:i w:val="0"/>
          <w:sz w:val="24"/>
        </w:rPr>
        <w:t>The model hedges towards zero. Its forecasts have a standard deviation of 10.8 basis points against a realised 245, a range 23 times narrower than reality. That is the statistically correct response to a near-unpredictable target, and it is precisely why the price forecasts in the next section look so good. The price-level Random Forest is the only model significantly different from the benchmark, and it is worse: training a tree on raw price levels actively destroys return information.</w:t>
      </w:r>
    </w:p>
    <w:p>
      <w:pPr>
        <w:keepNext/>
        <w:spacing w:after="80"/>
        <w:jc w:val="center"/>
      </w:pPr>
      <w:r>
        <w:drawing>
          <wp:inline xmlns:a="http://schemas.openxmlformats.org/drawingml/2006/main" xmlns:pic="http://schemas.openxmlformats.org/drawingml/2006/picture">
            <wp:extent cx="5040000" cy="1639693"/>
            <wp:docPr id="8" name="Picture 8"/>
            <wp:cNvGraphicFramePr>
              <a:graphicFrameLocks noChangeAspect="1"/>
            </wp:cNvGraphicFramePr>
            <a:graphic>
              <a:graphicData uri="http://schemas.openxmlformats.org/drawingml/2006/picture">
                <pic:pic>
                  <pic:nvPicPr>
                    <pic:cNvPr id="0" name="return_skill.png"/>
                    <pic:cNvPicPr/>
                  </pic:nvPicPr>
                  <pic:blipFill>
                    <a:blip r:embed="rId18"/>
                    <a:stretch>
                      <a:fillRect/>
                    </a:stretch>
                  </pic:blipFill>
                  <pic:spPr>
                    <a:xfrm>
                      <a:off x="0" y="0"/>
                      <a:ext cx="5040000" cy="1639693"/>
                    </a:xfrm>
                    <a:prstGeom prst="rect"/>
                  </pic:spPr>
                </pic:pic>
              </a:graphicData>
            </a:graphic>
          </wp:inline>
        </w:drawing>
      </w:r>
    </w:p>
    <w:p>
      <w:pPr>
        <w:keepNext w:val="0"/>
        <w:spacing w:line="240" w:lineRule="auto" w:after="200"/>
        <w:jc w:val="center"/>
      </w:pPr>
      <w:r>
        <w:rPr>
          <w:rFonts w:ascii="Times New Roman" w:hAnsi="Times New Roman"/>
          <w:b w:val="0"/>
          <w:i w:val="0"/>
          <w:sz w:val="20"/>
        </w:rPr>
        <w:t>Figure 7.1  Return-space skill: out-of-sample R-squared on the next-day return and directional accuracy, by model</w:t>
      </w:r>
    </w:p>
    <w:p>
      <w:pPr>
        <w:keepNext/>
        <w:spacing w:line="240" w:lineRule="auto" w:after="120"/>
        <w:jc w:val="left"/>
      </w:pPr>
      <w:r>
        <w:rPr>
          <w:rFonts w:ascii="Times New Roman" w:hAnsi="Times New Roman"/>
          <w:b/>
          <w:i/>
          <w:sz w:val="24"/>
        </w:rPr>
        <w:t>7.1.2 Price Space</w:t>
      </w:r>
    </w:p>
    <w:p>
      <w:pPr>
        <w:keepNext w:val="0"/>
        <w:spacing w:line="276" w:lineRule="auto" w:after="120"/>
        <w:jc w:val="both"/>
      </w:pPr>
      <w:r>
        <w:rPr>
          <w:rFonts w:ascii="Times New Roman" w:hAnsi="Times New Roman"/>
          <w:b w:val="0"/>
          <w:i w:val="0"/>
          <w:sz w:val="24"/>
        </w:rPr>
        <w:t>The same forecasts, scored on the next-day closing price:</w:t>
      </w:r>
    </w:p>
    <w:p>
      <w:pPr>
        <w:keepNext/>
        <w:spacing w:line="240" w:lineRule="auto" w:after="200"/>
        <w:jc w:val="center"/>
      </w:pPr>
      <w:r>
        <w:rPr>
          <w:rFonts w:ascii="Times New Roman" w:hAnsi="Times New Roman"/>
          <w:b w:val="0"/>
          <w:i w:val="0"/>
          <w:sz w:val="20"/>
        </w:rPr>
        <w:t>Table 7.2  Price-space accuracy, the quantity usually reported in the literature</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2330"/>
        <w:gridCol w:w="915"/>
        <w:gridCol w:w="1498"/>
        <w:gridCol w:w="915"/>
        <w:gridCol w:w="1082"/>
        <w:gridCol w:w="998"/>
        <w:gridCol w:w="1165"/>
      </w:tblGrid>
      <w:tr>
        <w:trPr>
          <w:cantSplit/>
          <w:tblHeader/>
        </w:trPr>
        <w:tc>
          <w:tcPr>
            <w:tcW w:type="dxa" w:w="2331"/>
            <w:shd w:val="clear" w:color="auto" w:fill="D9E2F3"/>
          </w:tcPr>
          <w:p>
            <w:pPr>
              <w:spacing w:after="40" w:line="240" w:lineRule="auto"/>
              <w:jc w:val="center"/>
            </w:pPr>
            <w:r/>
            <w:r>
              <w:rPr>
                <w:rFonts w:ascii="Times New Roman" w:hAnsi="Times New Roman"/>
                <w:b/>
                <w:sz w:val="19"/>
              </w:rPr>
              <w:t>Model</w:t>
            </w:r>
          </w:p>
        </w:tc>
        <w:tc>
          <w:tcPr>
            <w:tcW w:type="dxa" w:w="916"/>
            <w:shd w:val="clear" w:color="auto" w:fill="D9E2F3"/>
          </w:tcPr>
          <w:p>
            <w:pPr>
              <w:spacing w:after="40" w:line="240" w:lineRule="auto"/>
              <w:jc w:val="center"/>
            </w:pPr>
            <w:r/>
            <w:r>
              <w:rPr>
                <w:rFonts w:ascii="Times New Roman" w:hAnsi="Times New Roman"/>
                <w:b/>
                <w:sz w:val="19"/>
              </w:rPr>
              <w:t>MAPE</w:t>
            </w:r>
          </w:p>
        </w:tc>
        <w:tc>
          <w:tcPr>
            <w:tcW w:type="dxa" w:w="1498"/>
            <w:shd w:val="clear" w:color="auto" w:fill="D9E2F3"/>
          </w:tcPr>
          <w:p>
            <w:pPr>
              <w:spacing w:after="40" w:line="240" w:lineRule="auto"/>
              <w:jc w:val="center"/>
            </w:pPr>
            <w:r/>
            <w:r>
              <w:rPr>
                <w:rFonts w:ascii="Times New Roman" w:hAnsi="Times New Roman"/>
                <w:b/>
                <w:sz w:val="19"/>
              </w:rPr>
              <w:t>Accuracy (100 - MAPE)</w:t>
            </w:r>
          </w:p>
        </w:tc>
        <w:tc>
          <w:tcPr>
            <w:tcW w:type="dxa" w:w="916"/>
            <w:shd w:val="clear" w:color="auto" w:fill="D9E2F3"/>
          </w:tcPr>
          <w:p>
            <w:pPr>
              <w:spacing w:after="40" w:line="240" w:lineRule="auto"/>
              <w:jc w:val="center"/>
            </w:pPr>
            <w:r/>
            <w:r>
              <w:rPr>
                <w:rFonts w:ascii="Times New Roman" w:hAnsi="Times New Roman"/>
                <w:b/>
                <w:sz w:val="19"/>
              </w:rPr>
              <w:t>RMSE</w:t>
            </w:r>
          </w:p>
        </w:tc>
        <w:tc>
          <w:tcPr>
            <w:tcW w:type="dxa" w:w="1082"/>
            <w:shd w:val="clear" w:color="auto" w:fill="D9E2F3"/>
          </w:tcPr>
          <w:p>
            <w:pPr>
              <w:spacing w:after="40" w:line="240" w:lineRule="auto"/>
              <w:jc w:val="center"/>
            </w:pPr>
            <w:r/>
            <w:r>
              <w:rPr>
                <w:rFonts w:ascii="Times New Roman" w:hAnsi="Times New Roman"/>
                <w:b/>
                <w:sz w:val="19"/>
              </w:rPr>
              <w:t>R2 (price)</w:t>
            </w:r>
          </w:p>
        </w:tc>
        <w:tc>
          <w:tcPr>
            <w:tcW w:type="dxa" w:w="999"/>
            <w:shd w:val="clear" w:color="auto" w:fill="D9E2F3"/>
          </w:tcPr>
          <w:p>
            <w:pPr>
              <w:spacing w:after="40" w:line="240" w:lineRule="auto"/>
              <w:jc w:val="center"/>
            </w:pPr>
            <w:r/>
            <w:r>
              <w:rPr>
                <w:rFonts w:ascii="Times New Roman" w:hAnsi="Times New Roman"/>
                <w:b/>
                <w:sz w:val="19"/>
              </w:rPr>
              <w:t>Within 2%</w:t>
            </w:r>
          </w:p>
        </w:tc>
        <w:tc>
          <w:tcPr>
            <w:tcW w:type="dxa" w:w="1165"/>
            <w:shd w:val="clear" w:color="auto" w:fill="D9E2F3"/>
          </w:tcPr>
          <w:p>
            <w:pPr>
              <w:spacing w:after="40" w:line="240" w:lineRule="auto"/>
              <w:jc w:val="center"/>
            </w:pPr>
            <w:r/>
            <w:r>
              <w:rPr>
                <w:rFonts w:ascii="Times New Roman" w:hAnsi="Times New Roman"/>
                <w:b/>
                <w:sz w:val="19"/>
              </w:rPr>
              <w:t>DM p</w:t>
            </w:r>
          </w:p>
        </w:tc>
      </w:tr>
      <w:tr>
        <w:trPr>
          <w:cantSplit/>
        </w:trPr>
        <w:tc>
          <w:tcPr>
            <w:tcW w:type="dxa" w:w="2331"/>
          </w:tcPr>
          <w:p>
            <w:pPr>
              <w:spacing w:after="40" w:line="240" w:lineRule="auto"/>
              <w:jc w:val="left"/>
            </w:pPr>
            <w:r/>
            <w:r>
              <w:rPr>
                <w:rFonts w:ascii="Times New Roman" w:hAnsi="Times New Roman"/>
                <w:sz w:val="19"/>
              </w:rPr>
              <w:t>Naive, tomorrow equals today</w:t>
            </w:r>
          </w:p>
        </w:tc>
        <w:tc>
          <w:tcPr>
            <w:tcW w:type="dxa" w:w="916"/>
          </w:tcPr>
          <w:p>
            <w:pPr>
              <w:spacing w:after="40" w:line="240" w:lineRule="auto"/>
              <w:jc w:val="center"/>
            </w:pPr>
            <w:r/>
            <w:r>
              <w:rPr>
                <w:rFonts w:ascii="Times New Roman" w:hAnsi="Times New Roman"/>
                <w:sz w:val="19"/>
              </w:rPr>
              <w:t>1.561%</w:t>
            </w:r>
          </w:p>
        </w:tc>
        <w:tc>
          <w:tcPr>
            <w:tcW w:type="dxa" w:w="1498"/>
          </w:tcPr>
          <w:p>
            <w:pPr>
              <w:spacing w:after="40" w:line="240" w:lineRule="auto"/>
              <w:jc w:val="center"/>
            </w:pPr>
            <w:r/>
            <w:r>
              <w:rPr>
                <w:rFonts w:ascii="Times New Roman" w:hAnsi="Times New Roman"/>
                <w:sz w:val="19"/>
              </w:rPr>
              <w:t>98.44%</w:t>
            </w:r>
          </w:p>
        </w:tc>
        <w:tc>
          <w:tcPr>
            <w:tcW w:type="dxa" w:w="916"/>
          </w:tcPr>
          <w:p>
            <w:pPr>
              <w:spacing w:after="40" w:line="240" w:lineRule="auto"/>
              <w:jc w:val="center"/>
            </w:pPr>
            <w:r/>
            <w:r>
              <w:rPr>
                <w:rFonts w:ascii="Times New Roman" w:hAnsi="Times New Roman"/>
                <w:sz w:val="19"/>
              </w:rPr>
              <w:t>$6.25</w:t>
            </w:r>
          </w:p>
        </w:tc>
        <w:tc>
          <w:tcPr>
            <w:tcW w:type="dxa" w:w="1082"/>
          </w:tcPr>
          <w:p>
            <w:pPr>
              <w:spacing w:after="40" w:line="240" w:lineRule="auto"/>
              <w:jc w:val="center"/>
            </w:pPr>
            <w:r/>
            <w:r>
              <w:rPr>
                <w:rFonts w:ascii="Times New Roman" w:hAnsi="Times New Roman"/>
                <w:sz w:val="19"/>
              </w:rPr>
              <w:t>0.99938</w:t>
            </w:r>
          </w:p>
        </w:tc>
        <w:tc>
          <w:tcPr>
            <w:tcW w:type="dxa" w:w="999"/>
          </w:tcPr>
          <w:p>
            <w:pPr>
              <w:spacing w:after="40" w:line="240" w:lineRule="auto"/>
              <w:jc w:val="center"/>
            </w:pPr>
            <w:r/>
            <w:r>
              <w:rPr>
                <w:rFonts w:ascii="Times New Roman" w:hAnsi="Times New Roman"/>
                <w:sz w:val="19"/>
              </w:rPr>
              <w:t>75.3%</w:t>
            </w:r>
          </w:p>
        </w:tc>
        <w:tc>
          <w:tcPr>
            <w:tcW w:type="dxa" w:w="1165"/>
          </w:tcPr>
          <w:p>
            <w:pPr>
              <w:spacing w:after="40" w:line="240" w:lineRule="auto"/>
              <w:jc w:val="center"/>
            </w:pPr>
            <w:r/>
            <w:r>
              <w:rPr>
                <w:rFonts w:ascii="Times New Roman" w:hAnsi="Times New Roman"/>
                <w:sz w:val="19"/>
              </w:rPr>
              <w:t>-</w:t>
            </w:r>
          </w:p>
        </w:tc>
      </w:tr>
      <w:tr>
        <w:trPr>
          <w:cantSplit/>
        </w:trPr>
        <w:tc>
          <w:tcPr>
            <w:tcW w:type="dxa" w:w="2331"/>
          </w:tcPr>
          <w:p>
            <w:pPr>
              <w:spacing w:after="40" w:line="240" w:lineRule="auto"/>
              <w:jc w:val="left"/>
            </w:pPr>
            <w:r/>
            <w:r>
              <w:rPr>
                <w:rFonts w:ascii="Times New Roman" w:hAnsi="Times New Roman"/>
                <w:sz w:val="19"/>
              </w:rPr>
              <w:t>Historical drift</w:t>
            </w:r>
          </w:p>
        </w:tc>
        <w:tc>
          <w:tcPr>
            <w:tcW w:type="dxa" w:w="916"/>
          </w:tcPr>
          <w:p>
            <w:pPr>
              <w:spacing w:after="40" w:line="240" w:lineRule="auto"/>
              <w:jc w:val="center"/>
            </w:pPr>
            <w:r/>
            <w:r>
              <w:rPr>
                <w:rFonts w:ascii="Times New Roman" w:hAnsi="Times New Roman"/>
                <w:sz w:val="19"/>
              </w:rPr>
              <w:t>1.560%</w:t>
            </w:r>
          </w:p>
        </w:tc>
        <w:tc>
          <w:tcPr>
            <w:tcW w:type="dxa" w:w="1498"/>
          </w:tcPr>
          <w:p>
            <w:pPr>
              <w:spacing w:after="40" w:line="240" w:lineRule="auto"/>
              <w:jc w:val="center"/>
            </w:pPr>
            <w:r/>
            <w:r>
              <w:rPr>
                <w:rFonts w:ascii="Times New Roman" w:hAnsi="Times New Roman"/>
                <w:sz w:val="19"/>
              </w:rPr>
              <w:t>98.44%</w:t>
            </w:r>
          </w:p>
        </w:tc>
        <w:tc>
          <w:tcPr>
            <w:tcW w:type="dxa" w:w="916"/>
          </w:tcPr>
          <w:p>
            <w:pPr>
              <w:spacing w:after="40" w:line="240" w:lineRule="auto"/>
              <w:jc w:val="center"/>
            </w:pPr>
            <w:r/>
            <w:r>
              <w:rPr>
                <w:rFonts w:ascii="Times New Roman" w:hAnsi="Times New Roman"/>
                <w:sz w:val="19"/>
              </w:rPr>
              <w:t>$6.25</w:t>
            </w:r>
          </w:p>
        </w:tc>
        <w:tc>
          <w:tcPr>
            <w:tcW w:type="dxa" w:w="1082"/>
          </w:tcPr>
          <w:p>
            <w:pPr>
              <w:spacing w:after="40" w:line="240" w:lineRule="auto"/>
              <w:jc w:val="center"/>
            </w:pPr>
            <w:r/>
            <w:r>
              <w:rPr>
                <w:rFonts w:ascii="Times New Roman" w:hAnsi="Times New Roman"/>
                <w:sz w:val="19"/>
              </w:rPr>
              <w:t>0.99938</w:t>
            </w:r>
          </w:p>
        </w:tc>
        <w:tc>
          <w:tcPr>
            <w:tcW w:type="dxa" w:w="999"/>
          </w:tcPr>
          <w:p>
            <w:pPr>
              <w:spacing w:after="40" w:line="240" w:lineRule="auto"/>
              <w:jc w:val="center"/>
            </w:pPr>
            <w:r/>
            <w:r>
              <w:rPr>
                <w:rFonts w:ascii="Times New Roman" w:hAnsi="Times New Roman"/>
                <w:sz w:val="19"/>
              </w:rPr>
              <w:t>75.4%</w:t>
            </w:r>
          </w:p>
        </w:tc>
        <w:tc>
          <w:tcPr>
            <w:tcW w:type="dxa" w:w="1165"/>
          </w:tcPr>
          <w:p>
            <w:pPr>
              <w:spacing w:after="40" w:line="240" w:lineRule="auto"/>
              <w:jc w:val="center"/>
            </w:pPr>
            <w:r/>
            <w:r>
              <w:rPr>
                <w:rFonts w:ascii="Times New Roman" w:hAnsi="Times New Roman"/>
                <w:sz w:val="19"/>
              </w:rPr>
              <w:t>0.25</w:t>
            </w:r>
          </w:p>
        </w:tc>
      </w:tr>
      <w:tr>
        <w:trPr>
          <w:cantSplit/>
        </w:trPr>
        <w:tc>
          <w:tcPr>
            <w:tcW w:type="dxa" w:w="2331"/>
          </w:tcPr>
          <w:p>
            <w:pPr>
              <w:spacing w:after="40" w:line="240" w:lineRule="auto"/>
              <w:jc w:val="left"/>
            </w:pPr>
            <w:r/>
            <w:r>
              <w:rPr>
                <w:rFonts w:ascii="Times New Roman" w:hAnsi="Times New Roman"/>
                <w:sz w:val="19"/>
              </w:rPr>
              <w:t>Ridge regression</w:t>
            </w:r>
          </w:p>
        </w:tc>
        <w:tc>
          <w:tcPr>
            <w:tcW w:type="dxa" w:w="916"/>
          </w:tcPr>
          <w:p>
            <w:pPr>
              <w:spacing w:after="40" w:line="240" w:lineRule="auto"/>
              <w:jc w:val="center"/>
            </w:pPr>
            <w:r/>
            <w:r>
              <w:rPr>
                <w:rFonts w:ascii="Times New Roman" w:hAnsi="Times New Roman"/>
                <w:sz w:val="19"/>
              </w:rPr>
              <w:t>1.567%</w:t>
            </w:r>
          </w:p>
        </w:tc>
        <w:tc>
          <w:tcPr>
            <w:tcW w:type="dxa" w:w="1498"/>
          </w:tcPr>
          <w:p>
            <w:pPr>
              <w:spacing w:after="40" w:line="240" w:lineRule="auto"/>
              <w:jc w:val="center"/>
            </w:pPr>
            <w:r/>
            <w:r>
              <w:rPr>
                <w:rFonts w:ascii="Times New Roman" w:hAnsi="Times New Roman"/>
                <w:sz w:val="19"/>
              </w:rPr>
              <w:t>98.43%</w:t>
            </w:r>
          </w:p>
        </w:tc>
        <w:tc>
          <w:tcPr>
            <w:tcW w:type="dxa" w:w="916"/>
          </w:tcPr>
          <w:p>
            <w:pPr>
              <w:spacing w:after="40" w:line="240" w:lineRule="auto"/>
              <w:jc w:val="center"/>
            </w:pPr>
            <w:r/>
            <w:r>
              <w:rPr>
                <w:rFonts w:ascii="Times New Roman" w:hAnsi="Times New Roman"/>
                <w:sz w:val="19"/>
              </w:rPr>
              <w:t>$6.27</w:t>
            </w:r>
          </w:p>
        </w:tc>
        <w:tc>
          <w:tcPr>
            <w:tcW w:type="dxa" w:w="1082"/>
          </w:tcPr>
          <w:p>
            <w:pPr>
              <w:spacing w:after="40" w:line="240" w:lineRule="auto"/>
              <w:jc w:val="center"/>
            </w:pPr>
            <w:r/>
            <w:r>
              <w:rPr>
                <w:rFonts w:ascii="Times New Roman" w:hAnsi="Times New Roman"/>
                <w:sz w:val="19"/>
              </w:rPr>
              <w:t>0.99937</w:t>
            </w:r>
          </w:p>
        </w:tc>
        <w:tc>
          <w:tcPr>
            <w:tcW w:type="dxa" w:w="999"/>
          </w:tcPr>
          <w:p>
            <w:pPr>
              <w:spacing w:after="40" w:line="240" w:lineRule="auto"/>
              <w:jc w:val="center"/>
            </w:pPr>
            <w:r/>
            <w:r>
              <w:rPr>
                <w:rFonts w:ascii="Times New Roman" w:hAnsi="Times New Roman"/>
                <w:sz w:val="19"/>
              </w:rPr>
              <w:t>75.3%</w:t>
            </w:r>
          </w:p>
        </w:tc>
        <w:tc>
          <w:tcPr>
            <w:tcW w:type="dxa" w:w="1165"/>
          </w:tcPr>
          <w:p>
            <w:pPr>
              <w:spacing w:after="40" w:line="240" w:lineRule="auto"/>
              <w:jc w:val="center"/>
            </w:pPr>
            <w:r/>
            <w:r>
              <w:rPr>
                <w:rFonts w:ascii="Times New Roman" w:hAnsi="Times New Roman"/>
                <w:sz w:val="19"/>
              </w:rPr>
              <w:t>0.17</w:t>
            </w:r>
          </w:p>
        </w:tc>
      </w:tr>
      <w:tr>
        <w:trPr>
          <w:cantSplit/>
        </w:trPr>
        <w:tc>
          <w:tcPr>
            <w:tcW w:type="dxa" w:w="2331"/>
          </w:tcPr>
          <w:p>
            <w:pPr>
              <w:spacing w:after="40" w:line="240" w:lineRule="auto"/>
              <w:jc w:val="left"/>
            </w:pPr>
            <w:r/>
            <w:r>
              <w:rPr>
                <w:rFonts w:ascii="Times New Roman" w:hAnsi="Times New Roman"/>
                <w:sz w:val="19"/>
              </w:rPr>
              <w:t>RF on price levels</w:t>
            </w:r>
          </w:p>
        </w:tc>
        <w:tc>
          <w:tcPr>
            <w:tcW w:type="dxa" w:w="916"/>
          </w:tcPr>
          <w:p>
            <w:pPr>
              <w:spacing w:after="40" w:line="240" w:lineRule="auto"/>
              <w:jc w:val="center"/>
            </w:pPr>
            <w:r/>
            <w:r>
              <w:rPr>
                <w:rFonts w:ascii="Times New Roman" w:hAnsi="Times New Roman"/>
                <w:sz w:val="19"/>
              </w:rPr>
              <w:t>1.583%</w:t>
            </w:r>
          </w:p>
        </w:tc>
        <w:tc>
          <w:tcPr>
            <w:tcW w:type="dxa" w:w="1498"/>
          </w:tcPr>
          <w:p>
            <w:pPr>
              <w:spacing w:after="40" w:line="240" w:lineRule="auto"/>
              <w:jc w:val="center"/>
            </w:pPr>
            <w:r/>
            <w:r>
              <w:rPr>
                <w:rFonts w:ascii="Times New Roman" w:hAnsi="Times New Roman"/>
                <w:sz w:val="19"/>
              </w:rPr>
              <w:t>98.42%</w:t>
            </w:r>
          </w:p>
        </w:tc>
        <w:tc>
          <w:tcPr>
            <w:tcW w:type="dxa" w:w="916"/>
          </w:tcPr>
          <w:p>
            <w:pPr>
              <w:spacing w:after="40" w:line="240" w:lineRule="auto"/>
              <w:jc w:val="center"/>
            </w:pPr>
            <w:r/>
            <w:r>
              <w:rPr>
                <w:rFonts w:ascii="Times New Roman" w:hAnsi="Times New Roman"/>
                <w:sz w:val="19"/>
              </w:rPr>
              <w:t>$21.56</w:t>
            </w:r>
          </w:p>
        </w:tc>
        <w:tc>
          <w:tcPr>
            <w:tcW w:type="dxa" w:w="1082"/>
          </w:tcPr>
          <w:p>
            <w:pPr>
              <w:spacing w:after="40" w:line="240" w:lineRule="auto"/>
              <w:jc w:val="center"/>
            </w:pPr>
            <w:r/>
            <w:r>
              <w:rPr>
                <w:rFonts w:ascii="Times New Roman" w:hAnsi="Times New Roman"/>
                <w:sz w:val="19"/>
              </w:rPr>
              <w:t>0.99261</w:t>
            </w:r>
          </w:p>
        </w:tc>
        <w:tc>
          <w:tcPr>
            <w:tcW w:type="dxa" w:w="999"/>
          </w:tcPr>
          <w:p>
            <w:pPr>
              <w:spacing w:after="40" w:line="240" w:lineRule="auto"/>
              <w:jc w:val="center"/>
            </w:pPr>
            <w:r/>
            <w:r>
              <w:rPr>
                <w:rFonts w:ascii="Times New Roman" w:hAnsi="Times New Roman"/>
                <w:sz w:val="19"/>
              </w:rPr>
              <w:t>75.0%</w:t>
            </w:r>
          </w:p>
        </w:tc>
        <w:tc>
          <w:tcPr>
            <w:tcW w:type="dxa" w:w="1165"/>
          </w:tcPr>
          <w:p>
            <w:pPr>
              <w:spacing w:after="40" w:line="240" w:lineRule="auto"/>
              <w:jc w:val="center"/>
            </w:pPr>
            <w:r/>
            <w:r>
              <w:rPr>
                <w:rFonts w:ascii="Times New Roman" w:hAnsi="Times New Roman"/>
                <w:sz w:val="19"/>
              </w:rPr>
              <w:t>&lt;0.001 worse</w:t>
            </w:r>
          </w:p>
        </w:tc>
      </w:tr>
      <w:tr>
        <w:trPr>
          <w:cantSplit/>
        </w:trPr>
        <w:tc>
          <w:tcPr>
            <w:tcW w:type="dxa" w:w="2331"/>
          </w:tcPr>
          <w:p>
            <w:pPr>
              <w:spacing w:after="40" w:line="240" w:lineRule="auto"/>
              <w:jc w:val="left"/>
            </w:pPr>
            <w:r/>
            <w:r>
              <w:rPr>
                <w:rFonts w:ascii="Times New Roman" w:hAnsi="Times New Roman"/>
                <w:sz w:val="19"/>
              </w:rPr>
              <w:t>Random Forest (proposed)</w:t>
            </w:r>
          </w:p>
        </w:tc>
        <w:tc>
          <w:tcPr>
            <w:tcW w:type="dxa" w:w="916"/>
          </w:tcPr>
          <w:p>
            <w:pPr>
              <w:spacing w:after="40" w:line="240" w:lineRule="auto"/>
              <w:jc w:val="center"/>
            </w:pPr>
            <w:r/>
            <w:r>
              <w:rPr>
                <w:rFonts w:ascii="Times New Roman" w:hAnsi="Times New Roman"/>
                <w:sz w:val="19"/>
              </w:rPr>
              <w:t>1.560%</w:t>
            </w:r>
          </w:p>
        </w:tc>
        <w:tc>
          <w:tcPr>
            <w:tcW w:type="dxa" w:w="1498"/>
          </w:tcPr>
          <w:p>
            <w:pPr>
              <w:spacing w:after="40" w:line="240" w:lineRule="auto"/>
              <w:jc w:val="center"/>
            </w:pPr>
            <w:r/>
            <w:r>
              <w:rPr>
                <w:rFonts w:ascii="Times New Roman" w:hAnsi="Times New Roman"/>
                <w:sz w:val="19"/>
              </w:rPr>
              <w:t>98.44%</w:t>
            </w:r>
          </w:p>
        </w:tc>
        <w:tc>
          <w:tcPr>
            <w:tcW w:type="dxa" w:w="916"/>
          </w:tcPr>
          <w:p>
            <w:pPr>
              <w:spacing w:after="40" w:line="240" w:lineRule="auto"/>
              <w:jc w:val="center"/>
            </w:pPr>
            <w:r/>
            <w:r>
              <w:rPr>
                <w:rFonts w:ascii="Times New Roman" w:hAnsi="Times New Roman"/>
                <w:sz w:val="19"/>
              </w:rPr>
              <w:t>$6.25</w:t>
            </w:r>
          </w:p>
        </w:tc>
        <w:tc>
          <w:tcPr>
            <w:tcW w:type="dxa" w:w="1082"/>
          </w:tcPr>
          <w:p>
            <w:pPr>
              <w:spacing w:after="40" w:line="240" w:lineRule="auto"/>
              <w:jc w:val="center"/>
            </w:pPr>
            <w:r/>
            <w:r>
              <w:rPr>
                <w:rFonts w:ascii="Times New Roman" w:hAnsi="Times New Roman"/>
                <w:sz w:val="19"/>
              </w:rPr>
              <w:t>0.99938</w:t>
            </w:r>
          </w:p>
        </w:tc>
        <w:tc>
          <w:tcPr>
            <w:tcW w:type="dxa" w:w="999"/>
          </w:tcPr>
          <w:p>
            <w:pPr>
              <w:spacing w:after="40" w:line="240" w:lineRule="auto"/>
              <w:jc w:val="center"/>
            </w:pPr>
            <w:r/>
            <w:r>
              <w:rPr>
                <w:rFonts w:ascii="Times New Roman" w:hAnsi="Times New Roman"/>
                <w:sz w:val="19"/>
              </w:rPr>
              <w:t>75.4%</w:t>
            </w:r>
          </w:p>
        </w:tc>
        <w:tc>
          <w:tcPr>
            <w:tcW w:type="dxa" w:w="1165"/>
          </w:tcPr>
          <w:p>
            <w:pPr>
              <w:spacing w:after="40" w:line="240" w:lineRule="auto"/>
              <w:jc w:val="center"/>
            </w:pPr>
            <w:r/>
            <w:r>
              <w:rPr>
                <w:rFonts w:ascii="Times New Roman" w:hAnsi="Times New Roman"/>
                <w:sz w:val="19"/>
              </w:rPr>
              <w:t>0.30</w:t>
            </w:r>
          </w:p>
        </w:tc>
      </w:tr>
    </w:tbl>
    <w:p>
      <w:pPr>
        <w:keepNext w:val="0"/>
        <w:spacing w:line="276" w:lineRule="auto" w:after="80"/>
        <w:jc w:val="both"/>
      </w:pPr>
    </w:p>
    <w:p>
      <w:pPr>
        <w:keepNext/>
        <w:spacing w:line="240" w:lineRule="auto" w:after="200"/>
        <w:jc w:val="center"/>
      </w:pPr>
      <w:r>
        <w:rPr>
          <w:rFonts w:ascii="Times New Roman" w:hAnsi="Times New Roman"/>
          <w:b w:val="0"/>
          <w:i w:val="0"/>
          <w:sz w:val="20"/>
        </w:rPr>
        <w:t>Table 7.3  The same model, two verdicts</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2517"/>
        <w:gridCol w:w="1742"/>
        <w:gridCol w:w="4646"/>
      </w:tblGrid>
      <w:tr>
        <w:trPr>
          <w:cantSplit/>
          <w:tblHeader/>
        </w:trPr>
        <w:tc>
          <w:tcPr>
            <w:tcW w:type="dxa" w:w="2517"/>
            <w:shd w:val="clear" w:color="auto" w:fill="D9E2F3"/>
          </w:tcPr>
          <w:p>
            <w:pPr>
              <w:spacing w:after="40" w:line="240" w:lineRule="auto"/>
              <w:jc w:val="center"/>
            </w:pPr>
            <w:r/>
            <w:r>
              <w:rPr>
                <w:rFonts w:ascii="Times New Roman" w:hAnsi="Times New Roman"/>
                <w:b/>
                <w:sz w:val="19"/>
              </w:rPr>
              <w:t>Scored on</w:t>
            </w:r>
          </w:p>
        </w:tc>
        <w:tc>
          <w:tcPr>
            <w:tcW w:type="dxa" w:w="1743"/>
            <w:shd w:val="clear" w:color="auto" w:fill="D9E2F3"/>
          </w:tcPr>
          <w:p>
            <w:pPr>
              <w:spacing w:after="40" w:line="240" w:lineRule="auto"/>
              <w:jc w:val="center"/>
            </w:pPr>
            <w:r/>
            <w:r>
              <w:rPr>
                <w:rFonts w:ascii="Times New Roman" w:hAnsi="Times New Roman"/>
                <w:b/>
                <w:sz w:val="19"/>
              </w:rPr>
              <w:t>R-squared</w:t>
            </w:r>
          </w:p>
        </w:tc>
        <w:tc>
          <w:tcPr>
            <w:tcW w:type="dxa" w:w="4647"/>
            <w:shd w:val="clear" w:color="auto" w:fill="D9E2F3"/>
          </w:tcPr>
          <w:p>
            <w:pPr>
              <w:spacing w:after="40" w:line="240" w:lineRule="auto"/>
              <w:jc w:val="center"/>
            </w:pPr>
            <w:r/>
            <w:r>
              <w:rPr>
                <w:rFonts w:ascii="Times New Roman" w:hAnsi="Times New Roman"/>
                <w:b/>
                <w:sz w:val="19"/>
              </w:rPr>
              <w:t>Reading</w:t>
            </w:r>
          </w:p>
        </w:tc>
      </w:tr>
      <w:tr>
        <w:trPr>
          <w:cantSplit/>
        </w:trPr>
        <w:tc>
          <w:tcPr>
            <w:tcW w:type="dxa" w:w="2517"/>
          </w:tcPr>
          <w:p>
            <w:pPr>
              <w:spacing w:after="40" w:line="240" w:lineRule="auto"/>
              <w:jc w:val="left"/>
            </w:pPr>
            <w:r/>
            <w:r>
              <w:rPr>
                <w:rFonts w:ascii="Times New Roman" w:hAnsi="Times New Roman"/>
                <w:sz w:val="19"/>
              </w:rPr>
              <w:t>The price level</w:t>
            </w:r>
          </w:p>
        </w:tc>
        <w:tc>
          <w:tcPr>
            <w:tcW w:type="dxa" w:w="1743"/>
          </w:tcPr>
          <w:p>
            <w:pPr>
              <w:spacing w:after="40" w:line="240" w:lineRule="auto"/>
              <w:jc w:val="center"/>
            </w:pPr>
            <w:r/>
            <w:r>
              <w:rPr>
                <w:rFonts w:ascii="Times New Roman" w:hAnsi="Times New Roman"/>
                <w:sz w:val="19"/>
              </w:rPr>
              <w:t>0.9994</w:t>
            </w:r>
          </w:p>
        </w:tc>
        <w:tc>
          <w:tcPr>
            <w:tcW w:type="dxa" w:w="4647"/>
          </w:tcPr>
          <w:p>
            <w:pPr>
              <w:spacing w:after="40" w:line="240" w:lineRule="auto"/>
              <w:jc w:val="center"/>
            </w:pPr>
            <w:r/>
            <w:r>
              <w:rPr>
                <w:rFonts w:ascii="Times New Roman" w:hAnsi="Times New Roman"/>
                <w:sz w:val="19"/>
              </w:rPr>
              <w:t>A near-perfect forecaster</w:t>
            </w:r>
          </w:p>
        </w:tc>
      </w:tr>
      <w:tr>
        <w:trPr>
          <w:cantSplit/>
        </w:trPr>
        <w:tc>
          <w:tcPr>
            <w:tcW w:type="dxa" w:w="2517"/>
          </w:tcPr>
          <w:p>
            <w:pPr>
              <w:spacing w:after="40" w:line="240" w:lineRule="auto"/>
              <w:jc w:val="left"/>
            </w:pPr>
            <w:r/>
            <w:r>
              <w:rPr>
                <w:rFonts w:ascii="Times New Roman" w:hAnsi="Times New Roman"/>
                <w:sz w:val="19"/>
              </w:rPr>
              <w:t>The next-day return</w:t>
            </w:r>
          </w:p>
        </w:tc>
        <w:tc>
          <w:tcPr>
            <w:tcW w:type="dxa" w:w="1743"/>
          </w:tcPr>
          <w:p>
            <w:pPr>
              <w:spacing w:after="40" w:line="240" w:lineRule="auto"/>
              <w:jc w:val="center"/>
            </w:pPr>
            <w:r/>
            <w:r>
              <w:rPr>
                <w:rFonts w:ascii="Times New Roman" w:hAnsi="Times New Roman"/>
                <w:sz w:val="19"/>
              </w:rPr>
              <w:t>+0.00013</w:t>
            </w:r>
          </w:p>
        </w:tc>
        <w:tc>
          <w:tcPr>
            <w:tcW w:type="dxa" w:w="4647"/>
          </w:tcPr>
          <w:p>
            <w:pPr>
              <w:spacing w:after="40" w:line="240" w:lineRule="auto"/>
              <w:jc w:val="center"/>
            </w:pPr>
            <w:r/>
            <w:r>
              <w:rPr>
                <w:rFonts w:ascii="Times New Roman" w:hAnsi="Times New Roman"/>
                <w:sz w:val="19"/>
              </w:rPr>
              <w:t>Indistinguishable from predicting no change</w:t>
            </w:r>
          </w:p>
        </w:tc>
      </w:tr>
    </w:tbl>
    <w:p>
      <w:pPr>
        <w:keepNext w:val="0"/>
        <w:spacing w:line="276" w:lineRule="auto" w:after="80"/>
        <w:jc w:val="both"/>
      </w:pPr>
    </w:p>
    <w:p>
      <w:pPr>
        <w:keepNext w:val="0"/>
        <w:spacing w:line="276" w:lineRule="auto" w:after="120"/>
        <w:jc w:val="both"/>
      </w:pPr>
      <w:r>
        <w:rPr>
          <w:rFonts w:ascii="Times New Roman" w:hAnsi="Times New Roman"/>
          <w:b w:val="0"/>
          <w:i w:val="0"/>
          <w:sz w:val="24"/>
        </w:rPr>
        <w:t>Both numbers come from one set of forecasts. Price-space R-squared is high because tomorrow's price is almost today's price, so the denominator, the variance of the price level across stocks and months, is enormous compared with the one-day error. It measures the price level, not the forecast. The figure of 98.44 per cent accuracy is a property of daily stock prices rather than an achievement of the model, and naive persistence matches it to three decimal places.</w:t>
      </w:r>
    </w:p>
    <w:p>
      <w:pPr>
        <w:keepNext w:val="0"/>
        <w:spacing w:line="276" w:lineRule="auto" w:after="120"/>
        <w:jc w:val="both"/>
      </w:pPr>
      <w:r>
        <w:rPr>
          <w:rFonts w:ascii="Times New Roman" w:hAnsi="Times New Roman"/>
          <w:b w:val="0"/>
          <w:i w:val="0"/>
          <w:sz w:val="24"/>
        </w:rPr>
        <w:t>The price-level Random Forest demonstrates the second failure mode. It reports an R-squared of 0.993 and 98.4 per cent accuracy, yet its root mean squared error is 3.4 times that of naive persistence and it is significantly worse on the Diebold-Mariano test. Its error grows from six dollars in 2019 to thirty-six dollars in 2021 as prices trend to new highs, because a tree cannot predict above the range it was trained on.</w:t>
      </w:r>
    </w:p>
    <w:p>
      <w:pPr>
        <w:keepNext/>
        <w:spacing w:after="80"/>
        <w:jc w:val="center"/>
      </w:pPr>
      <w:r>
        <w:drawing>
          <wp:inline xmlns:a="http://schemas.openxmlformats.org/drawingml/2006/main" xmlns:pic="http://schemas.openxmlformats.org/drawingml/2006/picture">
            <wp:extent cx="5040000" cy="1884347"/>
            <wp:docPr id="9" name="Picture 9"/>
            <wp:cNvGraphicFramePr>
              <a:graphicFrameLocks noChangeAspect="1"/>
            </wp:cNvGraphicFramePr>
            <a:graphic>
              <a:graphicData uri="http://schemas.openxmlformats.org/drawingml/2006/picture">
                <pic:pic>
                  <pic:nvPicPr>
                    <pic:cNvPr id="0" name="price_vs_return.png"/>
                    <pic:cNvPicPr/>
                  </pic:nvPicPr>
                  <pic:blipFill>
                    <a:blip r:embed="rId19"/>
                    <a:stretch>
                      <a:fillRect/>
                    </a:stretch>
                  </pic:blipFill>
                  <pic:spPr>
                    <a:xfrm>
                      <a:off x="0" y="0"/>
                      <a:ext cx="5040000" cy="1884347"/>
                    </a:xfrm>
                    <a:prstGeom prst="rect"/>
                  </pic:spPr>
                </pic:pic>
              </a:graphicData>
            </a:graphic>
          </wp:inline>
        </w:drawing>
      </w:r>
    </w:p>
    <w:p>
      <w:pPr>
        <w:keepNext w:val="0"/>
        <w:spacing w:line="240" w:lineRule="auto" w:after="200"/>
        <w:jc w:val="center"/>
      </w:pPr>
      <w:r>
        <w:rPr>
          <w:rFonts w:ascii="Times New Roman" w:hAnsi="Times New Roman"/>
          <w:b w:val="0"/>
          <w:i w:val="0"/>
          <w:sz w:val="20"/>
        </w:rPr>
        <w:t>Figure 7.2  The same forecasts scored on the price level and on the return, and how narrowly the forecasts move</w:t>
      </w:r>
    </w:p>
    <w:p>
      <w:pPr>
        <w:keepNext/>
        <w:spacing w:after="80"/>
        <w:jc w:val="center"/>
      </w:pPr>
      <w:r>
        <w:drawing>
          <wp:inline xmlns:a="http://schemas.openxmlformats.org/drawingml/2006/main" xmlns:pic="http://schemas.openxmlformats.org/drawingml/2006/picture">
            <wp:extent cx="5040000" cy="1523948"/>
            <wp:docPr id="10" name="Picture 10"/>
            <wp:cNvGraphicFramePr>
              <a:graphicFrameLocks noChangeAspect="1"/>
            </wp:cNvGraphicFramePr>
            <a:graphic>
              <a:graphicData uri="http://schemas.openxmlformats.org/drawingml/2006/picture">
                <pic:pic>
                  <pic:nvPicPr>
                    <pic:cNvPr id="0" name="price_accuracy.png"/>
                    <pic:cNvPicPr/>
                  </pic:nvPicPr>
                  <pic:blipFill>
                    <a:blip r:embed="rId20"/>
                    <a:stretch>
                      <a:fillRect/>
                    </a:stretch>
                  </pic:blipFill>
                  <pic:spPr>
                    <a:xfrm>
                      <a:off x="0" y="0"/>
                      <a:ext cx="5040000" cy="1523948"/>
                    </a:xfrm>
                    <a:prstGeom prst="rect"/>
                  </pic:spPr>
                </pic:pic>
              </a:graphicData>
            </a:graphic>
          </wp:inline>
        </w:drawing>
      </w:r>
    </w:p>
    <w:p>
      <w:pPr>
        <w:keepNext w:val="0"/>
        <w:spacing w:line="240" w:lineRule="auto" w:after="200"/>
        <w:jc w:val="center"/>
      </w:pPr>
      <w:r>
        <w:rPr>
          <w:rFonts w:ascii="Times New Roman" w:hAnsi="Times New Roman"/>
          <w:b w:val="0"/>
          <w:i w:val="0"/>
          <w:sz w:val="20"/>
        </w:rPr>
        <w:t>Figure 7.3  Next-day price error and the share of forecasts within two per cent, by model</w:t>
      </w:r>
    </w:p>
    <w:p>
      <w:pPr>
        <w:keepNext/>
        <w:spacing w:after="80"/>
        <w:jc w:val="center"/>
      </w:pPr>
      <w:r>
        <w:drawing>
          <wp:inline xmlns:a="http://schemas.openxmlformats.org/drawingml/2006/main" xmlns:pic="http://schemas.openxmlformats.org/drawingml/2006/picture">
            <wp:extent cx="5040000" cy="3052517"/>
            <wp:docPr id="11" name="Picture 11"/>
            <wp:cNvGraphicFramePr>
              <a:graphicFrameLocks noChangeAspect="1"/>
            </wp:cNvGraphicFramePr>
            <a:graphic>
              <a:graphicData uri="http://schemas.openxmlformats.org/drawingml/2006/picture">
                <pic:pic>
                  <pic:nvPicPr>
                    <pic:cNvPr id="0" name="price_paths_AAPL.png"/>
                    <pic:cNvPicPr/>
                  </pic:nvPicPr>
                  <pic:blipFill>
                    <a:blip r:embed="rId21"/>
                    <a:stretch>
                      <a:fillRect/>
                    </a:stretch>
                  </pic:blipFill>
                  <pic:spPr>
                    <a:xfrm>
                      <a:off x="0" y="0"/>
                      <a:ext cx="5040000" cy="3052517"/>
                    </a:xfrm>
                    <a:prstGeom prst="rect"/>
                  </pic:spPr>
                </pic:pic>
              </a:graphicData>
            </a:graphic>
          </wp:inline>
        </w:drawing>
      </w:r>
    </w:p>
    <w:p>
      <w:pPr>
        <w:keepNext w:val="0"/>
        <w:spacing w:line="240" w:lineRule="auto" w:after="200"/>
        <w:jc w:val="center"/>
      </w:pPr>
      <w:r>
        <w:rPr>
          <w:rFonts w:ascii="Times New Roman" w:hAnsi="Times New Roman"/>
          <w:b w:val="0"/>
          <w:i w:val="0"/>
          <w:sz w:val="20"/>
        </w:rPr>
        <w:t>Figure 7.4  AAPL one-day-ahead forecasts against actual closing prices</w:t>
      </w:r>
    </w:p>
    <w:p>
      <w:pPr>
        <w:keepNext/>
        <w:spacing w:line="240" w:lineRule="auto" w:after="120"/>
        <w:jc w:val="left"/>
      </w:pPr>
      <w:r>
        <w:rPr>
          <w:rFonts w:ascii="Times New Roman" w:hAnsi="Times New Roman"/>
          <w:b/>
          <w:i/>
          <w:sz w:val="24"/>
        </w:rPr>
        <w:t>7.1.3 Economic View and Cost Analysis</w:t>
      </w:r>
    </w:p>
    <w:p>
      <w:pPr>
        <w:keepNext w:val="0"/>
        <w:spacing w:line="276" w:lineRule="auto" w:after="120"/>
        <w:jc w:val="both"/>
      </w:pPr>
      <w:r>
        <w:rPr>
          <w:rFonts w:ascii="Times New Roman" w:hAnsi="Times New Roman"/>
          <w:b w:val="0"/>
          <w:i w:val="0"/>
          <w:sz w:val="24"/>
        </w:rPr>
        <w:t>Sorting each day's stocks by predicted return and measuring what each decile actually returned gives the economic reading of the same forecasts.</w:t>
      </w:r>
    </w:p>
    <w:p>
      <w:pPr>
        <w:keepNext/>
        <w:spacing w:line="240" w:lineRule="auto" w:after="200"/>
        <w:jc w:val="center"/>
      </w:pPr>
      <w:r>
        <w:rPr>
          <w:rFonts w:ascii="Times New Roman" w:hAnsi="Times New Roman"/>
          <w:b w:val="0"/>
          <w:i w:val="0"/>
          <w:sz w:val="20"/>
        </w:rPr>
        <w:t>Table 7.4  Mean actual next-day return by decile of predicted return, in basis points</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2389"/>
        <w:gridCol w:w="651"/>
        <w:gridCol w:w="651"/>
        <w:gridCol w:w="651"/>
        <w:gridCol w:w="651"/>
        <w:gridCol w:w="651"/>
        <w:gridCol w:w="651"/>
        <w:gridCol w:w="651"/>
        <w:gridCol w:w="651"/>
        <w:gridCol w:w="651"/>
        <w:gridCol w:w="651"/>
      </w:tblGrid>
      <w:tr>
        <w:trPr>
          <w:cantSplit/>
          <w:tblHeader/>
        </w:trPr>
        <w:tc>
          <w:tcPr>
            <w:tcW w:type="dxa" w:w="2390"/>
            <w:shd w:val="clear" w:color="auto" w:fill="D9E2F3"/>
          </w:tcPr>
          <w:p>
            <w:pPr>
              <w:spacing w:after="40" w:line="240" w:lineRule="auto"/>
              <w:jc w:val="center"/>
            </w:pPr>
            <w:r/>
            <w:r>
              <w:rPr>
                <w:rFonts w:ascii="Times New Roman" w:hAnsi="Times New Roman"/>
                <w:b/>
                <w:sz w:val="19"/>
              </w:rPr>
              <w:t>Decile</w:t>
            </w:r>
          </w:p>
        </w:tc>
        <w:tc>
          <w:tcPr>
            <w:tcW w:type="dxa" w:w="652"/>
            <w:shd w:val="clear" w:color="auto" w:fill="D9E2F3"/>
          </w:tcPr>
          <w:p>
            <w:pPr>
              <w:spacing w:after="40" w:line="240" w:lineRule="auto"/>
              <w:jc w:val="center"/>
            </w:pPr>
            <w:r/>
            <w:r>
              <w:rPr>
                <w:rFonts w:ascii="Times New Roman" w:hAnsi="Times New Roman"/>
                <w:b/>
                <w:sz w:val="19"/>
              </w:rPr>
              <w:t>1</w:t>
            </w:r>
          </w:p>
        </w:tc>
        <w:tc>
          <w:tcPr>
            <w:tcW w:type="dxa" w:w="652"/>
            <w:shd w:val="clear" w:color="auto" w:fill="D9E2F3"/>
          </w:tcPr>
          <w:p>
            <w:pPr>
              <w:spacing w:after="40" w:line="240" w:lineRule="auto"/>
              <w:jc w:val="center"/>
            </w:pPr>
            <w:r/>
            <w:r>
              <w:rPr>
                <w:rFonts w:ascii="Times New Roman" w:hAnsi="Times New Roman"/>
                <w:b/>
                <w:sz w:val="19"/>
              </w:rPr>
              <w:t>2</w:t>
            </w:r>
          </w:p>
        </w:tc>
        <w:tc>
          <w:tcPr>
            <w:tcW w:type="dxa" w:w="652"/>
            <w:shd w:val="clear" w:color="auto" w:fill="D9E2F3"/>
          </w:tcPr>
          <w:p>
            <w:pPr>
              <w:spacing w:after="40" w:line="240" w:lineRule="auto"/>
              <w:jc w:val="center"/>
            </w:pPr>
            <w:r/>
            <w:r>
              <w:rPr>
                <w:rFonts w:ascii="Times New Roman" w:hAnsi="Times New Roman"/>
                <w:b/>
                <w:sz w:val="19"/>
              </w:rPr>
              <w:t>3</w:t>
            </w:r>
          </w:p>
        </w:tc>
        <w:tc>
          <w:tcPr>
            <w:tcW w:type="dxa" w:w="652"/>
            <w:shd w:val="clear" w:color="auto" w:fill="D9E2F3"/>
          </w:tcPr>
          <w:p>
            <w:pPr>
              <w:spacing w:after="40" w:line="240" w:lineRule="auto"/>
              <w:jc w:val="center"/>
            </w:pPr>
            <w:r/>
            <w:r>
              <w:rPr>
                <w:rFonts w:ascii="Times New Roman" w:hAnsi="Times New Roman"/>
                <w:b/>
                <w:sz w:val="19"/>
              </w:rPr>
              <w:t>4</w:t>
            </w:r>
          </w:p>
        </w:tc>
        <w:tc>
          <w:tcPr>
            <w:tcW w:type="dxa" w:w="652"/>
            <w:shd w:val="clear" w:color="auto" w:fill="D9E2F3"/>
          </w:tcPr>
          <w:p>
            <w:pPr>
              <w:spacing w:after="40" w:line="240" w:lineRule="auto"/>
              <w:jc w:val="center"/>
            </w:pPr>
            <w:r/>
            <w:r>
              <w:rPr>
                <w:rFonts w:ascii="Times New Roman" w:hAnsi="Times New Roman"/>
                <w:b/>
                <w:sz w:val="19"/>
              </w:rPr>
              <w:t>5</w:t>
            </w:r>
          </w:p>
        </w:tc>
        <w:tc>
          <w:tcPr>
            <w:tcW w:type="dxa" w:w="652"/>
            <w:shd w:val="clear" w:color="auto" w:fill="D9E2F3"/>
          </w:tcPr>
          <w:p>
            <w:pPr>
              <w:spacing w:after="40" w:line="240" w:lineRule="auto"/>
              <w:jc w:val="center"/>
            </w:pPr>
            <w:r/>
            <w:r>
              <w:rPr>
                <w:rFonts w:ascii="Times New Roman" w:hAnsi="Times New Roman"/>
                <w:b/>
                <w:sz w:val="19"/>
              </w:rPr>
              <w:t>6</w:t>
            </w:r>
          </w:p>
        </w:tc>
        <w:tc>
          <w:tcPr>
            <w:tcW w:type="dxa" w:w="652"/>
            <w:shd w:val="clear" w:color="auto" w:fill="D9E2F3"/>
          </w:tcPr>
          <w:p>
            <w:pPr>
              <w:spacing w:after="40" w:line="240" w:lineRule="auto"/>
              <w:jc w:val="center"/>
            </w:pPr>
            <w:r/>
            <w:r>
              <w:rPr>
                <w:rFonts w:ascii="Times New Roman" w:hAnsi="Times New Roman"/>
                <w:b/>
                <w:sz w:val="19"/>
              </w:rPr>
              <w:t>7</w:t>
            </w:r>
          </w:p>
        </w:tc>
        <w:tc>
          <w:tcPr>
            <w:tcW w:type="dxa" w:w="652"/>
            <w:shd w:val="clear" w:color="auto" w:fill="D9E2F3"/>
          </w:tcPr>
          <w:p>
            <w:pPr>
              <w:spacing w:after="40" w:line="240" w:lineRule="auto"/>
              <w:jc w:val="center"/>
            </w:pPr>
            <w:r/>
            <w:r>
              <w:rPr>
                <w:rFonts w:ascii="Times New Roman" w:hAnsi="Times New Roman"/>
                <w:b/>
                <w:sz w:val="19"/>
              </w:rPr>
              <w:t>8</w:t>
            </w:r>
          </w:p>
        </w:tc>
        <w:tc>
          <w:tcPr>
            <w:tcW w:type="dxa" w:w="652"/>
            <w:shd w:val="clear" w:color="auto" w:fill="D9E2F3"/>
          </w:tcPr>
          <w:p>
            <w:pPr>
              <w:spacing w:after="40" w:line="240" w:lineRule="auto"/>
              <w:jc w:val="center"/>
            </w:pPr>
            <w:r/>
            <w:r>
              <w:rPr>
                <w:rFonts w:ascii="Times New Roman" w:hAnsi="Times New Roman"/>
                <w:b/>
                <w:sz w:val="19"/>
              </w:rPr>
              <w:t>9</w:t>
            </w:r>
          </w:p>
        </w:tc>
        <w:tc>
          <w:tcPr>
            <w:tcW w:type="dxa" w:w="652"/>
            <w:shd w:val="clear" w:color="auto" w:fill="D9E2F3"/>
          </w:tcPr>
          <w:p>
            <w:pPr>
              <w:spacing w:after="40" w:line="240" w:lineRule="auto"/>
              <w:jc w:val="center"/>
            </w:pPr>
            <w:r/>
            <w:r>
              <w:rPr>
                <w:rFonts w:ascii="Times New Roman" w:hAnsi="Times New Roman"/>
                <w:b/>
                <w:sz w:val="19"/>
              </w:rPr>
              <w:t>10</w:t>
            </w:r>
          </w:p>
        </w:tc>
      </w:tr>
      <w:tr>
        <w:trPr>
          <w:cantSplit/>
        </w:trPr>
        <w:tc>
          <w:tcPr>
            <w:tcW w:type="dxa" w:w="2390"/>
          </w:tcPr>
          <w:p>
            <w:pPr>
              <w:spacing w:after="40" w:line="240" w:lineRule="auto"/>
              <w:jc w:val="left"/>
            </w:pPr>
            <w:r/>
            <w:r>
              <w:rPr>
                <w:rFonts w:ascii="Times New Roman" w:hAnsi="Times New Roman"/>
                <w:sz w:val="19"/>
              </w:rPr>
              <w:t>Actual return (bp)</w:t>
            </w:r>
          </w:p>
        </w:tc>
        <w:tc>
          <w:tcPr>
            <w:tcW w:type="dxa" w:w="652"/>
          </w:tcPr>
          <w:p>
            <w:pPr>
              <w:spacing w:after="40" w:line="240" w:lineRule="auto"/>
              <w:jc w:val="center"/>
            </w:pPr>
            <w:r/>
            <w:r>
              <w:rPr>
                <w:rFonts w:ascii="Times New Roman" w:hAnsi="Times New Roman"/>
                <w:sz w:val="19"/>
              </w:rPr>
              <w:t>+1.3</w:t>
            </w:r>
          </w:p>
        </w:tc>
        <w:tc>
          <w:tcPr>
            <w:tcW w:type="dxa" w:w="652"/>
          </w:tcPr>
          <w:p>
            <w:pPr>
              <w:spacing w:after="40" w:line="240" w:lineRule="auto"/>
              <w:jc w:val="center"/>
            </w:pPr>
            <w:r/>
            <w:r>
              <w:rPr>
                <w:rFonts w:ascii="Times New Roman" w:hAnsi="Times New Roman"/>
                <w:sz w:val="19"/>
              </w:rPr>
              <w:t>+6.2</w:t>
            </w:r>
          </w:p>
        </w:tc>
        <w:tc>
          <w:tcPr>
            <w:tcW w:type="dxa" w:w="652"/>
          </w:tcPr>
          <w:p>
            <w:pPr>
              <w:spacing w:after="40" w:line="240" w:lineRule="auto"/>
              <w:jc w:val="center"/>
            </w:pPr>
            <w:r/>
            <w:r>
              <w:rPr>
                <w:rFonts w:ascii="Times New Roman" w:hAnsi="Times New Roman"/>
                <w:sz w:val="19"/>
              </w:rPr>
              <w:t>+3.8</w:t>
            </w:r>
          </w:p>
        </w:tc>
        <w:tc>
          <w:tcPr>
            <w:tcW w:type="dxa" w:w="652"/>
          </w:tcPr>
          <w:p>
            <w:pPr>
              <w:spacing w:after="40" w:line="240" w:lineRule="auto"/>
              <w:jc w:val="center"/>
            </w:pPr>
            <w:r/>
            <w:r>
              <w:rPr>
                <w:rFonts w:ascii="Times New Roman" w:hAnsi="Times New Roman"/>
                <w:sz w:val="19"/>
              </w:rPr>
              <w:t>+5.2</w:t>
            </w:r>
          </w:p>
        </w:tc>
        <w:tc>
          <w:tcPr>
            <w:tcW w:type="dxa" w:w="652"/>
          </w:tcPr>
          <w:p>
            <w:pPr>
              <w:spacing w:after="40" w:line="240" w:lineRule="auto"/>
              <w:jc w:val="center"/>
            </w:pPr>
            <w:r/>
            <w:r>
              <w:rPr>
                <w:rFonts w:ascii="Times New Roman" w:hAnsi="Times New Roman"/>
                <w:sz w:val="19"/>
              </w:rPr>
              <w:t>+6.2</w:t>
            </w:r>
          </w:p>
        </w:tc>
        <w:tc>
          <w:tcPr>
            <w:tcW w:type="dxa" w:w="652"/>
          </w:tcPr>
          <w:p>
            <w:pPr>
              <w:spacing w:after="40" w:line="240" w:lineRule="auto"/>
              <w:jc w:val="center"/>
            </w:pPr>
            <w:r/>
            <w:r>
              <w:rPr>
                <w:rFonts w:ascii="Times New Roman" w:hAnsi="Times New Roman"/>
                <w:sz w:val="19"/>
              </w:rPr>
              <w:t>+4.6</w:t>
            </w:r>
          </w:p>
        </w:tc>
        <w:tc>
          <w:tcPr>
            <w:tcW w:type="dxa" w:w="652"/>
          </w:tcPr>
          <w:p>
            <w:pPr>
              <w:spacing w:after="40" w:line="240" w:lineRule="auto"/>
              <w:jc w:val="center"/>
            </w:pPr>
            <w:r/>
            <w:r>
              <w:rPr>
                <w:rFonts w:ascii="Times New Roman" w:hAnsi="Times New Roman"/>
                <w:sz w:val="19"/>
              </w:rPr>
              <w:t>+5.8</w:t>
            </w:r>
          </w:p>
        </w:tc>
        <w:tc>
          <w:tcPr>
            <w:tcW w:type="dxa" w:w="652"/>
          </w:tcPr>
          <w:p>
            <w:pPr>
              <w:spacing w:after="40" w:line="240" w:lineRule="auto"/>
              <w:jc w:val="center"/>
            </w:pPr>
            <w:r/>
            <w:r>
              <w:rPr>
                <w:rFonts w:ascii="Times New Roman" w:hAnsi="Times New Roman"/>
                <w:sz w:val="19"/>
              </w:rPr>
              <w:t>+6.4</w:t>
            </w:r>
          </w:p>
        </w:tc>
        <w:tc>
          <w:tcPr>
            <w:tcW w:type="dxa" w:w="652"/>
          </w:tcPr>
          <w:p>
            <w:pPr>
              <w:spacing w:after="40" w:line="240" w:lineRule="auto"/>
              <w:jc w:val="center"/>
            </w:pPr>
            <w:r/>
            <w:r>
              <w:rPr>
                <w:rFonts w:ascii="Times New Roman" w:hAnsi="Times New Roman"/>
                <w:sz w:val="19"/>
              </w:rPr>
              <w:t>+6.4</w:t>
            </w:r>
          </w:p>
        </w:tc>
        <w:tc>
          <w:tcPr>
            <w:tcW w:type="dxa" w:w="652"/>
          </w:tcPr>
          <w:p>
            <w:pPr>
              <w:spacing w:after="40" w:line="240" w:lineRule="auto"/>
              <w:jc w:val="center"/>
            </w:pPr>
            <w:r/>
            <w:r>
              <w:rPr>
                <w:rFonts w:ascii="Times New Roman" w:hAnsi="Times New Roman"/>
                <w:sz w:val="19"/>
              </w:rPr>
              <w:t>+9.5</w:t>
            </w:r>
          </w:p>
        </w:tc>
      </w:tr>
    </w:tbl>
    <w:p>
      <w:pPr>
        <w:keepNext w:val="0"/>
        <w:spacing w:line="276" w:lineRule="auto" w:after="80"/>
        <w:jc w:val="both"/>
      </w:pPr>
    </w:p>
    <w:p>
      <w:pPr>
        <w:keepNext w:val="0"/>
        <w:spacing w:line="276" w:lineRule="auto" w:after="120"/>
        <w:jc w:val="both"/>
      </w:pPr>
      <w:r>
        <w:rPr>
          <w:rFonts w:ascii="Times New Roman" w:hAnsi="Times New Roman"/>
          <w:b w:val="0"/>
          <w:i w:val="0"/>
          <w:sz w:val="24"/>
        </w:rPr>
        <w:t>The ranking is weakly monotone, with a Spearman correlation of 0.75 across deciles, so the forecasts do carry a little cross-sectional information even though their level is uninformative. The long-short spread between the top and bottom deciles is 8.2 basis points a day, with a t-statistic of 1.53 and an annualised Sharpe ratio of 0.83, which is not statistically significant.</w:t>
      </w:r>
    </w:p>
    <w:p>
      <w:pPr>
        <w:keepNext w:val="0"/>
        <w:spacing w:line="276" w:lineRule="auto" w:after="120"/>
        <w:jc w:val="both"/>
      </w:pPr>
      <w:r>
        <w:rPr>
          <w:rFonts w:ascii="Times New Roman" w:hAnsi="Times New Roman"/>
          <w:b w:val="0"/>
          <w:i w:val="0"/>
          <w:sz w:val="24"/>
        </w:rPr>
        <w:t>The cost analysis is decisive. A long-short decile strategy turns over its entire book daily. At an assumed ten basis point round-trip cost the strategy returns minus 1.8 basis points a day: it loses money. Because slippage, market impact, borrowing costs and capacity are not modelled, this figure is an optimistic bound rather than a backtest. The honest economic conclusion is that the model has no demonstrated commercial value.</w:t>
      </w:r>
    </w:p>
    <w:p>
      <w:pPr>
        <w:keepNext/>
        <w:spacing w:after="80"/>
        <w:jc w:val="center"/>
      </w:pPr>
      <w:r>
        <w:drawing>
          <wp:inline xmlns:a="http://schemas.openxmlformats.org/drawingml/2006/main" xmlns:pic="http://schemas.openxmlformats.org/drawingml/2006/picture">
            <wp:extent cx="5040000" cy="3036393"/>
            <wp:docPr id="12" name="Picture 12"/>
            <wp:cNvGraphicFramePr>
              <a:graphicFrameLocks noChangeAspect="1"/>
            </wp:cNvGraphicFramePr>
            <a:graphic>
              <a:graphicData uri="http://schemas.openxmlformats.org/drawingml/2006/picture">
                <pic:pic>
                  <pic:nvPicPr>
                    <pic:cNvPr id="0" name="decile_portfolio.png"/>
                    <pic:cNvPicPr/>
                  </pic:nvPicPr>
                  <pic:blipFill>
                    <a:blip r:embed="rId22"/>
                    <a:stretch>
                      <a:fillRect/>
                    </a:stretch>
                  </pic:blipFill>
                  <pic:spPr>
                    <a:xfrm>
                      <a:off x="0" y="0"/>
                      <a:ext cx="5040000" cy="3036393"/>
                    </a:xfrm>
                    <a:prstGeom prst="rect"/>
                  </pic:spPr>
                </pic:pic>
              </a:graphicData>
            </a:graphic>
          </wp:inline>
        </w:drawing>
      </w:r>
    </w:p>
    <w:p>
      <w:pPr>
        <w:keepNext w:val="0"/>
        <w:spacing w:line="240" w:lineRule="auto" w:after="200"/>
        <w:jc w:val="center"/>
      </w:pPr>
      <w:r>
        <w:rPr>
          <w:rFonts w:ascii="Times New Roman" w:hAnsi="Times New Roman"/>
          <w:b w:val="0"/>
          <w:i w:val="0"/>
          <w:sz w:val="20"/>
        </w:rPr>
        <w:t>Figure 7.5  Actual next-day return of each decile of predicted return, with the long-short spread gross and net of cost</w:t>
      </w:r>
    </w:p>
    <w:p>
      <w:pPr>
        <w:keepNext/>
        <w:spacing w:line="240" w:lineRule="auto" w:after="120"/>
        <w:jc w:val="left"/>
      </w:pPr>
      <w:r>
        <w:rPr>
          <w:rFonts w:ascii="Times New Roman" w:hAnsi="Times New Roman"/>
          <w:b/>
          <w:i/>
          <w:sz w:val="24"/>
        </w:rPr>
        <w:t>7.1.4 Where the Little Skill There Is Actually Lives</w:t>
      </w:r>
    </w:p>
    <w:p>
      <w:pPr>
        <w:keepNext/>
        <w:spacing w:line="240" w:lineRule="auto" w:after="200"/>
        <w:jc w:val="center"/>
      </w:pPr>
      <w:r>
        <w:rPr>
          <w:rFonts w:ascii="Times New Roman" w:hAnsi="Times New Roman"/>
          <w:b w:val="0"/>
          <w:i w:val="0"/>
          <w:sz w:val="20"/>
        </w:rPr>
        <w:t>Table 7.5  Skill by period and market regime</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1532"/>
        <w:gridCol w:w="1053"/>
        <w:gridCol w:w="1149"/>
        <w:gridCol w:w="766"/>
        <w:gridCol w:w="957"/>
        <w:gridCol w:w="957"/>
        <w:gridCol w:w="1244"/>
        <w:gridCol w:w="1244"/>
      </w:tblGrid>
      <w:tr>
        <w:trPr>
          <w:cantSplit/>
          <w:tblHeader/>
        </w:trPr>
        <w:tc>
          <w:tcPr>
            <w:tcW w:type="dxa" w:w="1532"/>
            <w:shd w:val="clear" w:color="auto" w:fill="D9E2F3"/>
          </w:tcPr>
          <w:p>
            <w:pPr>
              <w:spacing w:after="40" w:line="240" w:lineRule="auto"/>
              <w:jc w:val="center"/>
            </w:pPr>
            <w:r/>
            <w:r>
              <w:rPr>
                <w:rFonts w:ascii="Times New Roman" w:hAnsi="Times New Roman"/>
                <w:b/>
                <w:sz w:val="19"/>
              </w:rPr>
              <w:t>Period</w:t>
            </w:r>
          </w:p>
        </w:tc>
        <w:tc>
          <w:tcPr>
            <w:tcW w:type="dxa" w:w="1053"/>
            <w:shd w:val="clear" w:color="auto" w:fill="D9E2F3"/>
          </w:tcPr>
          <w:p>
            <w:pPr>
              <w:spacing w:after="40" w:line="240" w:lineRule="auto"/>
              <w:jc w:val="center"/>
            </w:pPr>
            <w:r/>
            <w:r>
              <w:rPr>
                <w:rFonts w:ascii="Times New Roman" w:hAnsi="Times New Roman"/>
                <w:b/>
                <w:sz w:val="19"/>
              </w:rPr>
              <w:t>RMSE (bp)</w:t>
            </w:r>
          </w:p>
        </w:tc>
        <w:tc>
          <w:tcPr>
            <w:tcW w:type="dxa" w:w="1149"/>
            <w:shd w:val="clear" w:color="auto" w:fill="D9E2F3"/>
          </w:tcPr>
          <w:p>
            <w:pPr>
              <w:spacing w:after="40" w:line="240" w:lineRule="auto"/>
              <w:jc w:val="center"/>
            </w:pPr>
            <w:r/>
            <w:r>
              <w:rPr>
                <w:rFonts w:ascii="Times New Roman" w:hAnsi="Times New Roman"/>
                <w:b/>
                <w:sz w:val="19"/>
              </w:rPr>
              <w:t>R2 vs zero</w:t>
            </w:r>
          </w:p>
        </w:tc>
        <w:tc>
          <w:tcPr>
            <w:tcW w:type="dxa" w:w="766"/>
            <w:shd w:val="clear" w:color="auto" w:fill="D9E2F3"/>
          </w:tcPr>
          <w:p>
            <w:pPr>
              <w:spacing w:after="40" w:line="240" w:lineRule="auto"/>
              <w:jc w:val="center"/>
            </w:pPr>
            <w:r/>
            <w:r>
              <w:rPr>
                <w:rFonts w:ascii="Times New Roman" w:hAnsi="Times New Roman"/>
                <w:b/>
                <w:sz w:val="19"/>
              </w:rPr>
              <w:t>DM p</w:t>
            </w:r>
          </w:p>
        </w:tc>
        <w:tc>
          <w:tcPr>
            <w:tcW w:type="dxa" w:w="958"/>
            <w:shd w:val="clear" w:color="auto" w:fill="D9E2F3"/>
          </w:tcPr>
          <w:p>
            <w:pPr>
              <w:spacing w:after="40" w:line="240" w:lineRule="auto"/>
              <w:jc w:val="center"/>
            </w:pPr>
            <w:r/>
            <w:r>
              <w:rPr>
                <w:rFonts w:ascii="Times New Roman" w:hAnsi="Times New Roman"/>
                <w:b/>
                <w:sz w:val="19"/>
              </w:rPr>
              <w:t>Daily IC</w:t>
            </w:r>
          </w:p>
        </w:tc>
        <w:tc>
          <w:tcPr>
            <w:tcW w:type="dxa" w:w="958"/>
            <w:shd w:val="clear" w:color="auto" w:fill="D9E2F3"/>
          </w:tcPr>
          <w:p>
            <w:pPr>
              <w:spacing w:after="40" w:line="240" w:lineRule="auto"/>
              <w:jc w:val="center"/>
            </w:pPr>
            <w:r/>
            <w:r>
              <w:rPr>
                <w:rFonts w:ascii="Times New Roman" w:hAnsi="Times New Roman"/>
                <w:b/>
                <w:sz w:val="19"/>
              </w:rPr>
              <w:t>Direction</w:t>
            </w:r>
          </w:p>
        </w:tc>
        <w:tc>
          <w:tcPr>
            <w:tcW w:type="dxa" w:w="1245"/>
            <w:shd w:val="clear" w:color="auto" w:fill="D9E2F3"/>
          </w:tcPr>
          <w:p>
            <w:pPr>
              <w:spacing w:after="40" w:line="240" w:lineRule="auto"/>
              <w:jc w:val="center"/>
            </w:pPr>
            <w:r/>
            <w:r>
              <w:rPr>
                <w:rFonts w:ascii="Times New Roman" w:hAnsi="Times New Roman"/>
                <w:b/>
                <w:sz w:val="19"/>
              </w:rPr>
              <w:t>Majority rule</w:t>
            </w:r>
          </w:p>
        </w:tc>
        <w:tc>
          <w:tcPr>
            <w:tcW w:type="dxa" w:w="1245"/>
            <w:shd w:val="clear" w:color="auto" w:fill="D9E2F3"/>
          </w:tcPr>
          <w:p>
            <w:pPr>
              <w:spacing w:after="40" w:line="240" w:lineRule="auto"/>
              <w:jc w:val="center"/>
            </w:pPr>
            <w:r/>
            <w:r>
              <w:rPr>
                <w:rFonts w:ascii="Times New Roman" w:hAnsi="Times New Roman"/>
                <w:b/>
                <w:sz w:val="19"/>
              </w:rPr>
              <w:t>Long-short (bp)</w:t>
            </w:r>
          </w:p>
        </w:tc>
      </w:tr>
      <w:tr>
        <w:trPr>
          <w:cantSplit/>
        </w:trPr>
        <w:tc>
          <w:tcPr>
            <w:tcW w:type="dxa" w:w="1532"/>
          </w:tcPr>
          <w:p>
            <w:pPr>
              <w:spacing w:after="40" w:line="240" w:lineRule="auto"/>
              <w:jc w:val="left"/>
            </w:pPr>
            <w:r/>
            <w:r>
              <w:rPr>
                <w:rFonts w:ascii="Times New Roman" w:hAnsi="Times New Roman"/>
                <w:sz w:val="19"/>
              </w:rPr>
              <w:t>2019</w:t>
            </w:r>
          </w:p>
        </w:tc>
        <w:tc>
          <w:tcPr>
            <w:tcW w:type="dxa" w:w="1053"/>
          </w:tcPr>
          <w:p>
            <w:pPr>
              <w:spacing w:after="40" w:line="240" w:lineRule="auto"/>
              <w:jc w:val="center"/>
            </w:pPr>
            <w:r/>
            <w:r>
              <w:rPr>
                <w:rFonts w:ascii="Times New Roman" w:hAnsi="Times New Roman"/>
                <w:sz w:val="19"/>
              </w:rPr>
              <w:t>164.0</w:t>
            </w:r>
          </w:p>
        </w:tc>
        <w:tc>
          <w:tcPr>
            <w:tcW w:type="dxa" w:w="1149"/>
          </w:tcPr>
          <w:p>
            <w:pPr>
              <w:spacing w:after="40" w:line="240" w:lineRule="auto"/>
              <w:jc w:val="center"/>
            </w:pPr>
            <w:r/>
            <w:r>
              <w:rPr>
                <w:rFonts w:ascii="Times New Roman" w:hAnsi="Times New Roman"/>
                <w:sz w:val="19"/>
              </w:rPr>
              <w:t>+0.00212</w:t>
            </w:r>
          </w:p>
        </w:tc>
        <w:tc>
          <w:tcPr>
            <w:tcW w:type="dxa" w:w="766"/>
          </w:tcPr>
          <w:p>
            <w:pPr>
              <w:spacing w:after="40" w:line="240" w:lineRule="auto"/>
              <w:jc w:val="center"/>
            </w:pPr>
            <w:r/>
            <w:r>
              <w:rPr>
                <w:rFonts w:ascii="Times New Roman" w:hAnsi="Times New Roman"/>
                <w:sz w:val="19"/>
              </w:rPr>
              <w:t>0.63</w:t>
            </w:r>
          </w:p>
        </w:tc>
        <w:tc>
          <w:tcPr>
            <w:tcW w:type="dxa" w:w="958"/>
          </w:tcPr>
          <w:p>
            <w:pPr>
              <w:spacing w:after="40" w:line="240" w:lineRule="auto"/>
              <w:jc w:val="center"/>
            </w:pPr>
            <w:r/>
            <w:r>
              <w:rPr>
                <w:rFonts w:ascii="Times New Roman" w:hAnsi="Times New Roman"/>
                <w:sz w:val="19"/>
              </w:rPr>
              <w:t>+0.014</w:t>
            </w:r>
          </w:p>
        </w:tc>
        <w:tc>
          <w:tcPr>
            <w:tcW w:type="dxa" w:w="958"/>
          </w:tcPr>
          <w:p>
            <w:pPr>
              <w:spacing w:after="40" w:line="240" w:lineRule="auto"/>
              <w:jc w:val="center"/>
            </w:pPr>
            <w:r/>
            <w:r>
              <w:rPr>
                <w:rFonts w:ascii="Times New Roman" w:hAnsi="Times New Roman"/>
                <w:sz w:val="19"/>
              </w:rPr>
              <w:t>53.5%</w:t>
            </w:r>
          </w:p>
        </w:tc>
        <w:tc>
          <w:tcPr>
            <w:tcW w:type="dxa" w:w="1245"/>
          </w:tcPr>
          <w:p>
            <w:pPr>
              <w:spacing w:after="40" w:line="240" w:lineRule="auto"/>
              <w:jc w:val="center"/>
            </w:pPr>
            <w:r/>
            <w:r>
              <w:rPr>
                <w:rFonts w:ascii="Times New Roman" w:hAnsi="Times New Roman"/>
                <w:sz w:val="19"/>
              </w:rPr>
              <w:t>55.3%</w:t>
            </w:r>
          </w:p>
        </w:tc>
        <w:tc>
          <w:tcPr>
            <w:tcW w:type="dxa" w:w="1245"/>
          </w:tcPr>
          <w:p>
            <w:pPr>
              <w:spacing w:after="40" w:line="240" w:lineRule="auto"/>
              <w:jc w:val="center"/>
            </w:pPr>
            <w:r/>
            <w:r>
              <w:rPr>
                <w:rFonts w:ascii="Times New Roman" w:hAnsi="Times New Roman"/>
                <w:sz w:val="19"/>
              </w:rPr>
              <w:t>-</w:t>
            </w:r>
          </w:p>
        </w:tc>
      </w:tr>
      <w:tr>
        <w:trPr>
          <w:cantSplit/>
        </w:trPr>
        <w:tc>
          <w:tcPr>
            <w:tcW w:type="dxa" w:w="1532"/>
          </w:tcPr>
          <w:p>
            <w:pPr>
              <w:spacing w:after="40" w:line="240" w:lineRule="auto"/>
              <w:jc w:val="left"/>
            </w:pPr>
            <w:r/>
            <w:r>
              <w:rPr>
                <w:rFonts w:ascii="Times New Roman" w:hAnsi="Times New Roman"/>
                <w:sz w:val="19"/>
              </w:rPr>
              <w:t>2020</w:t>
            </w:r>
          </w:p>
        </w:tc>
        <w:tc>
          <w:tcPr>
            <w:tcW w:type="dxa" w:w="1053"/>
          </w:tcPr>
          <w:p>
            <w:pPr>
              <w:spacing w:after="40" w:line="240" w:lineRule="auto"/>
              <w:jc w:val="center"/>
            </w:pPr>
            <w:r/>
            <w:r>
              <w:rPr>
                <w:rFonts w:ascii="Times New Roman" w:hAnsi="Times New Roman"/>
                <w:sz w:val="19"/>
              </w:rPr>
              <w:t>348.0</w:t>
            </w:r>
          </w:p>
        </w:tc>
        <w:tc>
          <w:tcPr>
            <w:tcW w:type="dxa" w:w="1149"/>
          </w:tcPr>
          <w:p>
            <w:pPr>
              <w:spacing w:after="40" w:line="240" w:lineRule="auto"/>
              <w:jc w:val="center"/>
            </w:pPr>
            <w:r/>
            <w:r>
              <w:rPr>
                <w:rFonts w:ascii="Times New Roman" w:hAnsi="Times New Roman"/>
                <w:sz w:val="19"/>
              </w:rPr>
              <w:t>-0.00016</w:t>
            </w:r>
          </w:p>
        </w:tc>
        <w:tc>
          <w:tcPr>
            <w:tcW w:type="dxa" w:w="766"/>
          </w:tcPr>
          <w:p>
            <w:pPr>
              <w:spacing w:after="40" w:line="240" w:lineRule="auto"/>
              <w:jc w:val="center"/>
            </w:pPr>
            <w:r/>
            <w:r>
              <w:rPr>
                <w:rFonts w:ascii="Times New Roman" w:hAnsi="Times New Roman"/>
                <w:sz w:val="19"/>
              </w:rPr>
              <w:t>0.98</w:t>
            </w:r>
          </w:p>
        </w:tc>
        <w:tc>
          <w:tcPr>
            <w:tcW w:type="dxa" w:w="958"/>
          </w:tcPr>
          <w:p>
            <w:pPr>
              <w:spacing w:after="40" w:line="240" w:lineRule="auto"/>
              <w:jc w:val="center"/>
            </w:pPr>
            <w:r/>
            <w:r>
              <w:rPr>
                <w:rFonts w:ascii="Times New Roman" w:hAnsi="Times New Roman"/>
                <w:sz w:val="19"/>
              </w:rPr>
              <w:t>+0.018</w:t>
            </w:r>
          </w:p>
        </w:tc>
        <w:tc>
          <w:tcPr>
            <w:tcW w:type="dxa" w:w="958"/>
          </w:tcPr>
          <w:p>
            <w:pPr>
              <w:spacing w:after="40" w:line="240" w:lineRule="auto"/>
              <w:jc w:val="center"/>
            </w:pPr>
            <w:r/>
            <w:r>
              <w:rPr>
                <w:rFonts w:ascii="Times New Roman" w:hAnsi="Times New Roman"/>
                <w:sz w:val="19"/>
              </w:rPr>
              <w:t>51.0%</w:t>
            </w:r>
          </w:p>
        </w:tc>
        <w:tc>
          <w:tcPr>
            <w:tcW w:type="dxa" w:w="1245"/>
          </w:tcPr>
          <w:p>
            <w:pPr>
              <w:spacing w:after="40" w:line="240" w:lineRule="auto"/>
              <w:jc w:val="center"/>
            </w:pPr>
            <w:r/>
            <w:r>
              <w:rPr>
                <w:rFonts w:ascii="Times New Roman" w:hAnsi="Times New Roman"/>
                <w:sz w:val="19"/>
              </w:rPr>
              <w:t>51.8%</w:t>
            </w:r>
          </w:p>
        </w:tc>
        <w:tc>
          <w:tcPr>
            <w:tcW w:type="dxa" w:w="1245"/>
          </w:tcPr>
          <w:p>
            <w:pPr>
              <w:spacing w:after="40" w:line="240" w:lineRule="auto"/>
              <w:jc w:val="center"/>
            </w:pPr>
            <w:r/>
            <w:r>
              <w:rPr>
                <w:rFonts w:ascii="Times New Roman" w:hAnsi="Times New Roman"/>
                <w:sz w:val="19"/>
              </w:rPr>
              <w:t>-</w:t>
            </w:r>
          </w:p>
        </w:tc>
      </w:tr>
      <w:tr>
        <w:trPr>
          <w:cantSplit/>
        </w:trPr>
        <w:tc>
          <w:tcPr>
            <w:tcW w:type="dxa" w:w="1532"/>
          </w:tcPr>
          <w:p>
            <w:pPr>
              <w:spacing w:after="40" w:line="240" w:lineRule="auto"/>
              <w:jc w:val="left"/>
            </w:pPr>
            <w:r/>
            <w:r>
              <w:rPr>
                <w:rFonts w:ascii="Times New Roman" w:hAnsi="Times New Roman"/>
                <w:sz w:val="19"/>
              </w:rPr>
              <w:t>2021</w:t>
            </w:r>
          </w:p>
        </w:tc>
        <w:tc>
          <w:tcPr>
            <w:tcW w:type="dxa" w:w="1053"/>
          </w:tcPr>
          <w:p>
            <w:pPr>
              <w:spacing w:after="40" w:line="240" w:lineRule="auto"/>
              <w:jc w:val="center"/>
            </w:pPr>
            <w:r/>
            <w:r>
              <w:rPr>
                <w:rFonts w:ascii="Times New Roman" w:hAnsi="Times New Roman"/>
                <w:sz w:val="19"/>
              </w:rPr>
              <w:t>182.0</w:t>
            </w:r>
          </w:p>
        </w:tc>
        <w:tc>
          <w:tcPr>
            <w:tcW w:type="dxa" w:w="1149"/>
          </w:tcPr>
          <w:p>
            <w:pPr>
              <w:spacing w:after="40" w:line="240" w:lineRule="auto"/>
              <w:jc w:val="center"/>
            </w:pPr>
            <w:r/>
            <w:r>
              <w:rPr>
                <w:rFonts w:ascii="Times New Roman" w:hAnsi="Times New Roman"/>
                <w:sz w:val="19"/>
              </w:rPr>
              <w:t>+0.00046</w:t>
            </w:r>
          </w:p>
        </w:tc>
        <w:tc>
          <w:tcPr>
            <w:tcW w:type="dxa" w:w="766"/>
          </w:tcPr>
          <w:p>
            <w:pPr>
              <w:spacing w:after="40" w:line="240" w:lineRule="auto"/>
              <w:jc w:val="center"/>
            </w:pPr>
            <w:r/>
            <w:r>
              <w:rPr>
                <w:rFonts w:ascii="Times New Roman" w:hAnsi="Times New Roman"/>
                <w:sz w:val="19"/>
              </w:rPr>
              <w:t>0.87</w:t>
            </w:r>
          </w:p>
        </w:tc>
        <w:tc>
          <w:tcPr>
            <w:tcW w:type="dxa" w:w="958"/>
          </w:tcPr>
          <w:p>
            <w:pPr>
              <w:spacing w:after="40" w:line="240" w:lineRule="auto"/>
              <w:jc w:val="center"/>
            </w:pPr>
            <w:r/>
            <w:r>
              <w:rPr>
                <w:rFonts w:ascii="Times New Roman" w:hAnsi="Times New Roman"/>
                <w:sz w:val="19"/>
              </w:rPr>
              <w:t>-0.008</w:t>
            </w:r>
          </w:p>
        </w:tc>
        <w:tc>
          <w:tcPr>
            <w:tcW w:type="dxa" w:w="958"/>
          </w:tcPr>
          <w:p>
            <w:pPr>
              <w:spacing w:after="40" w:line="240" w:lineRule="auto"/>
              <w:jc w:val="center"/>
            </w:pPr>
            <w:r/>
            <w:r>
              <w:rPr>
                <w:rFonts w:ascii="Times New Roman" w:hAnsi="Times New Roman"/>
                <w:sz w:val="19"/>
              </w:rPr>
              <w:t>50.4%</w:t>
            </w:r>
          </w:p>
        </w:tc>
        <w:tc>
          <w:tcPr>
            <w:tcW w:type="dxa" w:w="1245"/>
          </w:tcPr>
          <w:p>
            <w:pPr>
              <w:spacing w:after="40" w:line="240" w:lineRule="auto"/>
              <w:jc w:val="center"/>
            </w:pPr>
            <w:r/>
            <w:r>
              <w:rPr>
                <w:rFonts w:ascii="Times New Roman" w:hAnsi="Times New Roman"/>
                <w:sz w:val="19"/>
              </w:rPr>
              <w:t>53.2%</w:t>
            </w:r>
          </w:p>
        </w:tc>
        <w:tc>
          <w:tcPr>
            <w:tcW w:type="dxa" w:w="1245"/>
          </w:tcPr>
          <w:p>
            <w:pPr>
              <w:spacing w:after="40" w:line="240" w:lineRule="auto"/>
              <w:jc w:val="center"/>
            </w:pPr>
            <w:r/>
            <w:r>
              <w:rPr>
                <w:rFonts w:ascii="Times New Roman" w:hAnsi="Times New Roman"/>
                <w:sz w:val="19"/>
              </w:rPr>
              <w:t>-</w:t>
            </w:r>
          </w:p>
        </w:tc>
      </w:tr>
      <w:tr>
        <w:trPr>
          <w:cantSplit/>
        </w:trPr>
        <w:tc>
          <w:tcPr>
            <w:tcW w:type="dxa" w:w="1532"/>
          </w:tcPr>
          <w:p>
            <w:pPr>
              <w:spacing w:after="40" w:line="240" w:lineRule="auto"/>
              <w:jc w:val="left"/>
            </w:pPr>
            <w:r/>
            <w:r>
              <w:rPr>
                <w:rFonts w:ascii="Times New Roman" w:hAnsi="Times New Roman"/>
                <w:sz w:val="19"/>
              </w:rPr>
              <w:t>2022 to May</w:t>
            </w:r>
          </w:p>
        </w:tc>
        <w:tc>
          <w:tcPr>
            <w:tcW w:type="dxa" w:w="1053"/>
          </w:tcPr>
          <w:p>
            <w:pPr>
              <w:spacing w:after="40" w:line="240" w:lineRule="auto"/>
              <w:jc w:val="center"/>
            </w:pPr>
            <w:r/>
            <w:r>
              <w:rPr>
                <w:rFonts w:ascii="Times New Roman" w:hAnsi="Times New Roman"/>
                <w:sz w:val="19"/>
              </w:rPr>
              <w:t>242.5</w:t>
            </w:r>
          </w:p>
        </w:tc>
        <w:tc>
          <w:tcPr>
            <w:tcW w:type="dxa" w:w="1149"/>
          </w:tcPr>
          <w:p>
            <w:pPr>
              <w:spacing w:after="40" w:line="240" w:lineRule="auto"/>
              <w:jc w:val="center"/>
            </w:pPr>
            <w:r/>
            <w:r>
              <w:rPr>
                <w:rFonts w:ascii="Times New Roman" w:hAnsi="Times New Roman"/>
                <w:sz w:val="19"/>
              </w:rPr>
              <w:t>-0.00113</w:t>
            </w:r>
          </w:p>
        </w:tc>
        <w:tc>
          <w:tcPr>
            <w:tcW w:type="dxa" w:w="766"/>
          </w:tcPr>
          <w:p>
            <w:pPr>
              <w:spacing w:after="40" w:line="240" w:lineRule="auto"/>
              <w:jc w:val="center"/>
            </w:pPr>
            <w:r/>
            <w:r>
              <w:rPr>
                <w:rFonts w:ascii="Times New Roman" w:hAnsi="Times New Roman"/>
                <w:sz w:val="19"/>
              </w:rPr>
              <w:t>0.91</w:t>
            </w:r>
          </w:p>
        </w:tc>
        <w:tc>
          <w:tcPr>
            <w:tcW w:type="dxa" w:w="958"/>
          </w:tcPr>
          <w:p>
            <w:pPr>
              <w:spacing w:after="40" w:line="240" w:lineRule="auto"/>
              <w:jc w:val="center"/>
            </w:pPr>
            <w:r/>
            <w:r>
              <w:rPr>
                <w:rFonts w:ascii="Times New Roman" w:hAnsi="Times New Roman"/>
                <w:sz w:val="19"/>
              </w:rPr>
              <w:t>+0.018</w:t>
            </w:r>
          </w:p>
        </w:tc>
        <w:tc>
          <w:tcPr>
            <w:tcW w:type="dxa" w:w="958"/>
          </w:tcPr>
          <w:p>
            <w:pPr>
              <w:spacing w:after="40" w:line="240" w:lineRule="auto"/>
              <w:jc w:val="center"/>
            </w:pPr>
            <w:r/>
            <w:r>
              <w:rPr>
                <w:rFonts w:ascii="Times New Roman" w:hAnsi="Times New Roman"/>
                <w:sz w:val="19"/>
              </w:rPr>
              <w:t>52.7%</w:t>
            </w:r>
          </w:p>
        </w:tc>
        <w:tc>
          <w:tcPr>
            <w:tcW w:type="dxa" w:w="1245"/>
          </w:tcPr>
          <w:p>
            <w:pPr>
              <w:spacing w:after="40" w:line="240" w:lineRule="auto"/>
              <w:jc w:val="center"/>
            </w:pPr>
            <w:r/>
            <w:r>
              <w:rPr>
                <w:rFonts w:ascii="Times New Roman" w:hAnsi="Times New Roman"/>
                <w:sz w:val="19"/>
              </w:rPr>
              <w:t>51.5%</w:t>
            </w:r>
          </w:p>
        </w:tc>
        <w:tc>
          <w:tcPr>
            <w:tcW w:type="dxa" w:w="1245"/>
          </w:tcPr>
          <w:p>
            <w:pPr>
              <w:spacing w:after="40" w:line="240" w:lineRule="auto"/>
              <w:jc w:val="center"/>
            </w:pPr>
            <w:r/>
            <w:r>
              <w:rPr>
                <w:rFonts w:ascii="Times New Roman" w:hAnsi="Times New Roman"/>
                <w:sz w:val="19"/>
              </w:rPr>
              <w:t>-</w:t>
            </w:r>
          </w:p>
        </w:tc>
      </w:tr>
      <w:tr>
        <w:trPr>
          <w:cantSplit/>
        </w:trPr>
        <w:tc>
          <w:tcPr>
            <w:tcW w:type="dxa" w:w="1532"/>
          </w:tcPr>
          <w:p>
            <w:pPr>
              <w:spacing w:after="40" w:line="240" w:lineRule="auto"/>
              <w:jc w:val="left"/>
            </w:pPr>
            <w:r/>
            <w:r>
              <w:rPr>
                <w:rFonts w:ascii="Times New Roman" w:hAnsi="Times New Roman"/>
                <w:sz w:val="19"/>
              </w:rPr>
              <w:t>Pre-COVID bull</w:t>
            </w:r>
          </w:p>
        </w:tc>
        <w:tc>
          <w:tcPr>
            <w:tcW w:type="dxa" w:w="1053"/>
          </w:tcPr>
          <w:p>
            <w:pPr>
              <w:spacing w:after="40" w:line="240" w:lineRule="auto"/>
              <w:jc w:val="center"/>
            </w:pPr>
            <w:r/>
            <w:r>
              <w:rPr>
                <w:rFonts w:ascii="Times New Roman" w:hAnsi="Times New Roman"/>
                <w:sz w:val="19"/>
              </w:rPr>
              <w:t>164.4</w:t>
            </w:r>
          </w:p>
        </w:tc>
        <w:tc>
          <w:tcPr>
            <w:tcW w:type="dxa" w:w="1149"/>
          </w:tcPr>
          <w:p>
            <w:pPr>
              <w:spacing w:after="40" w:line="240" w:lineRule="auto"/>
              <w:jc w:val="center"/>
            </w:pPr>
            <w:r/>
            <w:r>
              <w:rPr>
                <w:rFonts w:ascii="Times New Roman" w:hAnsi="Times New Roman"/>
                <w:sz w:val="19"/>
              </w:rPr>
              <w:t>+0.00069</w:t>
            </w:r>
          </w:p>
        </w:tc>
        <w:tc>
          <w:tcPr>
            <w:tcW w:type="dxa" w:w="766"/>
          </w:tcPr>
          <w:p>
            <w:pPr>
              <w:spacing w:after="40" w:line="240" w:lineRule="auto"/>
              <w:jc w:val="center"/>
            </w:pPr>
            <w:r/>
            <w:r>
              <w:rPr>
                <w:rFonts w:ascii="Times New Roman" w:hAnsi="Times New Roman"/>
                <w:sz w:val="19"/>
              </w:rPr>
              <w:t>0.87</w:t>
            </w:r>
          </w:p>
        </w:tc>
        <w:tc>
          <w:tcPr>
            <w:tcW w:type="dxa" w:w="958"/>
          </w:tcPr>
          <w:p>
            <w:pPr>
              <w:spacing w:after="40" w:line="240" w:lineRule="auto"/>
              <w:jc w:val="center"/>
            </w:pPr>
            <w:r/>
            <w:r>
              <w:rPr>
                <w:rFonts w:ascii="Times New Roman" w:hAnsi="Times New Roman"/>
                <w:sz w:val="19"/>
              </w:rPr>
              <w:t>+0.015</w:t>
            </w:r>
          </w:p>
        </w:tc>
        <w:tc>
          <w:tcPr>
            <w:tcW w:type="dxa" w:w="958"/>
          </w:tcPr>
          <w:p>
            <w:pPr>
              <w:spacing w:after="40" w:line="240" w:lineRule="auto"/>
              <w:jc w:val="center"/>
            </w:pPr>
            <w:r/>
            <w:r>
              <w:rPr>
                <w:rFonts w:ascii="Times New Roman" w:hAnsi="Times New Roman"/>
                <w:sz w:val="19"/>
              </w:rPr>
              <w:t>53.0%</w:t>
            </w:r>
          </w:p>
        </w:tc>
        <w:tc>
          <w:tcPr>
            <w:tcW w:type="dxa" w:w="1245"/>
          </w:tcPr>
          <w:p>
            <w:pPr>
              <w:spacing w:after="40" w:line="240" w:lineRule="auto"/>
              <w:jc w:val="center"/>
            </w:pPr>
            <w:r/>
            <w:r>
              <w:rPr>
                <w:rFonts w:ascii="Times New Roman" w:hAnsi="Times New Roman"/>
                <w:sz w:val="19"/>
              </w:rPr>
              <w:t>55.2%</w:t>
            </w:r>
          </w:p>
        </w:tc>
        <w:tc>
          <w:tcPr>
            <w:tcW w:type="dxa" w:w="1245"/>
          </w:tcPr>
          <w:p>
            <w:pPr>
              <w:spacing w:after="40" w:line="240" w:lineRule="auto"/>
              <w:jc w:val="center"/>
            </w:pPr>
            <w:r/>
            <w:r>
              <w:rPr>
                <w:rFonts w:ascii="Times New Roman" w:hAnsi="Times New Roman"/>
                <w:sz w:val="19"/>
              </w:rPr>
              <w:t>+6.9</w:t>
            </w:r>
          </w:p>
        </w:tc>
      </w:tr>
      <w:tr>
        <w:trPr>
          <w:cantSplit/>
        </w:trPr>
        <w:tc>
          <w:tcPr>
            <w:tcW w:type="dxa" w:w="1532"/>
          </w:tcPr>
          <w:p>
            <w:pPr>
              <w:spacing w:after="40" w:line="240" w:lineRule="auto"/>
              <w:jc w:val="left"/>
            </w:pPr>
            <w:r/>
            <w:r>
              <w:rPr>
                <w:rFonts w:ascii="Times New Roman" w:hAnsi="Times New Roman"/>
                <w:sz w:val="19"/>
              </w:rPr>
              <w:t>COVID crash</w:t>
            </w:r>
          </w:p>
        </w:tc>
        <w:tc>
          <w:tcPr>
            <w:tcW w:type="dxa" w:w="1053"/>
          </w:tcPr>
          <w:p>
            <w:pPr>
              <w:spacing w:after="40" w:line="240" w:lineRule="auto"/>
              <w:jc w:val="center"/>
            </w:pPr>
            <w:r/>
            <w:r>
              <w:rPr>
                <w:rFonts w:ascii="Times New Roman" w:hAnsi="Times New Roman"/>
                <w:sz w:val="19"/>
              </w:rPr>
              <w:t>766.3</w:t>
            </w:r>
          </w:p>
        </w:tc>
        <w:tc>
          <w:tcPr>
            <w:tcW w:type="dxa" w:w="1149"/>
          </w:tcPr>
          <w:p>
            <w:pPr>
              <w:spacing w:after="40" w:line="240" w:lineRule="auto"/>
              <w:jc w:val="center"/>
            </w:pPr>
            <w:r/>
            <w:r>
              <w:rPr>
                <w:rFonts w:ascii="Times New Roman" w:hAnsi="Times New Roman"/>
                <w:sz w:val="19"/>
              </w:rPr>
              <w:t>-0.01171</w:t>
            </w:r>
          </w:p>
        </w:tc>
        <w:tc>
          <w:tcPr>
            <w:tcW w:type="dxa" w:w="766"/>
          </w:tcPr>
          <w:p>
            <w:pPr>
              <w:spacing w:after="40" w:line="240" w:lineRule="auto"/>
              <w:jc w:val="center"/>
            </w:pPr>
            <w:r/>
            <w:r>
              <w:rPr>
                <w:rFonts w:ascii="Times New Roman" w:hAnsi="Times New Roman"/>
                <w:sz w:val="19"/>
              </w:rPr>
              <w:t>0.13</w:t>
            </w:r>
          </w:p>
        </w:tc>
        <w:tc>
          <w:tcPr>
            <w:tcW w:type="dxa" w:w="958"/>
          </w:tcPr>
          <w:p>
            <w:pPr>
              <w:spacing w:after="40" w:line="240" w:lineRule="auto"/>
              <w:jc w:val="center"/>
            </w:pPr>
            <w:r/>
            <w:r>
              <w:rPr>
                <w:rFonts w:ascii="Times New Roman" w:hAnsi="Times New Roman"/>
                <w:sz w:val="19"/>
              </w:rPr>
              <w:t>-0.073</w:t>
            </w:r>
          </w:p>
        </w:tc>
        <w:tc>
          <w:tcPr>
            <w:tcW w:type="dxa" w:w="958"/>
          </w:tcPr>
          <w:p>
            <w:pPr>
              <w:spacing w:after="40" w:line="240" w:lineRule="auto"/>
              <w:jc w:val="center"/>
            </w:pPr>
            <w:r/>
            <w:r>
              <w:rPr>
                <w:rFonts w:ascii="Times New Roman" w:hAnsi="Times New Roman"/>
                <w:sz w:val="19"/>
              </w:rPr>
              <w:t>34.7%</w:t>
            </w:r>
          </w:p>
        </w:tc>
        <w:tc>
          <w:tcPr>
            <w:tcW w:type="dxa" w:w="1245"/>
          </w:tcPr>
          <w:p>
            <w:pPr>
              <w:spacing w:after="40" w:line="240" w:lineRule="auto"/>
              <w:jc w:val="center"/>
            </w:pPr>
            <w:r/>
            <w:r>
              <w:rPr>
                <w:rFonts w:ascii="Times New Roman" w:hAnsi="Times New Roman"/>
                <w:sz w:val="19"/>
              </w:rPr>
              <w:t>65.8% down</w:t>
            </w:r>
          </w:p>
        </w:tc>
        <w:tc>
          <w:tcPr>
            <w:tcW w:type="dxa" w:w="1245"/>
          </w:tcPr>
          <w:p>
            <w:pPr>
              <w:spacing w:after="40" w:line="240" w:lineRule="auto"/>
              <w:jc w:val="center"/>
            </w:pPr>
            <w:r/>
            <w:r>
              <w:rPr>
                <w:rFonts w:ascii="Times New Roman" w:hAnsi="Times New Roman"/>
                <w:sz w:val="19"/>
              </w:rPr>
              <w:t>-119.0</w:t>
            </w:r>
          </w:p>
        </w:tc>
      </w:tr>
      <w:tr>
        <w:trPr>
          <w:cantSplit/>
        </w:trPr>
        <w:tc>
          <w:tcPr>
            <w:tcW w:type="dxa" w:w="1532"/>
          </w:tcPr>
          <w:p>
            <w:pPr>
              <w:spacing w:after="40" w:line="240" w:lineRule="auto"/>
              <w:jc w:val="left"/>
            </w:pPr>
            <w:r/>
            <w:r>
              <w:rPr>
                <w:rFonts w:ascii="Times New Roman" w:hAnsi="Times New Roman"/>
                <w:sz w:val="19"/>
              </w:rPr>
              <w:t>Recovery</w:t>
            </w:r>
          </w:p>
        </w:tc>
        <w:tc>
          <w:tcPr>
            <w:tcW w:type="dxa" w:w="1053"/>
          </w:tcPr>
          <w:p>
            <w:pPr>
              <w:spacing w:after="40" w:line="240" w:lineRule="auto"/>
              <w:jc w:val="center"/>
            </w:pPr>
            <w:r/>
            <w:r>
              <w:rPr>
                <w:rFonts w:ascii="Times New Roman" w:hAnsi="Times New Roman"/>
                <w:sz w:val="19"/>
              </w:rPr>
              <w:t>233.9</w:t>
            </w:r>
          </w:p>
        </w:tc>
        <w:tc>
          <w:tcPr>
            <w:tcW w:type="dxa" w:w="1149"/>
          </w:tcPr>
          <w:p>
            <w:pPr>
              <w:spacing w:after="40" w:line="240" w:lineRule="auto"/>
              <w:jc w:val="center"/>
            </w:pPr>
            <w:r/>
            <w:r>
              <w:rPr>
                <w:rFonts w:ascii="Times New Roman" w:hAnsi="Times New Roman"/>
                <w:sz w:val="19"/>
              </w:rPr>
              <w:t>+0.00665</w:t>
            </w:r>
          </w:p>
        </w:tc>
        <w:tc>
          <w:tcPr>
            <w:tcW w:type="dxa" w:w="766"/>
          </w:tcPr>
          <w:p>
            <w:pPr>
              <w:spacing w:after="40" w:line="240" w:lineRule="auto"/>
              <w:jc w:val="center"/>
            </w:pPr>
            <w:r/>
            <w:r>
              <w:rPr>
                <w:rFonts w:ascii="Times New Roman" w:hAnsi="Times New Roman"/>
                <w:sz w:val="19"/>
              </w:rPr>
              <w:t>0.043</w:t>
            </w:r>
          </w:p>
        </w:tc>
        <w:tc>
          <w:tcPr>
            <w:tcW w:type="dxa" w:w="958"/>
          </w:tcPr>
          <w:p>
            <w:pPr>
              <w:spacing w:after="40" w:line="240" w:lineRule="auto"/>
              <w:jc w:val="center"/>
            </w:pPr>
            <w:r/>
            <w:r>
              <w:rPr>
                <w:rFonts w:ascii="Times New Roman" w:hAnsi="Times New Roman"/>
                <w:sz w:val="19"/>
              </w:rPr>
              <w:t>+0.008</w:t>
            </w:r>
          </w:p>
        </w:tc>
        <w:tc>
          <w:tcPr>
            <w:tcW w:type="dxa" w:w="958"/>
          </w:tcPr>
          <w:p>
            <w:pPr>
              <w:spacing w:after="40" w:line="240" w:lineRule="auto"/>
              <w:jc w:val="center"/>
            </w:pPr>
            <w:r/>
            <w:r>
              <w:rPr>
                <w:rFonts w:ascii="Times New Roman" w:hAnsi="Times New Roman"/>
                <w:sz w:val="19"/>
              </w:rPr>
              <w:t>51.6%</w:t>
            </w:r>
          </w:p>
        </w:tc>
        <w:tc>
          <w:tcPr>
            <w:tcW w:type="dxa" w:w="1245"/>
          </w:tcPr>
          <w:p>
            <w:pPr>
              <w:spacing w:after="40" w:line="240" w:lineRule="auto"/>
              <w:jc w:val="center"/>
            </w:pPr>
            <w:r/>
            <w:r>
              <w:rPr>
                <w:rFonts w:ascii="Times New Roman" w:hAnsi="Times New Roman"/>
                <w:sz w:val="19"/>
              </w:rPr>
              <w:t>53.3%</w:t>
            </w:r>
          </w:p>
        </w:tc>
        <w:tc>
          <w:tcPr>
            <w:tcW w:type="dxa" w:w="1245"/>
          </w:tcPr>
          <w:p>
            <w:pPr>
              <w:spacing w:after="40" w:line="240" w:lineRule="auto"/>
              <w:jc w:val="center"/>
            </w:pPr>
            <w:r/>
            <w:r>
              <w:rPr>
                <w:rFonts w:ascii="Times New Roman" w:hAnsi="Times New Roman"/>
                <w:sz w:val="19"/>
              </w:rPr>
              <w:t>+16.1</w:t>
            </w:r>
          </w:p>
        </w:tc>
      </w:tr>
      <w:tr>
        <w:trPr>
          <w:cantSplit/>
        </w:trPr>
        <w:tc>
          <w:tcPr>
            <w:tcW w:type="dxa" w:w="1532"/>
          </w:tcPr>
          <w:p>
            <w:pPr>
              <w:spacing w:after="40" w:line="240" w:lineRule="auto"/>
              <w:jc w:val="left"/>
            </w:pPr>
            <w:r/>
            <w:r>
              <w:rPr>
                <w:rFonts w:ascii="Times New Roman" w:hAnsi="Times New Roman"/>
                <w:sz w:val="19"/>
              </w:rPr>
              <w:t>2022 bear</w:t>
            </w:r>
          </w:p>
        </w:tc>
        <w:tc>
          <w:tcPr>
            <w:tcW w:type="dxa" w:w="1053"/>
          </w:tcPr>
          <w:p>
            <w:pPr>
              <w:spacing w:after="40" w:line="240" w:lineRule="auto"/>
              <w:jc w:val="center"/>
            </w:pPr>
            <w:r/>
            <w:r>
              <w:rPr>
                <w:rFonts w:ascii="Times New Roman" w:hAnsi="Times New Roman"/>
                <w:sz w:val="19"/>
              </w:rPr>
              <w:t>242.5</w:t>
            </w:r>
          </w:p>
        </w:tc>
        <w:tc>
          <w:tcPr>
            <w:tcW w:type="dxa" w:w="1149"/>
          </w:tcPr>
          <w:p>
            <w:pPr>
              <w:spacing w:after="40" w:line="240" w:lineRule="auto"/>
              <w:jc w:val="center"/>
            </w:pPr>
            <w:r/>
            <w:r>
              <w:rPr>
                <w:rFonts w:ascii="Times New Roman" w:hAnsi="Times New Roman"/>
                <w:sz w:val="19"/>
              </w:rPr>
              <w:t>-0.00113</w:t>
            </w:r>
          </w:p>
        </w:tc>
        <w:tc>
          <w:tcPr>
            <w:tcW w:type="dxa" w:w="766"/>
          </w:tcPr>
          <w:p>
            <w:pPr>
              <w:spacing w:after="40" w:line="240" w:lineRule="auto"/>
              <w:jc w:val="center"/>
            </w:pPr>
            <w:r/>
            <w:r>
              <w:rPr>
                <w:rFonts w:ascii="Times New Roman" w:hAnsi="Times New Roman"/>
                <w:sz w:val="19"/>
              </w:rPr>
              <w:t>0.91</w:t>
            </w:r>
          </w:p>
        </w:tc>
        <w:tc>
          <w:tcPr>
            <w:tcW w:type="dxa" w:w="958"/>
          </w:tcPr>
          <w:p>
            <w:pPr>
              <w:spacing w:after="40" w:line="240" w:lineRule="auto"/>
              <w:jc w:val="center"/>
            </w:pPr>
            <w:r/>
            <w:r>
              <w:rPr>
                <w:rFonts w:ascii="Times New Roman" w:hAnsi="Times New Roman"/>
                <w:sz w:val="19"/>
              </w:rPr>
              <w:t>+0.018</w:t>
            </w:r>
          </w:p>
        </w:tc>
        <w:tc>
          <w:tcPr>
            <w:tcW w:type="dxa" w:w="958"/>
          </w:tcPr>
          <w:p>
            <w:pPr>
              <w:spacing w:after="40" w:line="240" w:lineRule="auto"/>
              <w:jc w:val="center"/>
            </w:pPr>
            <w:r/>
            <w:r>
              <w:rPr>
                <w:rFonts w:ascii="Times New Roman" w:hAnsi="Times New Roman"/>
                <w:sz w:val="19"/>
              </w:rPr>
              <w:t>52.7%</w:t>
            </w:r>
          </w:p>
        </w:tc>
        <w:tc>
          <w:tcPr>
            <w:tcW w:type="dxa" w:w="1245"/>
          </w:tcPr>
          <w:p>
            <w:pPr>
              <w:spacing w:after="40" w:line="240" w:lineRule="auto"/>
              <w:jc w:val="center"/>
            </w:pPr>
            <w:r/>
            <w:r>
              <w:rPr>
                <w:rFonts w:ascii="Times New Roman" w:hAnsi="Times New Roman"/>
                <w:sz w:val="19"/>
              </w:rPr>
              <w:t>51.5%</w:t>
            </w:r>
          </w:p>
        </w:tc>
        <w:tc>
          <w:tcPr>
            <w:tcW w:type="dxa" w:w="1245"/>
          </w:tcPr>
          <w:p>
            <w:pPr>
              <w:spacing w:after="40" w:line="240" w:lineRule="auto"/>
              <w:jc w:val="center"/>
            </w:pPr>
            <w:r/>
            <w:r>
              <w:rPr>
                <w:rFonts w:ascii="Times New Roman" w:hAnsi="Times New Roman"/>
                <w:sz w:val="19"/>
              </w:rPr>
              <w:t>+5.6</w:t>
            </w:r>
          </w:p>
        </w:tc>
      </w:tr>
    </w:tbl>
    <w:p>
      <w:pPr>
        <w:keepNext w:val="0"/>
        <w:spacing w:line="276" w:lineRule="auto" w:after="80"/>
        <w:jc w:val="both"/>
      </w:pPr>
    </w:p>
    <w:p>
      <w:pPr>
        <w:keepNext w:val="0"/>
        <w:spacing w:line="276" w:lineRule="auto" w:after="120"/>
        <w:jc w:val="both"/>
      </w:pPr>
      <w:r>
        <w:rPr>
          <w:rFonts w:ascii="Times New Roman" w:hAnsi="Times New Roman"/>
          <w:b w:val="0"/>
          <w:i w:val="0"/>
          <w:sz w:val="24"/>
        </w:rPr>
        <w:t>Two findings here are visible only in return space. The recovery is the one period with detectable skill: from March 2020 to December 2021 the model beat a zero-return forecast significantly, with an R-squared of plus 0.0067 at p = 0.043, and its long-short spread earned 16.1 basis points a day. In price space that period looks no different from any other. The crash is where the model was actively wrong: directional accuracy fell to 34.7 per cent, the daily information coefficient turned negative, and the long-short spread lost 119 basis points a day, because the model kept forecasting small rebounds while two thirds of stock-days fell. A user would have relied on it most at exactly the moment it inverted.</w:t>
      </w:r>
    </w:p>
    <w:p>
      <w:pPr>
        <w:keepNext w:val="0"/>
        <w:spacing w:line="276" w:lineRule="auto" w:after="120"/>
        <w:jc w:val="both"/>
      </w:pPr>
      <w:r>
        <w:rPr>
          <w:rFonts w:ascii="Times New Roman" w:hAnsi="Times New Roman"/>
          <w:b w:val="0"/>
          <w:i w:val="0"/>
          <w:sz w:val="24"/>
        </w:rPr>
        <w:t>By sector, return R-squared runs from plus 0.0028 in Information Technology to minus 0.0009 in Consumer Discretionary, and the daily information coefficient from plus 0.025 in Energy to minus 0.016 in Real Estate. All of this is within noise, but none of it is visible in price space, where mean absolute percentage error differs by less than 0.004 percentage points between the model and naive persistence in every sector.</w:t>
      </w:r>
    </w:p>
    <w:p>
      <w:pPr>
        <w:keepNext/>
        <w:spacing w:line="240" w:lineRule="auto" w:after="160"/>
        <w:jc w:val="left"/>
      </w:pPr>
      <w:r>
        <w:rPr>
          <w:rFonts w:ascii="Times New Roman" w:hAnsi="Times New Roman"/>
          <w:b/>
          <w:i w:val="0"/>
          <w:sz w:val="26"/>
        </w:rPr>
        <w:t>7.2 RQ2: What Drives the Forecasts</w:t>
      </w:r>
    </w:p>
    <w:p>
      <w:pPr>
        <w:keepNext/>
        <w:spacing w:line="240" w:lineRule="auto" w:after="200"/>
        <w:jc w:val="center"/>
      </w:pPr>
      <w:r>
        <w:rPr>
          <w:rFonts w:ascii="Times New Roman" w:hAnsi="Times New Roman"/>
          <w:b w:val="0"/>
          <w:i w:val="0"/>
          <w:sz w:val="20"/>
        </w:rPr>
        <w:t>Table 7.6  Global feature importance, by mean absolute SHAP</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968"/>
        <w:gridCol w:w="3291"/>
        <w:gridCol w:w="2517"/>
        <w:gridCol w:w="2129"/>
      </w:tblGrid>
      <w:tr>
        <w:trPr>
          <w:cantSplit/>
          <w:tblHeader/>
        </w:trPr>
        <w:tc>
          <w:tcPr>
            <w:tcW w:type="dxa" w:w="968"/>
            <w:shd w:val="clear" w:color="auto" w:fill="D9E2F3"/>
          </w:tcPr>
          <w:p>
            <w:pPr>
              <w:spacing w:after="40" w:line="240" w:lineRule="auto"/>
              <w:jc w:val="center"/>
            </w:pPr>
            <w:r/>
            <w:r>
              <w:rPr>
                <w:rFonts w:ascii="Times New Roman" w:hAnsi="Times New Roman"/>
                <w:b/>
                <w:sz w:val="19"/>
              </w:rPr>
              <w:t>Rank</w:t>
            </w:r>
          </w:p>
        </w:tc>
        <w:tc>
          <w:tcPr>
            <w:tcW w:type="dxa" w:w="3292"/>
            <w:shd w:val="clear" w:color="auto" w:fill="D9E2F3"/>
          </w:tcPr>
          <w:p>
            <w:pPr>
              <w:spacing w:after="40" w:line="240" w:lineRule="auto"/>
              <w:jc w:val="center"/>
            </w:pPr>
            <w:r/>
            <w:r>
              <w:rPr>
                <w:rFonts w:ascii="Times New Roman" w:hAnsi="Times New Roman"/>
                <w:b/>
                <w:sz w:val="19"/>
              </w:rPr>
              <w:t>Feature</w:t>
            </w:r>
          </w:p>
        </w:tc>
        <w:tc>
          <w:tcPr>
            <w:tcW w:type="dxa" w:w="2517"/>
            <w:shd w:val="clear" w:color="auto" w:fill="D9E2F3"/>
          </w:tcPr>
          <w:p>
            <w:pPr>
              <w:spacing w:after="40" w:line="240" w:lineRule="auto"/>
              <w:jc w:val="center"/>
            </w:pPr>
            <w:r/>
            <w:r>
              <w:rPr>
                <w:rFonts w:ascii="Times New Roman" w:hAnsi="Times New Roman"/>
                <w:b/>
                <w:sz w:val="19"/>
              </w:rPr>
              <w:t>Family</w:t>
            </w:r>
          </w:p>
        </w:tc>
        <w:tc>
          <w:tcPr>
            <w:tcW w:type="dxa" w:w="2130"/>
            <w:shd w:val="clear" w:color="auto" w:fill="D9E2F3"/>
          </w:tcPr>
          <w:p>
            <w:pPr>
              <w:spacing w:after="40" w:line="240" w:lineRule="auto"/>
              <w:jc w:val="center"/>
            </w:pPr>
            <w:r/>
            <w:r>
              <w:rPr>
                <w:rFonts w:ascii="Times New Roman" w:hAnsi="Times New Roman"/>
                <w:b/>
                <w:sz w:val="19"/>
              </w:rPr>
              <w:t>Mean |SHAP| (bp)</w:t>
            </w:r>
          </w:p>
        </w:tc>
      </w:tr>
      <w:tr>
        <w:trPr>
          <w:cantSplit/>
        </w:trPr>
        <w:tc>
          <w:tcPr>
            <w:tcW w:type="dxa" w:w="968"/>
          </w:tcPr>
          <w:p>
            <w:pPr>
              <w:spacing w:after="40" w:line="240" w:lineRule="auto"/>
              <w:jc w:val="left"/>
            </w:pPr>
            <w:r/>
            <w:r>
              <w:rPr>
                <w:rFonts w:ascii="Times New Roman" w:hAnsi="Times New Roman"/>
                <w:sz w:val="19"/>
              </w:rPr>
              <w:t>1</w:t>
            </w:r>
          </w:p>
        </w:tc>
        <w:tc>
          <w:tcPr>
            <w:tcW w:type="dxa" w:w="3292"/>
          </w:tcPr>
          <w:p>
            <w:pPr>
              <w:spacing w:after="40" w:line="240" w:lineRule="auto"/>
              <w:jc w:val="center"/>
            </w:pPr>
            <w:r/>
            <w:r>
              <w:rPr>
                <w:rFonts w:ascii="Times New Roman" w:hAnsi="Times New Roman"/>
                <w:sz w:val="19"/>
              </w:rPr>
              <w:t>Market 20-day volatility</w:t>
            </w:r>
          </w:p>
        </w:tc>
        <w:tc>
          <w:tcPr>
            <w:tcW w:type="dxa" w:w="2517"/>
          </w:tcPr>
          <w:p>
            <w:pPr>
              <w:spacing w:after="40" w:line="240" w:lineRule="auto"/>
              <w:jc w:val="center"/>
            </w:pPr>
            <w:r/>
            <w:r>
              <w:rPr>
                <w:rFonts w:ascii="Times New Roman" w:hAnsi="Times New Roman"/>
                <w:sz w:val="19"/>
              </w:rPr>
              <w:t>Market and sector</w:t>
            </w:r>
          </w:p>
        </w:tc>
        <w:tc>
          <w:tcPr>
            <w:tcW w:type="dxa" w:w="2130"/>
          </w:tcPr>
          <w:p>
            <w:pPr>
              <w:spacing w:after="40" w:line="240" w:lineRule="auto"/>
              <w:jc w:val="center"/>
            </w:pPr>
            <w:r/>
            <w:r>
              <w:rPr>
                <w:rFonts w:ascii="Times New Roman" w:hAnsi="Times New Roman"/>
                <w:sz w:val="19"/>
              </w:rPr>
              <w:t>5.37</w:t>
            </w:r>
          </w:p>
        </w:tc>
      </w:tr>
      <w:tr>
        <w:trPr>
          <w:cantSplit/>
        </w:trPr>
        <w:tc>
          <w:tcPr>
            <w:tcW w:type="dxa" w:w="968"/>
          </w:tcPr>
          <w:p>
            <w:pPr>
              <w:spacing w:after="40" w:line="240" w:lineRule="auto"/>
              <w:jc w:val="left"/>
            </w:pPr>
            <w:r/>
            <w:r>
              <w:rPr>
                <w:rFonts w:ascii="Times New Roman" w:hAnsi="Times New Roman"/>
                <w:sz w:val="19"/>
              </w:rPr>
              <w:t>2</w:t>
            </w:r>
          </w:p>
        </w:tc>
        <w:tc>
          <w:tcPr>
            <w:tcW w:type="dxa" w:w="3292"/>
          </w:tcPr>
          <w:p>
            <w:pPr>
              <w:spacing w:after="40" w:line="240" w:lineRule="auto"/>
              <w:jc w:val="center"/>
            </w:pPr>
            <w:r/>
            <w:r>
              <w:rPr>
                <w:rFonts w:ascii="Times New Roman" w:hAnsi="Times New Roman"/>
                <w:sz w:val="19"/>
              </w:rPr>
              <w:t>Market 5-day return</w:t>
            </w:r>
          </w:p>
        </w:tc>
        <w:tc>
          <w:tcPr>
            <w:tcW w:type="dxa" w:w="2517"/>
          </w:tcPr>
          <w:p>
            <w:pPr>
              <w:spacing w:after="40" w:line="240" w:lineRule="auto"/>
              <w:jc w:val="center"/>
            </w:pPr>
            <w:r/>
            <w:r>
              <w:rPr>
                <w:rFonts w:ascii="Times New Roman" w:hAnsi="Times New Roman"/>
                <w:sz w:val="19"/>
              </w:rPr>
              <w:t>Market and sector</w:t>
            </w:r>
          </w:p>
        </w:tc>
        <w:tc>
          <w:tcPr>
            <w:tcW w:type="dxa" w:w="2130"/>
          </w:tcPr>
          <w:p>
            <w:pPr>
              <w:spacing w:after="40" w:line="240" w:lineRule="auto"/>
              <w:jc w:val="center"/>
            </w:pPr>
            <w:r/>
            <w:r>
              <w:rPr>
                <w:rFonts w:ascii="Times New Roman" w:hAnsi="Times New Roman"/>
                <w:sz w:val="19"/>
              </w:rPr>
              <w:t>3.33</w:t>
            </w:r>
          </w:p>
        </w:tc>
      </w:tr>
      <w:tr>
        <w:trPr>
          <w:cantSplit/>
        </w:trPr>
        <w:tc>
          <w:tcPr>
            <w:tcW w:type="dxa" w:w="968"/>
          </w:tcPr>
          <w:p>
            <w:pPr>
              <w:spacing w:after="40" w:line="240" w:lineRule="auto"/>
              <w:jc w:val="left"/>
            </w:pPr>
            <w:r/>
            <w:r>
              <w:rPr>
                <w:rFonts w:ascii="Times New Roman" w:hAnsi="Times New Roman"/>
                <w:sz w:val="19"/>
              </w:rPr>
              <w:t>3</w:t>
            </w:r>
          </w:p>
        </w:tc>
        <w:tc>
          <w:tcPr>
            <w:tcW w:type="dxa" w:w="3292"/>
          </w:tcPr>
          <w:p>
            <w:pPr>
              <w:spacing w:after="40" w:line="240" w:lineRule="auto"/>
              <w:jc w:val="center"/>
            </w:pPr>
            <w:r/>
            <w:r>
              <w:rPr>
                <w:rFonts w:ascii="Times New Roman" w:hAnsi="Times New Roman"/>
                <w:sz w:val="19"/>
              </w:rPr>
              <w:t>Market 1-day return</w:t>
            </w:r>
          </w:p>
        </w:tc>
        <w:tc>
          <w:tcPr>
            <w:tcW w:type="dxa" w:w="2517"/>
          </w:tcPr>
          <w:p>
            <w:pPr>
              <w:spacing w:after="40" w:line="240" w:lineRule="auto"/>
              <w:jc w:val="center"/>
            </w:pPr>
            <w:r/>
            <w:r>
              <w:rPr>
                <w:rFonts w:ascii="Times New Roman" w:hAnsi="Times New Roman"/>
                <w:sz w:val="19"/>
              </w:rPr>
              <w:t>Market and sector</w:t>
            </w:r>
          </w:p>
        </w:tc>
        <w:tc>
          <w:tcPr>
            <w:tcW w:type="dxa" w:w="2130"/>
          </w:tcPr>
          <w:p>
            <w:pPr>
              <w:spacing w:after="40" w:line="240" w:lineRule="auto"/>
              <w:jc w:val="center"/>
            </w:pPr>
            <w:r/>
            <w:r>
              <w:rPr>
                <w:rFonts w:ascii="Times New Roman" w:hAnsi="Times New Roman"/>
                <w:sz w:val="19"/>
              </w:rPr>
              <w:t>3.28</w:t>
            </w:r>
          </w:p>
        </w:tc>
      </w:tr>
      <w:tr>
        <w:trPr>
          <w:cantSplit/>
        </w:trPr>
        <w:tc>
          <w:tcPr>
            <w:tcW w:type="dxa" w:w="968"/>
          </w:tcPr>
          <w:p>
            <w:pPr>
              <w:spacing w:after="40" w:line="240" w:lineRule="auto"/>
              <w:jc w:val="left"/>
            </w:pPr>
            <w:r/>
            <w:r>
              <w:rPr>
                <w:rFonts w:ascii="Times New Roman" w:hAnsi="Times New Roman"/>
                <w:sz w:val="19"/>
              </w:rPr>
              <w:t>4</w:t>
            </w:r>
          </w:p>
        </w:tc>
        <w:tc>
          <w:tcPr>
            <w:tcW w:type="dxa" w:w="3292"/>
          </w:tcPr>
          <w:p>
            <w:pPr>
              <w:spacing w:after="40" w:line="240" w:lineRule="auto"/>
              <w:jc w:val="center"/>
            </w:pPr>
            <w:r/>
            <w:r>
              <w:rPr>
                <w:rFonts w:ascii="Times New Roman" w:hAnsi="Times New Roman"/>
                <w:sz w:val="19"/>
              </w:rPr>
              <w:t>Overnight gap</w:t>
            </w:r>
          </w:p>
        </w:tc>
        <w:tc>
          <w:tcPr>
            <w:tcW w:type="dxa" w:w="2517"/>
          </w:tcPr>
          <w:p>
            <w:pPr>
              <w:spacing w:after="40" w:line="240" w:lineRule="auto"/>
              <w:jc w:val="center"/>
            </w:pPr>
            <w:r/>
            <w:r>
              <w:rPr>
                <w:rFonts w:ascii="Times New Roman" w:hAnsi="Times New Roman"/>
                <w:sz w:val="19"/>
              </w:rPr>
              <w:t>Candle</w:t>
            </w:r>
          </w:p>
        </w:tc>
        <w:tc>
          <w:tcPr>
            <w:tcW w:type="dxa" w:w="2130"/>
          </w:tcPr>
          <w:p>
            <w:pPr>
              <w:spacing w:after="40" w:line="240" w:lineRule="auto"/>
              <w:jc w:val="center"/>
            </w:pPr>
            <w:r/>
            <w:r>
              <w:rPr>
                <w:rFonts w:ascii="Times New Roman" w:hAnsi="Times New Roman"/>
                <w:sz w:val="19"/>
              </w:rPr>
              <w:t>0.77</w:t>
            </w:r>
          </w:p>
        </w:tc>
      </w:tr>
      <w:tr>
        <w:trPr>
          <w:cantSplit/>
        </w:trPr>
        <w:tc>
          <w:tcPr>
            <w:tcW w:type="dxa" w:w="968"/>
          </w:tcPr>
          <w:p>
            <w:pPr>
              <w:spacing w:after="40" w:line="240" w:lineRule="auto"/>
              <w:jc w:val="left"/>
            </w:pPr>
            <w:r/>
            <w:r>
              <w:rPr>
                <w:rFonts w:ascii="Times New Roman" w:hAnsi="Times New Roman"/>
                <w:sz w:val="19"/>
              </w:rPr>
              <w:t>5</w:t>
            </w:r>
          </w:p>
        </w:tc>
        <w:tc>
          <w:tcPr>
            <w:tcW w:type="dxa" w:w="3292"/>
          </w:tcPr>
          <w:p>
            <w:pPr>
              <w:spacing w:after="40" w:line="240" w:lineRule="auto"/>
              <w:jc w:val="center"/>
            </w:pPr>
            <w:r/>
            <w:r>
              <w:rPr>
                <w:rFonts w:ascii="Times New Roman" w:hAnsi="Times New Roman"/>
                <w:sz w:val="19"/>
              </w:rPr>
              <w:t>Own 1-day return</w:t>
            </w:r>
          </w:p>
        </w:tc>
        <w:tc>
          <w:tcPr>
            <w:tcW w:type="dxa" w:w="2517"/>
          </w:tcPr>
          <w:p>
            <w:pPr>
              <w:spacing w:after="40" w:line="240" w:lineRule="auto"/>
              <w:jc w:val="center"/>
            </w:pPr>
            <w:r/>
            <w:r>
              <w:rPr>
                <w:rFonts w:ascii="Times New Roman" w:hAnsi="Times New Roman"/>
                <w:sz w:val="19"/>
              </w:rPr>
              <w:t>Past returns</w:t>
            </w:r>
          </w:p>
        </w:tc>
        <w:tc>
          <w:tcPr>
            <w:tcW w:type="dxa" w:w="2130"/>
          </w:tcPr>
          <w:p>
            <w:pPr>
              <w:spacing w:after="40" w:line="240" w:lineRule="auto"/>
              <w:jc w:val="center"/>
            </w:pPr>
            <w:r/>
            <w:r>
              <w:rPr>
                <w:rFonts w:ascii="Times New Roman" w:hAnsi="Times New Roman"/>
                <w:sz w:val="19"/>
              </w:rPr>
              <w:t>0.57</w:t>
            </w:r>
          </w:p>
        </w:tc>
      </w:tr>
      <w:tr>
        <w:trPr>
          <w:cantSplit/>
        </w:trPr>
        <w:tc>
          <w:tcPr>
            <w:tcW w:type="dxa" w:w="968"/>
          </w:tcPr>
          <w:p>
            <w:pPr>
              <w:spacing w:after="40" w:line="240" w:lineRule="auto"/>
              <w:jc w:val="left"/>
            </w:pPr>
            <w:r/>
            <w:r>
              <w:rPr>
                <w:rFonts w:ascii="Times New Roman" w:hAnsi="Times New Roman"/>
                <w:sz w:val="19"/>
              </w:rPr>
              <w:t>6</w:t>
            </w:r>
          </w:p>
        </w:tc>
        <w:tc>
          <w:tcPr>
            <w:tcW w:type="dxa" w:w="3292"/>
          </w:tcPr>
          <w:p>
            <w:pPr>
              <w:spacing w:after="40" w:line="240" w:lineRule="auto"/>
              <w:jc w:val="center"/>
            </w:pPr>
            <w:r/>
            <w:r>
              <w:rPr>
                <w:rFonts w:ascii="Times New Roman" w:hAnsi="Times New Roman"/>
                <w:sz w:val="19"/>
              </w:rPr>
              <w:t>Sector 5-day return</w:t>
            </w:r>
          </w:p>
        </w:tc>
        <w:tc>
          <w:tcPr>
            <w:tcW w:type="dxa" w:w="2517"/>
          </w:tcPr>
          <w:p>
            <w:pPr>
              <w:spacing w:after="40" w:line="240" w:lineRule="auto"/>
              <w:jc w:val="center"/>
            </w:pPr>
            <w:r/>
            <w:r>
              <w:rPr>
                <w:rFonts w:ascii="Times New Roman" w:hAnsi="Times New Roman"/>
                <w:sz w:val="19"/>
              </w:rPr>
              <w:t>Market and sector</w:t>
            </w:r>
          </w:p>
        </w:tc>
        <w:tc>
          <w:tcPr>
            <w:tcW w:type="dxa" w:w="2130"/>
          </w:tcPr>
          <w:p>
            <w:pPr>
              <w:spacing w:after="40" w:line="240" w:lineRule="auto"/>
              <w:jc w:val="center"/>
            </w:pPr>
            <w:r/>
            <w:r>
              <w:rPr>
                <w:rFonts w:ascii="Times New Roman" w:hAnsi="Times New Roman"/>
                <w:sz w:val="19"/>
              </w:rPr>
              <w:t>0.53</w:t>
            </w:r>
          </w:p>
        </w:tc>
      </w:tr>
      <w:tr>
        <w:trPr>
          <w:cantSplit/>
        </w:trPr>
        <w:tc>
          <w:tcPr>
            <w:tcW w:type="dxa" w:w="968"/>
          </w:tcPr>
          <w:p>
            <w:pPr>
              <w:spacing w:after="40" w:line="240" w:lineRule="auto"/>
              <w:jc w:val="left"/>
            </w:pPr>
            <w:r/>
            <w:r>
              <w:rPr>
                <w:rFonts w:ascii="Times New Roman" w:hAnsi="Times New Roman"/>
                <w:sz w:val="19"/>
              </w:rPr>
              <w:t>7</w:t>
            </w:r>
          </w:p>
        </w:tc>
        <w:tc>
          <w:tcPr>
            <w:tcW w:type="dxa" w:w="3292"/>
          </w:tcPr>
          <w:p>
            <w:pPr>
              <w:spacing w:after="40" w:line="240" w:lineRule="auto"/>
              <w:jc w:val="center"/>
            </w:pPr>
            <w:r/>
            <w:r>
              <w:rPr>
                <w:rFonts w:ascii="Times New Roman" w:hAnsi="Times New Roman"/>
                <w:sz w:val="19"/>
              </w:rPr>
              <w:t>ATR(14)</w:t>
            </w:r>
          </w:p>
        </w:tc>
        <w:tc>
          <w:tcPr>
            <w:tcW w:type="dxa" w:w="2517"/>
          </w:tcPr>
          <w:p>
            <w:pPr>
              <w:spacing w:after="40" w:line="240" w:lineRule="auto"/>
              <w:jc w:val="center"/>
            </w:pPr>
            <w:r/>
            <w:r>
              <w:rPr>
                <w:rFonts w:ascii="Times New Roman" w:hAnsi="Times New Roman"/>
                <w:sz w:val="19"/>
              </w:rPr>
              <w:t>Volatility</w:t>
            </w:r>
          </w:p>
        </w:tc>
        <w:tc>
          <w:tcPr>
            <w:tcW w:type="dxa" w:w="2130"/>
          </w:tcPr>
          <w:p>
            <w:pPr>
              <w:spacing w:after="40" w:line="240" w:lineRule="auto"/>
              <w:jc w:val="center"/>
            </w:pPr>
            <w:r/>
            <w:r>
              <w:rPr>
                <w:rFonts w:ascii="Times New Roman" w:hAnsi="Times New Roman"/>
                <w:sz w:val="19"/>
              </w:rPr>
              <w:t>0.43</w:t>
            </w:r>
          </w:p>
        </w:tc>
      </w:tr>
    </w:tbl>
    <w:p>
      <w:pPr>
        <w:keepNext w:val="0"/>
        <w:spacing w:line="276" w:lineRule="auto" w:after="80"/>
        <w:jc w:val="both"/>
      </w:pPr>
    </w:p>
    <w:p>
      <w:pPr>
        <w:keepNext w:val="0"/>
        <w:spacing w:line="276" w:lineRule="auto" w:after="120"/>
        <w:jc w:val="both"/>
      </w:pPr>
      <w:r>
        <w:rPr>
          <w:rFonts w:ascii="Times New Roman" w:hAnsi="Times New Roman"/>
          <w:b w:val="0"/>
          <w:i w:val="0"/>
          <w:sz w:val="24"/>
        </w:rPr>
        <w:t>Market and sector context accounts for 72.2 per cent of total attribution. The remaining families divide the rest: volatility 7.6 per cent, past returns 7.0 per cent, candle 5.9 per cent, trend 3.8 per cent, oscillators 2.0 per cent and volume 1.5 per cent. The dependence plots show what those features do. High market volatility raises the forecast by 10 to 15 basis points, a falling five-day market raises it by up to 25, and a strong up-day for the market lowers it. The model has mainly learned one rule: expect a small market-wide rebound after a volatile sell-off.</w:t>
      </w:r>
    </w:p>
    <w:p>
      <w:pPr>
        <w:keepNext/>
        <w:spacing w:after="80"/>
        <w:jc w:val="center"/>
      </w:pPr>
      <w:r>
        <w:drawing>
          <wp:inline xmlns:a="http://schemas.openxmlformats.org/drawingml/2006/main" xmlns:pic="http://schemas.openxmlformats.org/drawingml/2006/picture">
            <wp:extent cx="5040000" cy="3507236"/>
            <wp:docPr id="13" name="Picture 13"/>
            <wp:cNvGraphicFramePr>
              <a:graphicFrameLocks noChangeAspect="1"/>
            </wp:cNvGraphicFramePr>
            <a:graphic>
              <a:graphicData uri="http://schemas.openxmlformats.org/drawingml/2006/picture">
                <pic:pic>
                  <pic:nvPicPr>
                    <pic:cNvPr id="0" name="shap_global.png"/>
                    <pic:cNvPicPr/>
                  </pic:nvPicPr>
                  <pic:blipFill>
                    <a:blip r:embed="rId23"/>
                    <a:stretch>
                      <a:fillRect/>
                    </a:stretch>
                  </pic:blipFill>
                  <pic:spPr>
                    <a:xfrm>
                      <a:off x="0" y="0"/>
                      <a:ext cx="5040000" cy="3507236"/>
                    </a:xfrm>
                    <a:prstGeom prst="rect"/>
                  </pic:spPr>
                </pic:pic>
              </a:graphicData>
            </a:graphic>
          </wp:inline>
        </w:drawing>
      </w:r>
    </w:p>
    <w:p>
      <w:pPr>
        <w:keepNext w:val="0"/>
        <w:spacing w:line="240" w:lineRule="auto" w:after="200"/>
        <w:jc w:val="center"/>
      </w:pPr>
      <w:r>
        <w:rPr>
          <w:rFonts w:ascii="Times New Roman" w:hAnsi="Times New Roman"/>
          <w:b w:val="0"/>
          <w:i w:val="0"/>
          <w:sz w:val="20"/>
        </w:rPr>
        <w:t>Figure 7.6  Top 15 features by mean absolute SHAP</w:t>
      </w:r>
    </w:p>
    <w:p>
      <w:pPr>
        <w:keepNext/>
        <w:spacing w:after="80"/>
        <w:jc w:val="center"/>
      </w:pPr>
      <w:r>
        <w:drawing>
          <wp:inline xmlns:a="http://schemas.openxmlformats.org/drawingml/2006/main" xmlns:pic="http://schemas.openxmlformats.org/drawingml/2006/picture">
            <wp:extent cx="5040000" cy="1715157"/>
            <wp:docPr id="14" name="Picture 14"/>
            <wp:cNvGraphicFramePr>
              <a:graphicFrameLocks noChangeAspect="1"/>
            </wp:cNvGraphicFramePr>
            <a:graphic>
              <a:graphicData uri="http://schemas.openxmlformats.org/drawingml/2006/picture">
                <pic:pic>
                  <pic:nvPicPr>
                    <pic:cNvPr id="0" name="shap_dependence.png"/>
                    <pic:cNvPicPr/>
                  </pic:nvPicPr>
                  <pic:blipFill>
                    <a:blip r:embed="rId24"/>
                    <a:stretch>
                      <a:fillRect/>
                    </a:stretch>
                  </pic:blipFill>
                  <pic:spPr>
                    <a:xfrm>
                      <a:off x="0" y="0"/>
                      <a:ext cx="5040000" cy="1715157"/>
                    </a:xfrm>
                    <a:prstGeom prst="rect"/>
                  </pic:spPr>
                </pic:pic>
              </a:graphicData>
            </a:graphic>
          </wp:inline>
        </w:drawing>
      </w:r>
    </w:p>
    <w:p>
      <w:pPr>
        <w:keepNext w:val="0"/>
        <w:spacing w:line="240" w:lineRule="auto" w:after="200"/>
        <w:jc w:val="center"/>
      </w:pPr>
      <w:r>
        <w:rPr>
          <w:rFonts w:ascii="Times New Roman" w:hAnsi="Times New Roman"/>
          <w:b w:val="0"/>
          <w:i w:val="0"/>
          <w:sz w:val="20"/>
        </w:rPr>
        <w:t>Figure 7.7  How the leading features move the forecast (SHAP dependence)</w:t>
      </w:r>
    </w:p>
    <w:p>
      <w:pPr>
        <w:keepNext w:val="0"/>
        <w:spacing w:line="276" w:lineRule="auto" w:after="120"/>
        <w:jc w:val="both"/>
      </w:pPr>
      <w:r>
        <w:rPr>
          <w:rFonts w:ascii="Times New Roman" w:hAnsi="Times New Roman"/>
          <w:b w:val="0"/>
          <w:i w:val="0"/>
          <w:sz w:val="24"/>
        </w:rPr>
        <w:t>A local example makes the scale concrete. For AAPL on 16 March 2020, the worst day of the COVID crash, the model forecast plus 30 basis points while the stock actually rose 430. The attribution pushing the forecast up was market 20-day volatility at plus 12.9 basis points, the 17.8 per cent five-day market fall at plus 7.4, and the stock's own 29 per cent 20-day decline at plus 1.9; pushing it down were the 13.7 per cent market fall that day at minus 2.2 and the overnight gap at minus 1.7. The explanation is coherent, and the direction is right. But every contribution is an order of magnitude too small, which is the local view of the same 23-times-too-narrow dispersion found in Section 7.1.1. Expressed in dollars those contributions would read as eight, four and one cents and look merely small; in return units it is clear that the whole explanation accounts for one fourteenth of the move.</w:t>
      </w:r>
    </w:p>
    <w:p>
      <w:pPr>
        <w:keepNext/>
        <w:spacing w:after="80"/>
        <w:jc w:val="center"/>
      </w:pPr>
      <w:r>
        <w:drawing>
          <wp:inline xmlns:a="http://schemas.openxmlformats.org/drawingml/2006/main" xmlns:pic="http://schemas.openxmlformats.org/drawingml/2006/picture">
            <wp:extent cx="5040000" cy="1842447"/>
            <wp:docPr id="15" name="Picture 15"/>
            <wp:cNvGraphicFramePr>
              <a:graphicFrameLocks noChangeAspect="1"/>
            </wp:cNvGraphicFramePr>
            <a:graphic>
              <a:graphicData uri="http://schemas.openxmlformats.org/drawingml/2006/picture">
                <pic:pic>
                  <pic:nvPicPr>
                    <pic:cNvPr id="0" name="local_explanations.png"/>
                    <pic:cNvPicPr/>
                  </pic:nvPicPr>
                  <pic:blipFill>
                    <a:blip r:embed="rId25"/>
                    <a:stretch>
                      <a:fillRect/>
                    </a:stretch>
                  </pic:blipFill>
                  <pic:spPr>
                    <a:xfrm>
                      <a:off x="0" y="0"/>
                      <a:ext cx="5040000" cy="1842447"/>
                    </a:xfrm>
                    <a:prstGeom prst="rect"/>
                  </pic:spPr>
                </pic:pic>
              </a:graphicData>
            </a:graphic>
          </wp:inline>
        </w:drawing>
      </w:r>
    </w:p>
    <w:p>
      <w:pPr>
        <w:keepNext w:val="0"/>
        <w:spacing w:line="240" w:lineRule="auto" w:after="200"/>
        <w:jc w:val="center"/>
      </w:pPr>
      <w:r>
        <w:rPr>
          <w:rFonts w:ascii="Times New Roman" w:hAnsi="Times New Roman"/>
          <w:b w:val="0"/>
          <w:i w:val="0"/>
          <w:sz w:val="20"/>
        </w:rPr>
        <w:t>Figure 7.8  Local SHAP explanations in basis points of forecast return, for individual stock-days</w:t>
      </w:r>
    </w:p>
    <w:p>
      <w:pPr>
        <w:keepNext/>
        <w:spacing w:line="240" w:lineRule="auto" w:after="160"/>
        <w:jc w:val="left"/>
      </w:pPr>
      <w:r>
        <w:rPr>
          <w:rFonts w:ascii="Times New Roman" w:hAnsi="Times New Roman"/>
          <w:b/>
          <w:i w:val="0"/>
          <w:sz w:val="26"/>
        </w:rPr>
        <w:t>7.3 RQ3: Faithfulness and Stability</w:t>
      </w:r>
    </w:p>
    <w:p>
      <w:pPr>
        <w:keepNext/>
        <w:spacing w:line="240" w:lineRule="auto" w:after="200"/>
        <w:jc w:val="center"/>
      </w:pPr>
      <w:r>
        <w:rPr>
          <w:rFonts w:ascii="Times New Roman" w:hAnsi="Times New Roman"/>
          <w:b w:val="0"/>
          <w:i w:val="0"/>
          <w:sz w:val="20"/>
        </w:rPr>
        <w:t>Table 7.7  Faithfulness: forecast change when k features are removed</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4344"/>
        <w:gridCol w:w="760"/>
        <w:gridCol w:w="760"/>
        <w:gridCol w:w="760"/>
        <w:gridCol w:w="760"/>
        <w:gridCol w:w="760"/>
        <w:gridCol w:w="760"/>
      </w:tblGrid>
      <w:tr>
        <w:trPr>
          <w:cantSplit/>
          <w:tblHeader/>
        </w:trPr>
        <w:tc>
          <w:tcPr>
            <w:tcW w:type="dxa" w:w="4345"/>
            <w:shd w:val="clear" w:color="auto" w:fill="D9E2F3"/>
          </w:tcPr>
          <w:p>
            <w:pPr>
              <w:spacing w:after="40" w:line="240" w:lineRule="auto"/>
              <w:jc w:val="center"/>
            </w:pPr>
            <w:r/>
            <w:r>
              <w:rPr>
                <w:rFonts w:ascii="Times New Roman" w:hAnsi="Times New Roman"/>
                <w:b/>
                <w:sz w:val="19"/>
              </w:rPr>
              <w:t>Features removed (k)</w:t>
            </w:r>
          </w:p>
        </w:tc>
        <w:tc>
          <w:tcPr>
            <w:tcW w:type="dxa" w:w="760"/>
            <w:shd w:val="clear" w:color="auto" w:fill="D9E2F3"/>
          </w:tcPr>
          <w:p>
            <w:pPr>
              <w:spacing w:after="40" w:line="240" w:lineRule="auto"/>
              <w:jc w:val="center"/>
            </w:pPr>
            <w:r/>
            <w:r>
              <w:rPr>
                <w:rFonts w:ascii="Times New Roman" w:hAnsi="Times New Roman"/>
                <w:b/>
                <w:sz w:val="19"/>
              </w:rPr>
              <w:t>1</w:t>
            </w:r>
          </w:p>
        </w:tc>
        <w:tc>
          <w:tcPr>
            <w:tcW w:type="dxa" w:w="760"/>
            <w:shd w:val="clear" w:color="auto" w:fill="D9E2F3"/>
          </w:tcPr>
          <w:p>
            <w:pPr>
              <w:spacing w:after="40" w:line="240" w:lineRule="auto"/>
              <w:jc w:val="center"/>
            </w:pPr>
            <w:r/>
            <w:r>
              <w:rPr>
                <w:rFonts w:ascii="Times New Roman" w:hAnsi="Times New Roman"/>
                <w:b/>
                <w:sz w:val="19"/>
              </w:rPr>
              <w:t>2</w:t>
            </w:r>
          </w:p>
        </w:tc>
        <w:tc>
          <w:tcPr>
            <w:tcW w:type="dxa" w:w="760"/>
            <w:shd w:val="clear" w:color="auto" w:fill="D9E2F3"/>
          </w:tcPr>
          <w:p>
            <w:pPr>
              <w:spacing w:after="40" w:line="240" w:lineRule="auto"/>
              <w:jc w:val="center"/>
            </w:pPr>
            <w:r/>
            <w:r>
              <w:rPr>
                <w:rFonts w:ascii="Times New Roman" w:hAnsi="Times New Roman"/>
                <w:b/>
                <w:sz w:val="19"/>
              </w:rPr>
              <w:t>4</w:t>
            </w:r>
          </w:p>
        </w:tc>
        <w:tc>
          <w:tcPr>
            <w:tcW w:type="dxa" w:w="760"/>
            <w:shd w:val="clear" w:color="auto" w:fill="D9E2F3"/>
          </w:tcPr>
          <w:p>
            <w:pPr>
              <w:spacing w:after="40" w:line="240" w:lineRule="auto"/>
              <w:jc w:val="center"/>
            </w:pPr>
            <w:r/>
            <w:r>
              <w:rPr>
                <w:rFonts w:ascii="Times New Roman" w:hAnsi="Times New Roman"/>
                <w:b/>
                <w:sz w:val="19"/>
              </w:rPr>
              <w:t>8</w:t>
            </w:r>
          </w:p>
        </w:tc>
        <w:tc>
          <w:tcPr>
            <w:tcW w:type="dxa" w:w="760"/>
            <w:shd w:val="clear" w:color="auto" w:fill="D9E2F3"/>
          </w:tcPr>
          <w:p>
            <w:pPr>
              <w:spacing w:after="40" w:line="240" w:lineRule="auto"/>
              <w:jc w:val="center"/>
            </w:pPr>
            <w:r/>
            <w:r>
              <w:rPr>
                <w:rFonts w:ascii="Times New Roman" w:hAnsi="Times New Roman"/>
                <w:b/>
                <w:sz w:val="19"/>
              </w:rPr>
              <w:t>16</w:t>
            </w:r>
          </w:p>
        </w:tc>
        <w:tc>
          <w:tcPr>
            <w:tcW w:type="dxa" w:w="760"/>
            <w:shd w:val="clear" w:color="auto" w:fill="D9E2F3"/>
          </w:tcPr>
          <w:p>
            <w:pPr>
              <w:spacing w:after="40" w:line="240" w:lineRule="auto"/>
              <w:jc w:val="center"/>
            </w:pPr>
            <w:r/>
            <w:r>
              <w:rPr>
                <w:rFonts w:ascii="Times New Roman" w:hAnsi="Times New Roman"/>
                <w:b/>
                <w:sz w:val="19"/>
              </w:rPr>
              <w:t>32</w:t>
            </w:r>
          </w:p>
        </w:tc>
      </w:tr>
      <w:tr>
        <w:trPr>
          <w:cantSplit/>
        </w:trPr>
        <w:tc>
          <w:tcPr>
            <w:tcW w:type="dxa" w:w="4345"/>
          </w:tcPr>
          <w:p>
            <w:pPr>
              <w:spacing w:after="40" w:line="240" w:lineRule="auto"/>
              <w:jc w:val="left"/>
            </w:pPr>
            <w:r/>
            <w:r>
              <w:rPr>
                <w:rFonts w:ascii="Times New Roman" w:hAnsi="Times New Roman"/>
                <w:sz w:val="19"/>
              </w:rPr>
              <w:t>Top-SHAP first, |change| in bp</w:t>
            </w:r>
          </w:p>
        </w:tc>
        <w:tc>
          <w:tcPr>
            <w:tcW w:type="dxa" w:w="760"/>
          </w:tcPr>
          <w:p>
            <w:pPr>
              <w:spacing w:after="40" w:line="240" w:lineRule="auto"/>
              <w:jc w:val="center"/>
            </w:pPr>
            <w:r/>
            <w:r>
              <w:rPr>
                <w:rFonts w:ascii="Times New Roman" w:hAnsi="Times New Roman"/>
                <w:sz w:val="19"/>
              </w:rPr>
              <w:t>8.70</w:t>
            </w:r>
          </w:p>
        </w:tc>
        <w:tc>
          <w:tcPr>
            <w:tcW w:type="dxa" w:w="760"/>
          </w:tcPr>
          <w:p>
            <w:pPr>
              <w:spacing w:after="40" w:line="240" w:lineRule="auto"/>
              <w:jc w:val="center"/>
            </w:pPr>
            <w:r/>
            <w:r>
              <w:rPr>
                <w:rFonts w:ascii="Times New Roman" w:hAnsi="Times New Roman"/>
                <w:sz w:val="19"/>
              </w:rPr>
              <w:t>8.39</w:t>
            </w:r>
          </w:p>
        </w:tc>
        <w:tc>
          <w:tcPr>
            <w:tcW w:type="dxa" w:w="760"/>
          </w:tcPr>
          <w:p>
            <w:pPr>
              <w:spacing w:after="40" w:line="240" w:lineRule="auto"/>
              <w:jc w:val="center"/>
            </w:pPr>
            <w:r/>
            <w:r>
              <w:rPr>
                <w:rFonts w:ascii="Times New Roman" w:hAnsi="Times New Roman"/>
                <w:sz w:val="19"/>
              </w:rPr>
              <w:t>8.36</w:t>
            </w:r>
          </w:p>
        </w:tc>
        <w:tc>
          <w:tcPr>
            <w:tcW w:type="dxa" w:w="760"/>
          </w:tcPr>
          <w:p>
            <w:pPr>
              <w:spacing w:after="40" w:line="240" w:lineRule="auto"/>
              <w:jc w:val="center"/>
            </w:pPr>
            <w:r/>
            <w:r>
              <w:rPr>
                <w:rFonts w:ascii="Times New Roman" w:hAnsi="Times New Roman"/>
                <w:sz w:val="19"/>
              </w:rPr>
              <w:t>8.47</w:t>
            </w:r>
          </w:p>
        </w:tc>
        <w:tc>
          <w:tcPr>
            <w:tcW w:type="dxa" w:w="760"/>
          </w:tcPr>
          <w:p>
            <w:pPr>
              <w:spacing w:after="40" w:line="240" w:lineRule="auto"/>
              <w:jc w:val="center"/>
            </w:pPr>
            <w:r/>
            <w:r>
              <w:rPr>
                <w:rFonts w:ascii="Times New Roman" w:hAnsi="Times New Roman"/>
                <w:sz w:val="19"/>
              </w:rPr>
              <w:t>8.56</w:t>
            </w:r>
          </w:p>
        </w:tc>
        <w:tc>
          <w:tcPr>
            <w:tcW w:type="dxa" w:w="760"/>
          </w:tcPr>
          <w:p>
            <w:pPr>
              <w:spacing w:after="40" w:line="240" w:lineRule="auto"/>
              <w:jc w:val="center"/>
            </w:pPr>
            <w:r/>
            <w:r>
              <w:rPr>
                <w:rFonts w:ascii="Times New Roman" w:hAnsi="Times New Roman"/>
                <w:sz w:val="19"/>
              </w:rPr>
              <w:t>8.59</w:t>
            </w:r>
          </w:p>
        </w:tc>
      </w:tr>
      <w:tr>
        <w:trPr>
          <w:cantSplit/>
        </w:trPr>
        <w:tc>
          <w:tcPr>
            <w:tcW w:type="dxa" w:w="4345"/>
          </w:tcPr>
          <w:p>
            <w:pPr>
              <w:spacing w:after="40" w:line="240" w:lineRule="auto"/>
              <w:jc w:val="left"/>
            </w:pPr>
            <w:r/>
            <w:r>
              <w:rPr>
                <w:rFonts w:ascii="Times New Roman" w:hAnsi="Times New Roman"/>
                <w:sz w:val="19"/>
              </w:rPr>
              <w:t>Random order, |change| in bp</w:t>
            </w:r>
          </w:p>
        </w:tc>
        <w:tc>
          <w:tcPr>
            <w:tcW w:type="dxa" w:w="760"/>
          </w:tcPr>
          <w:p>
            <w:pPr>
              <w:spacing w:after="40" w:line="240" w:lineRule="auto"/>
              <w:jc w:val="center"/>
            </w:pPr>
            <w:r/>
            <w:r>
              <w:rPr>
                <w:rFonts w:ascii="Times New Roman" w:hAnsi="Times New Roman"/>
                <w:sz w:val="19"/>
              </w:rPr>
              <w:t>0.65</w:t>
            </w:r>
          </w:p>
        </w:tc>
        <w:tc>
          <w:tcPr>
            <w:tcW w:type="dxa" w:w="760"/>
          </w:tcPr>
          <w:p>
            <w:pPr>
              <w:spacing w:after="40" w:line="240" w:lineRule="auto"/>
              <w:jc w:val="center"/>
            </w:pPr>
            <w:r/>
            <w:r>
              <w:rPr>
                <w:rFonts w:ascii="Times New Roman" w:hAnsi="Times New Roman"/>
                <w:sz w:val="19"/>
              </w:rPr>
              <w:t>1.19</w:t>
            </w:r>
          </w:p>
        </w:tc>
        <w:tc>
          <w:tcPr>
            <w:tcW w:type="dxa" w:w="760"/>
          </w:tcPr>
          <w:p>
            <w:pPr>
              <w:spacing w:after="40" w:line="240" w:lineRule="auto"/>
              <w:jc w:val="center"/>
            </w:pPr>
            <w:r/>
            <w:r>
              <w:rPr>
                <w:rFonts w:ascii="Times New Roman" w:hAnsi="Times New Roman"/>
                <w:sz w:val="19"/>
              </w:rPr>
              <w:t>2.04</w:t>
            </w:r>
          </w:p>
        </w:tc>
        <w:tc>
          <w:tcPr>
            <w:tcW w:type="dxa" w:w="760"/>
          </w:tcPr>
          <w:p>
            <w:pPr>
              <w:spacing w:after="40" w:line="240" w:lineRule="auto"/>
              <w:jc w:val="center"/>
            </w:pPr>
            <w:r/>
            <w:r>
              <w:rPr>
                <w:rFonts w:ascii="Times New Roman" w:hAnsi="Times New Roman"/>
                <w:sz w:val="19"/>
              </w:rPr>
              <w:t>3.65</w:t>
            </w:r>
          </w:p>
        </w:tc>
        <w:tc>
          <w:tcPr>
            <w:tcW w:type="dxa" w:w="760"/>
          </w:tcPr>
          <w:p>
            <w:pPr>
              <w:spacing w:after="40" w:line="240" w:lineRule="auto"/>
              <w:jc w:val="center"/>
            </w:pPr>
            <w:r/>
            <w:r>
              <w:rPr>
                <w:rFonts w:ascii="Times New Roman" w:hAnsi="Times New Roman"/>
                <w:sz w:val="19"/>
              </w:rPr>
              <w:t>5.88</w:t>
            </w:r>
          </w:p>
        </w:tc>
        <w:tc>
          <w:tcPr>
            <w:tcW w:type="dxa" w:w="760"/>
          </w:tcPr>
          <w:p>
            <w:pPr>
              <w:spacing w:after="40" w:line="240" w:lineRule="auto"/>
              <w:jc w:val="center"/>
            </w:pPr>
            <w:r/>
            <w:r>
              <w:rPr>
                <w:rFonts w:ascii="Times New Roman" w:hAnsi="Times New Roman"/>
                <w:sz w:val="19"/>
              </w:rPr>
              <w:t>8.59</w:t>
            </w:r>
          </w:p>
        </w:tc>
      </w:tr>
      <w:tr>
        <w:trPr>
          <w:cantSplit/>
        </w:trPr>
        <w:tc>
          <w:tcPr>
            <w:tcW w:type="dxa" w:w="4345"/>
          </w:tcPr>
          <w:p>
            <w:pPr>
              <w:spacing w:after="40" w:line="240" w:lineRule="auto"/>
              <w:jc w:val="left"/>
            </w:pPr>
            <w:r/>
            <w:r>
              <w:rPr>
                <w:rFonts w:ascii="Times New Roman" w:hAnsi="Times New Roman"/>
                <w:sz w:val="19"/>
              </w:rPr>
              <w:t>Fidelity: corr(SHAP mass removed, actual change)</w:t>
            </w:r>
          </w:p>
        </w:tc>
        <w:tc>
          <w:tcPr>
            <w:tcW w:type="dxa" w:w="760"/>
          </w:tcPr>
          <w:p>
            <w:pPr>
              <w:spacing w:after="40" w:line="240" w:lineRule="auto"/>
              <w:jc w:val="center"/>
            </w:pPr>
            <w:r/>
            <w:r>
              <w:rPr>
                <w:rFonts w:ascii="Times New Roman" w:hAnsi="Times New Roman"/>
                <w:sz w:val="19"/>
              </w:rPr>
              <w:t>0.98</w:t>
            </w:r>
          </w:p>
        </w:tc>
        <w:tc>
          <w:tcPr>
            <w:tcW w:type="dxa" w:w="760"/>
          </w:tcPr>
          <w:p>
            <w:pPr>
              <w:spacing w:after="40" w:line="240" w:lineRule="auto"/>
              <w:jc w:val="center"/>
            </w:pPr>
            <w:r/>
            <w:r>
              <w:rPr>
                <w:rFonts w:ascii="Times New Roman" w:hAnsi="Times New Roman"/>
                <w:sz w:val="19"/>
              </w:rPr>
              <w:t>0.99</w:t>
            </w:r>
          </w:p>
        </w:tc>
        <w:tc>
          <w:tcPr>
            <w:tcW w:type="dxa" w:w="760"/>
          </w:tcPr>
          <w:p>
            <w:pPr>
              <w:spacing w:after="40" w:line="240" w:lineRule="auto"/>
              <w:jc w:val="center"/>
            </w:pPr>
            <w:r/>
            <w:r>
              <w:rPr>
                <w:rFonts w:ascii="Times New Roman" w:hAnsi="Times New Roman"/>
                <w:sz w:val="19"/>
              </w:rPr>
              <w:t>0.99</w:t>
            </w:r>
          </w:p>
        </w:tc>
        <w:tc>
          <w:tcPr>
            <w:tcW w:type="dxa" w:w="760"/>
          </w:tcPr>
          <w:p>
            <w:pPr>
              <w:spacing w:after="40" w:line="240" w:lineRule="auto"/>
              <w:jc w:val="center"/>
            </w:pPr>
            <w:r/>
            <w:r>
              <w:rPr>
                <w:rFonts w:ascii="Times New Roman" w:hAnsi="Times New Roman"/>
                <w:sz w:val="19"/>
              </w:rPr>
              <w:t>1.00</w:t>
            </w:r>
          </w:p>
        </w:tc>
        <w:tc>
          <w:tcPr>
            <w:tcW w:type="dxa" w:w="760"/>
          </w:tcPr>
          <w:p>
            <w:pPr>
              <w:spacing w:after="40" w:line="240" w:lineRule="auto"/>
              <w:jc w:val="center"/>
            </w:pPr>
            <w:r/>
            <w:r>
              <w:rPr>
                <w:rFonts w:ascii="Times New Roman" w:hAnsi="Times New Roman"/>
                <w:sz w:val="19"/>
              </w:rPr>
              <w:t>1.00</w:t>
            </w:r>
          </w:p>
        </w:tc>
        <w:tc>
          <w:tcPr>
            <w:tcW w:type="dxa" w:w="760"/>
          </w:tcPr>
          <w:p>
            <w:pPr>
              <w:spacing w:after="40" w:line="240" w:lineRule="auto"/>
              <w:jc w:val="center"/>
            </w:pPr>
            <w:r/>
            <w:r>
              <w:rPr>
                <w:rFonts w:ascii="Times New Roman" w:hAnsi="Times New Roman"/>
                <w:sz w:val="19"/>
              </w:rPr>
              <w:t>1.00</w:t>
            </w:r>
          </w:p>
        </w:tc>
      </w:tr>
    </w:tbl>
    <w:p>
      <w:pPr>
        <w:keepNext w:val="0"/>
        <w:spacing w:line="276" w:lineRule="auto" w:after="80"/>
        <w:jc w:val="both"/>
      </w:pPr>
    </w:p>
    <w:p>
      <w:pPr>
        <w:keepNext w:val="0"/>
        <w:spacing w:line="276" w:lineRule="auto" w:after="120"/>
        <w:jc w:val="both"/>
      </w:pPr>
      <w:r>
        <w:rPr>
          <w:rFonts w:ascii="Times New Roman" w:hAnsi="Times New Roman"/>
          <w:b w:val="0"/>
          <w:i w:val="0"/>
          <w:sz w:val="24"/>
        </w:rPr>
        <w:t>SHAP passes. Removing the single top-ranked feature changes a forecast 13 times more than removing a random one, with an area over the perturbation curve of 8.51 basis points against 3.67 for random order, and the fidelity correlation is at least 0.98 throughout. The two curves necessarily meet at k = 32, because replacing all 32 features gives the same answer whatever order is used.</w:t>
      </w:r>
    </w:p>
    <w:p>
      <w:pPr>
        <w:keepNext w:val="0"/>
        <w:spacing w:line="276" w:lineRule="auto" w:after="120"/>
        <w:jc w:val="both"/>
      </w:pPr>
      <w:r>
        <w:rPr>
          <w:rFonts w:ascii="Times New Roman" w:hAnsi="Times New Roman"/>
          <w:b w:val="0"/>
          <w:i w:val="0"/>
          <w:sz w:val="24"/>
        </w:rPr>
        <w:t>A second finding falls out of the same table. The top-SHAP row is almost flat: removing one feature moves the forecast as much as removing sixteen. One feature does nearly all the work, which is a fact about the model that the explanation alone would not have revealed.</w:t>
      </w:r>
    </w:p>
    <w:p>
      <w:pPr>
        <w:keepNext/>
        <w:spacing w:after="80"/>
        <w:jc w:val="center"/>
      </w:pPr>
      <w:r>
        <w:drawing>
          <wp:inline xmlns:a="http://schemas.openxmlformats.org/drawingml/2006/main" xmlns:pic="http://schemas.openxmlformats.org/drawingml/2006/picture">
            <wp:extent cx="5040000" cy="3266407"/>
            <wp:docPr id="16" name="Picture 16"/>
            <wp:cNvGraphicFramePr>
              <a:graphicFrameLocks noChangeAspect="1"/>
            </wp:cNvGraphicFramePr>
            <a:graphic>
              <a:graphicData uri="http://schemas.openxmlformats.org/drawingml/2006/picture">
                <pic:pic>
                  <pic:nvPicPr>
                    <pic:cNvPr id="0" name="faithfulness.png"/>
                    <pic:cNvPicPr/>
                  </pic:nvPicPr>
                  <pic:blipFill>
                    <a:blip r:embed="rId26"/>
                    <a:stretch>
                      <a:fillRect/>
                    </a:stretch>
                  </pic:blipFill>
                  <pic:spPr>
                    <a:xfrm>
                      <a:off x="0" y="0"/>
                      <a:ext cx="5040000" cy="3266407"/>
                    </a:xfrm>
                    <a:prstGeom prst="rect"/>
                  </pic:spPr>
                </pic:pic>
              </a:graphicData>
            </a:graphic>
          </wp:inline>
        </w:drawing>
      </w:r>
    </w:p>
    <w:p>
      <w:pPr>
        <w:keepNext w:val="0"/>
        <w:spacing w:line="240" w:lineRule="auto" w:after="200"/>
        <w:jc w:val="center"/>
      </w:pPr>
      <w:r>
        <w:rPr>
          <w:rFonts w:ascii="Times New Roman" w:hAnsi="Times New Roman"/>
          <w:b w:val="0"/>
          <w:i w:val="0"/>
          <w:sz w:val="20"/>
        </w:rPr>
        <w:t>Figure 7.9  Faithfulness: forecast change when top-SHAP features and random features are removed</w:t>
      </w:r>
    </w:p>
    <w:p>
      <w:pPr>
        <w:keepNext/>
        <w:spacing w:line="240" w:lineRule="auto" w:after="200"/>
        <w:jc w:val="center"/>
      </w:pPr>
      <w:r>
        <w:rPr>
          <w:rFonts w:ascii="Times New Roman" w:hAnsi="Times New Roman"/>
          <w:b w:val="0"/>
          <w:i w:val="0"/>
          <w:sz w:val="20"/>
        </w:rPr>
        <w:t>Table 7.8  Stability of the explanations</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3291"/>
        <w:gridCol w:w="1936"/>
        <w:gridCol w:w="1548"/>
        <w:gridCol w:w="2129"/>
      </w:tblGrid>
      <w:tr>
        <w:trPr>
          <w:cantSplit/>
          <w:tblHeader/>
        </w:trPr>
        <w:tc>
          <w:tcPr>
            <w:tcW w:type="dxa" w:w="3292"/>
            <w:shd w:val="clear" w:color="auto" w:fill="D9E2F3"/>
          </w:tcPr>
          <w:p>
            <w:pPr>
              <w:spacing w:after="40" w:line="240" w:lineRule="auto"/>
              <w:jc w:val="center"/>
            </w:pPr>
            <w:r/>
            <w:r>
              <w:rPr>
                <w:rFonts w:ascii="Times New Roman" w:hAnsi="Times New Roman"/>
                <w:b/>
                <w:sz w:val="19"/>
              </w:rPr>
              <w:t>Comparison</w:t>
            </w:r>
          </w:p>
        </w:tc>
        <w:tc>
          <w:tcPr>
            <w:tcW w:type="dxa" w:w="1936"/>
            <w:shd w:val="clear" w:color="auto" w:fill="D9E2F3"/>
          </w:tcPr>
          <w:p>
            <w:pPr>
              <w:spacing w:after="40" w:line="240" w:lineRule="auto"/>
              <w:jc w:val="center"/>
            </w:pPr>
            <w:r/>
            <w:r>
              <w:rPr>
                <w:rFonts w:ascii="Times New Roman" w:hAnsi="Times New Roman"/>
                <w:b/>
                <w:sz w:val="19"/>
              </w:rPr>
              <w:t>Global ranking tau</w:t>
            </w:r>
          </w:p>
        </w:tc>
        <w:tc>
          <w:tcPr>
            <w:tcW w:type="dxa" w:w="1549"/>
            <w:shd w:val="clear" w:color="auto" w:fill="D9E2F3"/>
          </w:tcPr>
          <w:p>
            <w:pPr>
              <w:spacing w:after="40" w:line="240" w:lineRule="auto"/>
              <w:jc w:val="center"/>
            </w:pPr>
            <w:r/>
            <w:r>
              <w:rPr>
                <w:rFonts w:ascii="Times New Roman" w:hAnsi="Times New Roman"/>
                <w:b/>
                <w:sz w:val="19"/>
              </w:rPr>
              <w:t>Top-5 overlap</w:t>
            </w:r>
          </w:p>
        </w:tc>
        <w:tc>
          <w:tcPr>
            <w:tcW w:type="dxa" w:w="2130"/>
            <w:shd w:val="clear" w:color="auto" w:fill="D9E2F3"/>
          </w:tcPr>
          <w:p>
            <w:pPr>
              <w:spacing w:after="40" w:line="240" w:lineRule="auto"/>
              <w:jc w:val="center"/>
            </w:pPr>
            <w:r/>
            <w:r>
              <w:rPr>
                <w:rFonts w:ascii="Times New Roman" w:hAnsi="Times New Roman"/>
                <w:b/>
                <w:sz w:val="19"/>
              </w:rPr>
              <w:t>Per-stock-day rho</w:t>
            </w:r>
          </w:p>
        </w:tc>
      </w:tr>
      <w:tr>
        <w:trPr>
          <w:cantSplit/>
        </w:trPr>
        <w:tc>
          <w:tcPr>
            <w:tcW w:type="dxa" w:w="3292"/>
          </w:tcPr>
          <w:p>
            <w:pPr>
              <w:spacing w:after="40" w:line="240" w:lineRule="auto"/>
              <w:jc w:val="left"/>
            </w:pPr>
            <w:r/>
            <w:r>
              <w:rPr>
                <w:rFonts w:ascii="Times New Roman" w:hAnsi="Times New Roman"/>
                <w:sz w:val="19"/>
              </w:rPr>
              <w:t>Five random seeds, same data</w:t>
            </w:r>
          </w:p>
        </w:tc>
        <w:tc>
          <w:tcPr>
            <w:tcW w:type="dxa" w:w="1936"/>
          </w:tcPr>
          <w:p>
            <w:pPr>
              <w:spacing w:after="40" w:line="240" w:lineRule="auto"/>
              <w:jc w:val="center"/>
            </w:pPr>
            <w:r/>
            <w:r>
              <w:rPr>
                <w:rFonts w:ascii="Times New Roman" w:hAnsi="Times New Roman"/>
                <w:sz w:val="19"/>
              </w:rPr>
              <w:t>0.85</w:t>
            </w:r>
          </w:p>
        </w:tc>
        <w:tc>
          <w:tcPr>
            <w:tcW w:type="dxa" w:w="1549"/>
          </w:tcPr>
          <w:p>
            <w:pPr>
              <w:spacing w:after="40" w:line="240" w:lineRule="auto"/>
              <w:jc w:val="center"/>
            </w:pPr>
            <w:r/>
            <w:r>
              <w:rPr>
                <w:rFonts w:ascii="Times New Roman" w:hAnsi="Times New Roman"/>
                <w:sz w:val="19"/>
              </w:rPr>
              <w:t>92%</w:t>
            </w:r>
          </w:p>
        </w:tc>
        <w:tc>
          <w:tcPr>
            <w:tcW w:type="dxa" w:w="2130"/>
          </w:tcPr>
          <w:p>
            <w:pPr>
              <w:spacing w:after="40" w:line="240" w:lineRule="auto"/>
              <w:jc w:val="center"/>
            </w:pPr>
            <w:r/>
            <w:r>
              <w:rPr>
                <w:rFonts w:ascii="Times New Roman" w:hAnsi="Times New Roman"/>
                <w:sz w:val="19"/>
              </w:rPr>
              <w:t>0.86</w:t>
            </w:r>
          </w:p>
        </w:tc>
      </w:tr>
      <w:tr>
        <w:trPr>
          <w:cantSplit/>
        </w:trPr>
        <w:tc>
          <w:tcPr>
            <w:tcW w:type="dxa" w:w="3292"/>
          </w:tcPr>
          <w:p>
            <w:pPr>
              <w:spacing w:after="40" w:line="240" w:lineRule="auto"/>
              <w:jc w:val="left"/>
            </w:pPr>
            <w:r/>
            <w:r>
              <w:rPr>
                <w:rFonts w:ascii="Times New Roman" w:hAnsi="Times New Roman"/>
                <w:sz w:val="19"/>
              </w:rPr>
              <w:t>2019 against 2020 model</w:t>
            </w:r>
          </w:p>
        </w:tc>
        <w:tc>
          <w:tcPr>
            <w:tcW w:type="dxa" w:w="1936"/>
          </w:tcPr>
          <w:p>
            <w:pPr>
              <w:spacing w:after="40" w:line="240" w:lineRule="auto"/>
              <w:jc w:val="center"/>
            </w:pPr>
            <w:r/>
            <w:r>
              <w:rPr>
                <w:rFonts w:ascii="Times New Roman" w:hAnsi="Times New Roman"/>
                <w:sz w:val="19"/>
              </w:rPr>
              <w:t>0.75</w:t>
            </w:r>
          </w:p>
        </w:tc>
        <w:tc>
          <w:tcPr>
            <w:tcW w:type="dxa" w:w="1549"/>
          </w:tcPr>
          <w:p>
            <w:pPr>
              <w:spacing w:after="40" w:line="240" w:lineRule="auto"/>
              <w:jc w:val="center"/>
            </w:pPr>
            <w:r/>
            <w:r>
              <w:rPr>
                <w:rFonts w:ascii="Times New Roman" w:hAnsi="Times New Roman"/>
                <w:sz w:val="19"/>
              </w:rPr>
              <w:t>80%</w:t>
            </w:r>
          </w:p>
        </w:tc>
        <w:tc>
          <w:tcPr>
            <w:tcW w:type="dxa" w:w="2130"/>
          </w:tcPr>
          <w:p>
            <w:pPr>
              <w:spacing w:after="40" w:line="240" w:lineRule="auto"/>
              <w:jc w:val="center"/>
            </w:pPr>
            <w:r/>
            <w:r>
              <w:rPr>
                <w:rFonts w:ascii="Times New Roman" w:hAnsi="Times New Roman"/>
                <w:sz w:val="19"/>
              </w:rPr>
              <w:t>0.73</w:t>
            </w:r>
          </w:p>
        </w:tc>
      </w:tr>
      <w:tr>
        <w:trPr>
          <w:cantSplit/>
        </w:trPr>
        <w:tc>
          <w:tcPr>
            <w:tcW w:type="dxa" w:w="3292"/>
          </w:tcPr>
          <w:p>
            <w:pPr>
              <w:spacing w:after="40" w:line="240" w:lineRule="auto"/>
              <w:jc w:val="left"/>
            </w:pPr>
            <w:r/>
            <w:r>
              <w:rPr>
                <w:rFonts w:ascii="Times New Roman" w:hAnsi="Times New Roman"/>
                <w:sz w:val="19"/>
              </w:rPr>
              <w:t>2020 against 2021 model</w:t>
            </w:r>
          </w:p>
        </w:tc>
        <w:tc>
          <w:tcPr>
            <w:tcW w:type="dxa" w:w="1936"/>
          </w:tcPr>
          <w:p>
            <w:pPr>
              <w:spacing w:after="40" w:line="240" w:lineRule="auto"/>
              <w:jc w:val="center"/>
            </w:pPr>
            <w:r/>
            <w:r>
              <w:rPr>
                <w:rFonts w:ascii="Times New Roman" w:hAnsi="Times New Roman"/>
                <w:sz w:val="19"/>
              </w:rPr>
              <w:t>0.44</w:t>
            </w:r>
          </w:p>
        </w:tc>
        <w:tc>
          <w:tcPr>
            <w:tcW w:type="dxa" w:w="1549"/>
          </w:tcPr>
          <w:p>
            <w:pPr>
              <w:spacing w:after="40" w:line="240" w:lineRule="auto"/>
              <w:jc w:val="center"/>
            </w:pPr>
            <w:r/>
            <w:r>
              <w:rPr>
                <w:rFonts w:ascii="Times New Roman" w:hAnsi="Times New Roman"/>
                <w:sz w:val="19"/>
              </w:rPr>
              <w:t>100%</w:t>
            </w:r>
          </w:p>
        </w:tc>
        <w:tc>
          <w:tcPr>
            <w:tcW w:type="dxa" w:w="2130"/>
          </w:tcPr>
          <w:p>
            <w:pPr>
              <w:spacing w:after="40" w:line="240" w:lineRule="auto"/>
              <w:jc w:val="center"/>
            </w:pPr>
            <w:r/>
            <w:r>
              <w:rPr>
                <w:rFonts w:ascii="Times New Roman" w:hAnsi="Times New Roman"/>
                <w:sz w:val="19"/>
              </w:rPr>
              <w:t>0.57</w:t>
            </w:r>
          </w:p>
        </w:tc>
      </w:tr>
      <w:tr>
        <w:trPr>
          <w:cantSplit/>
        </w:trPr>
        <w:tc>
          <w:tcPr>
            <w:tcW w:type="dxa" w:w="3292"/>
          </w:tcPr>
          <w:p>
            <w:pPr>
              <w:spacing w:after="40" w:line="240" w:lineRule="auto"/>
              <w:jc w:val="left"/>
            </w:pPr>
            <w:r/>
            <w:r>
              <w:rPr>
                <w:rFonts w:ascii="Times New Roman" w:hAnsi="Times New Roman"/>
                <w:sz w:val="19"/>
              </w:rPr>
              <w:t>2021 against 2022 model</w:t>
            </w:r>
          </w:p>
        </w:tc>
        <w:tc>
          <w:tcPr>
            <w:tcW w:type="dxa" w:w="1936"/>
          </w:tcPr>
          <w:p>
            <w:pPr>
              <w:spacing w:after="40" w:line="240" w:lineRule="auto"/>
              <w:jc w:val="center"/>
            </w:pPr>
            <w:r/>
            <w:r>
              <w:rPr>
                <w:rFonts w:ascii="Times New Roman" w:hAnsi="Times New Roman"/>
                <w:sz w:val="19"/>
              </w:rPr>
              <w:t>0.77</w:t>
            </w:r>
          </w:p>
        </w:tc>
        <w:tc>
          <w:tcPr>
            <w:tcW w:type="dxa" w:w="1549"/>
          </w:tcPr>
          <w:p>
            <w:pPr>
              <w:spacing w:after="40" w:line="240" w:lineRule="auto"/>
              <w:jc w:val="center"/>
            </w:pPr>
            <w:r/>
            <w:r>
              <w:rPr>
                <w:rFonts w:ascii="Times New Roman" w:hAnsi="Times New Roman"/>
                <w:sz w:val="19"/>
              </w:rPr>
              <w:t>80%</w:t>
            </w:r>
          </w:p>
        </w:tc>
        <w:tc>
          <w:tcPr>
            <w:tcW w:type="dxa" w:w="2130"/>
          </w:tcPr>
          <w:p>
            <w:pPr>
              <w:spacing w:after="40" w:line="240" w:lineRule="auto"/>
              <w:jc w:val="center"/>
            </w:pPr>
            <w:r/>
            <w:r>
              <w:rPr>
                <w:rFonts w:ascii="Times New Roman" w:hAnsi="Times New Roman"/>
                <w:sz w:val="19"/>
              </w:rPr>
              <w:t>0.77</w:t>
            </w:r>
          </w:p>
        </w:tc>
      </w:tr>
    </w:tbl>
    <w:p>
      <w:pPr>
        <w:keepNext w:val="0"/>
        <w:spacing w:line="276" w:lineRule="auto" w:after="80"/>
        <w:jc w:val="both"/>
      </w:pPr>
    </w:p>
    <w:p>
      <w:pPr>
        <w:keepNext w:val="0"/>
        <w:spacing w:line="276" w:lineRule="auto" w:after="120"/>
        <w:jc w:val="both"/>
      </w:pPr>
      <w:r>
        <w:rPr>
          <w:rFonts w:ascii="Times New Roman" w:hAnsi="Times New Roman"/>
          <w:b w:val="0"/>
          <w:i w:val="0"/>
          <w:sz w:val="24"/>
        </w:rPr>
        <w:t>The explanations are stable to the random seed, with a forecast correlation between seeds of 0.99, but noticeably less stable to retraining. Once 2020 enters the training data, agreement with the previous year's model drops to tau 0.44. The top five features stay the same; the other 27 reorder. An explanation produced before the pandemic would not have survived it.</w:t>
      </w:r>
    </w:p>
    <w:p>
      <w:pPr>
        <w:keepNext/>
        <w:spacing w:after="80"/>
        <w:jc w:val="center"/>
      </w:pPr>
      <w:r>
        <w:drawing>
          <wp:inline xmlns:a="http://schemas.openxmlformats.org/drawingml/2006/main" xmlns:pic="http://schemas.openxmlformats.org/drawingml/2006/picture">
            <wp:extent cx="5040000" cy="1992014"/>
            <wp:docPr id="17" name="Picture 17"/>
            <wp:cNvGraphicFramePr>
              <a:graphicFrameLocks noChangeAspect="1"/>
            </wp:cNvGraphicFramePr>
            <a:graphic>
              <a:graphicData uri="http://schemas.openxmlformats.org/drawingml/2006/picture">
                <pic:pic>
                  <pic:nvPicPr>
                    <pic:cNvPr id="0" name="stability_sanity.png"/>
                    <pic:cNvPicPr/>
                  </pic:nvPicPr>
                  <pic:blipFill>
                    <a:blip r:embed="rId27"/>
                    <a:stretch>
                      <a:fillRect/>
                    </a:stretch>
                  </pic:blipFill>
                  <pic:spPr>
                    <a:xfrm>
                      <a:off x="0" y="0"/>
                      <a:ext cx="5040000" cy="1992014"/>
                    </a:xfrm>
                    <a:prstGeom prst="rect"/>
                  </pic:spPr>
                </pic:pic>
              </a:graphicData>
            </a:graphic>
          </wp:inline>
        </w:drawing>
      </w:r>
    </w:p>
    <w:p>
      <w:pPr>
        <w:keepNext w:val="0"/>
        <w:spacing w:line="240" w:lineRule="auto" w:after="200"/>
        <w:jc w:val="center"/>
      </w:pPr>
      <w:r>
        <w:rPr>
          <w:rFonts w:ascii="Times New Roman" w:hAnsi="Times New Roman"/>
          <w:b w:val="0"/>
          <w:i w:val="0"/>
          <w:sz w:val="20"/>
        </w:rPr>
        <w:t>Figure 7.10  Stability across seeds and retraining, and comparison with no-signal models</w:t>
      </w:r>
    </w:p>
    <w:p>
      <w:pPr>
        <w:keepNext/>
        <w:spacing w:line="240" w:lineRule="auto" w:after="160"/>
        <w:jc w:val="left"/>
      </w:pPr>
      <w:r>
        <w:rPr>
          <w:rFonts w:ascii="Times New Roman" w:hAnsi="Times New Roman"/>
          <w:b/>
          <w:i w:val="0"/>
          <w:sz w:val="26"/>
        </w:rPr>
        <w:t>7.4 RQ4: Regime and Sector Drift</w:t>
      </w:r>
    </w:p>
    <w:p>
      <w:pPr>
        <w:keepNext w:val="0"/>
        <w:spacing w:line="276" w:lineRule="auto" w:after="120"/>
        <w:jc w:val="both"/>
      </w:pPr>
      <w:r>
        <w:rPr>
          <w:rFonts w:ascii="Times New Roman" w:hAnsi="Times New Roman"/>
          <w:b w:val="0"/>
          <w:i w:val="0"/>
          <w:sz w:val="24"/>
        </w:rPr>
        <w:t>Explanations drift significantly across market regimes: the mean pairwise total variation distance between family-share vectors is 0.054 against a permutation null of 0.017, giving p = 0.003.</w:t>
      </w:r>
    </w:p>
    <w:p>
      <w:pPr>
        <w:keepNext/>
        <w:spacing w:line="240" w:lineRule="auto" w:after="200"/>
        <w:jc w:val="center"/>
      </w:pPr>
      <w:r>
        <w:rPr>
          <w:rFonts w:ascii="Times New Roman" w:hAnsi="Times New Roman"/>
          <w:b w:val="0"/>
          <w:i w:val="0"/>
          <w:sz w:val="20"/>
        </w:rPr>
        <w:t>Table 7.9  Share of SHAP attribution by feature family across market regimes</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2493"/>
        <w:gridCol w:w="1781"/>
        <w:gridCol w:w="1603"/>
        <w:gridCol w:w="1603"/>
        <w:gridCol w:w="1425"/>
      </w:tblGrid>
      <w:tr>
        <w:trPr>
          <w:cantSplit/>
          <w:tblHeader/>
        </w:trPr>
        <w:tc>
          <w:tcPr>
            <w:tcW w:type="dxa" w:w="2494"/>
            <w:shd w:val="clear" w:color="auto" w:fill="D9E2F3"/>
          </w:tcPr>
          <w:p>
            <w:pPr>
              <w:spacing w:after="40" w:line="240" w:lineRule="auto"/>
              <w:jc w:val="center"/>
            </w:pPr>
            <w:r/>
            <w:r>
              <w:rPr>
                <w:rFonts w:ascii="Times New Roman" w:hAnsi="Times New Roman"/>
                <w:b/>
                <w:sz w:val="19"/>
              </w:rPr>
              <w:t>Family</w:t>
            </w:r>
          </w:p>
        </w:tc>
        <w:tc>
          <w:tcPr>
            <w:tcW w:type="dxa" w:w="1781"/>
            <w:shd w:val="clear" w:color="auto" w:fill="D9E2F3"/>
          </w:tcPr>
          <w:p>
            <w:pPr>
              <w:spacing w:after="40" w:line="240" w:lineRule="auto"/>
              <w:jc w:val="center"/>
            </w:pPr>
            <w:r/>
            <w:r>
              <w:rPr>
                <w:rFonts w:ascii="Times New Roman" w:hAnsi="Times New Roman"/>
                <w:b/>
                <w:sz w:val="19"/>
              </w:rPr>
              <w:t>Pre-COVID bull</w:t>
            </w:r>
          </w:p>
        </w:tc>
        <w:tc>
          <w:tcPr>
            <w:tcW w:type="dxa" w:w="1603"/>
            <w:shd w:val="clear" w:color="auto" w:fill="D9E2F3"/>
          </w:tcPr>
          <w:p>
            <w:pPr>
              <w:spacing w:after="40" w:line="240" w:lineRule="auto"/>
              <w:jc w:val="center"/>
            </w:pPr>
            <w:r/>
            <w:r>
              <w:rPr>
                <w:rFonts w:ascii="Times New Roman" w:hAnsi="Times New Roman"/>
                <w:b/>
                <w:sz w:val="19"/>
              </w:rPr>
              <w:t>COVID crash</w:t>
            </w:r>
          </w:p>
        </w:tc>
        <w:tc>
          <w:tcPr>
            <w:tcW w:type="dxa" w:w="1603"/>
            <w:shd w:val="clear" w:color="auto" w:fill="D9E2F3"/>
          </w:tcPr>
          <w:p>
            <w:pPr>
              <w:spacing w:after="40" w:line="240" w:lineRule="auto"/>
              <w:jc w:val="center"/>
            </w:pPr>
            <w:r/>
            <w:r>
              <w:rPr>
                <w:rFonts w:ascii="Times New Roman" w:hAnsi="Times New Roman"/>
                <w:b/>
                <w:sz w:val="19"/>
              </w:rPr>
              <w:t>Recovery</w:t>
            </w:r>
          </w:p>
        </w:tc>
        <w:tc>
          <w:tcPr>
            <w:tcW w:type="dxa" w:w="1425"/>
            <w:shd w:val="clear" w:color="auto" w:fill="D9E2F3"/>
          </w:tcPr>
          <w:p>
            <w:pPr>
              <w:spacing w:after="40" w:line="240" w:lineRule="auto"/>
              <w:jc w:val="center"/>
            </w:pPr>
            <w:r/>
            <w:r>
              <w:rPr>
                <w:rFonts w:ascii="Times New Roman" w:hAnsi="Times New Roman"/>
                <w:b/>
                <w:sz w:val="19"/>
              </w:rPr>
              <w:t>2022 bear</w:t>
            </w:r>
          </w:p>
        </w:tc>
      </w:tr>
      <w:tr>
        <w:trPr>
          <w:cantSplit/>
        </w:trPr>
        <w:tc>
          <w:tcPr>
            <w:tcW w:type="dxa" w:w="2494"/>
          </w:tcPr>
          <w:p>
            <w:pPr>
              <w:spacing w:after="40" w:line="240" w:lineRule="auto"/>
              <w:jc w:val="left"/>
            </w:pPr>
            <w:r/>
            <w:r>
              <w:rPr>
                <w:rFonts w:ascii="Times New Roman" w:hAnsi="Times New Roman"/>
                <w:sz w:val="19"/>
              </w:rPr>
              <w:t>Market and sector</w:t>
            </w:r>
          </w:p>
        </w:tc>
        <w:tc>
          <w:tcPr>
            <w:tcW w:type="dxa" w:w="1781"/>
          </w:tcPr>
          <w:p>
            <w:pPr>
              <w:spacing w:after="40" w:line="240" w:lineRule="auto"/>
              <w:jc w:val="center"/>
            </w:pPr>
            <w:r/>
            <w:r>
              <w:rPr>
                <w:rFonts w:ascii="Times New Roman" w:hAnsi="Times New Roman"/>
                <w:sz w:val="19"/>
              </w:rPr>
              <w:t>71.2%</w:t>
            </w:r>
          </w:p>
        </w:tc>
        <w:tc>
          <w:tcPr>
            <w:tcW w:type="dxa" w:w="1603"/>
          </w:tcPr>
          <w:p>
            <w:pPr>
              <w:spacing w:after="40" w:line="240" w:lineRule="auto"/>
              <w:jc w:val="center"/>
            </w:pPr>
            <w:r/>
            <w:r>
              <w:rPr>
                <w:rFonts w:ascii="Times New Roman" w:hAnsi="Times New Roman"/>
                <w:sz w:val="19"/>
              </w:rPr>
              <w:t>74.7%</w:t>
            </w:r>
          </w:p>
        </w:tc>
        <w:tc>
          <w:tcPr>
            <w:tcW w:type="dxa" w:w="1603"/>
          </w:tcPr>
          <w:p>
            <w:pPr>
              <w:spacing w:after="40" w:line="240" w:lineRule="auto"/>
              <w:jc w:val="center"/>
            </w:pPr>
            <w:r/>
            <w:r>
              <w:rPr>
                <w:rFonts w:ascii="Times New Roman" w:hAnsi="Times New Roman"/>
                <w:sz w:val="19"/>
              </w:rPr>
              <w:t>71.7%</w:t>
            </w:r>
          </w:p>
        </w:tc>
        <w:tc>
          <w:tcPr>
            <w:tcW w:type="dxa" w:w="1425"/>
          </w:tcPr>
          <w:p>
            <w:pPr>
              <w:spacing w:after="40" w:line="240" w:lineRule="auto"/>
              <w:jc w:val="center"/>
            </w:pPr>
            <w:r/>
            <w:r>
              <w:rPr>
                <w:rFonts w:ascii="Times New Roman" w:hAnsi="Times New Roman"/>
                <w:sz w:val="19"/>
              </w:rPr>
              <w:t>74.7%</w:t>
            </w:r>
          </w:p>
        </w:tc>
      </w:tr>
      <w:tr>
        <w:trPr>
          <w:cantSplit/>
        </w:trPr>
        <w:tc>
          <w:tcPr>
            <w:tcW w:type="dxa" w:w="2494"/>
          </w:tcPr>
          <w:p>
            <w:pPr>
              <w:spacing w:after="40" w:line="240" w:lineRule="auto"/>
              <w:jc w:val="left"/>
            </w:pPr>
            <w:r/>
            <w:r>
              <w:rPr>
                <w:rFonts w:ascii="Times New Roman" w:hAnsi="Times New Roman"/>
                <w:sz w:val="19"/>
              </w:rPr>
              <w:t>Volatility</w:t>
            </w:r>
          </w:p>
        </w:tc>
        <w:tc>
          <w:tcPr>
            <w:tcW w:type="dxa" w:w="1781"/>
          </w:tcPr>
          <w:p>
            <w:pPr>
              <w:spacing w:after="40" w:line="240" w:lineRule="auto"/>
              <w:jc w:val="center"/>
            </w:pPr>
            <w:r/>
            <w:r>
              <w:rPr>
                <w:rFonts w:ascii="Times New Roman" w:hAnsi="Times New Roman"/>
                <w:sz w:val="19"/>
              </w:rPr>
              <w:t>5.1%</w:t>
            </w:r>
          </w:p>
        </w:tc>
        <w:tc>
          <w:tcPr>
            <w:tcW w:type="dxa" w:w="1603"/>
          </w:tcPr>
          <w:p>
            <w:pPr>
              <w:spacing w:after="40" w:line="240" w:lineRule="auto"/>
              <w:jc w:val="center"/>
            </w:pPr>
            <w:r/>
            <w:r>
              <w:rPr>
                <w:rFonts w:ascii="Times New Roman" w:hAnsi="Times New Roman"/>
                <w:sz w:val="19"/>
              </w:rPr>
              <w:t>5.9%</w:t>
            </w:r>
          </w:p>
        </w:tc>
        <w:tc>
          <w:tcPr>
            <w:tcW w:type="dxa" w:w="1603"/>
          </w:tcPr>
          <w:p>
            <w:pPr>
              <w:spacing w:after="40" w:line="240" w:lineRule="auto"/>
              <w:jc w:val="center"/>
            </w:pPr>
            <w:r/>
            <w:r>
              <w:rPr>
                <w:rFonts w:ascii="Times New Roman" w:hAnsi="Times New Roman"/>
                <w:sz w:val="19"/>
              </w:rPr>
              <w:t>8.3%</w:t>
            </w:r>
          </w:p>
        </w:tc>
        <w:tc>
          <w:tcPr>
            <w:tcW w:type="dxa" w:w="1425"/>
          </w:tcPr>
          <w:p>
            <w:pPr>
              <w:spacing w:after="40" w:line="240" w:lineRule="auto"/>
              <w:jc w:val="center"/>
            </w:pPr>
            <w:r/>
            <w:r>
              <w:rPr>
                <w:rFonts w:ascii="Times New Roman" w:hAnsi="Times New Roman"/>
                <w:sz w:val="19"/>
              </w:rPr>
              <w:t>9.2%</w:t>
            </w:r>
          </w:p>
        </w:tc>
      </w:tr>
      <w:tr>
        <w:trPr>
          <w:cantSplit/>
        </w:trPr>
        <w:tc>
          <w:tcPr>
            <w:tcW w:type="dxa" w:w="2494"/>
          </w:tcPr>
          <w:p>
            <w:pPr>
              <w:spacing w:after="40" w:line="240" w:lineRule="auto"/>
              <w:jc w:val="left"/>
            </w:pPr>
            <w:r/>
            <w:r>
              <w:rPr>
                <w:rFonts w:ascii="Times New Roman" w:hAnsi="Times New Roman"/>
                <w:sz w:val="19"/>
              </w:rPr>
              <w:t>Past returns</w:t>
            </w:r>
          </w:p>
        </w:tc>
        <w:tc>
          <w:tcPr>
            <w:tcW w:type="dxa" w:w="1781"/>
          </w:tcPr>
          <w:p>
            <w:pPr>
              <w:spacing w:after="40" w:line="240" w:lineRule="auto"/>
              <w:jc w:val="center"/>
            </w:pPr>
            <w:r/>
            <w:r>
              <w:rPr>
                <w:rFonts w:ascii="Times New Roman" w:hAnsi="Times New Roman"/>
                <w:sz w:val="19"/>
              </w:rPr>
              <w:t>8.7%</w:t>
            </w:r>
          </w:p>
        </w:tc>
        <w:tc>
          <w:tcPr>
            <w:tcW w:type="dxa" w:w="1603"/>
          </w:tcPr>
          <w:p>
            <w:pPr>
              <w:spacing w:after="40" w:line="240" w:lineRule="auto"/>
              <w:jc w:val="center"/>
            </w:pPr>
            <w:r/>
            <w:r>
              <w:rPr>
                <w:rFonts w:ascii="Times New Roman" w:hAnsi="Times New Roman"/>
                <w:sz w:val="19"/>
              </w:rPr>
              <w:t>7.2%</w:t>
            </w:r>
          </w:p>
        </w:tc>
        <w:tc>
          <w:tcPr>
            <w:tcW w:type="dxa" w:w="1603"/>
          </w:tcPr>
          <w:p>
            <w:pPr>
              <w:spacing w:after="40" w:line="240" w:lineRule="auto"/>
              <w:jc w:val="center"/>
            </w:pPr>
            <w:r/>
            <w:r>
              <w:rPr>
                <w:rFonts w:ascii="Times New Roman" w:hAnsi="Times New Roman"/>
                <w:sz w:val="19"/>
              </w:rPr>
              <w:t>6.5%</w:t>
            </w:r>
          </w:p>
        </w:tc>
        <w:tc>
          <w:tcPr>
            <w:tcW w:type="dxa" w:w="1425"/>
          </w:tcPr>
          <w:p>
            <w:pPr>
              <w:spacing w:after="40" w:line="240" w:lineRule="auto"/>
              <w:jc w:val="center"/>
            </w:pPr>
            <w:r/>
            <w:r>
              <w:rPr>
                <w:rFonts w:ascii="Times New Roman" w:hAnsi="Times New Roman"/>
                <w:sz w:val="19"/>
              </w:rPr>
              <w:t>6.0%</w:t>
            </w:r>
          </w:p>
        </w:tc>
      </w:tr>
      <w:tr>
        <w:trPr>
          <w:cantSplit/>
        </w:trPr>
        <w:tc>
          <w:tcPr>
            <w:tcW w:type="dxa" w:w="2494"/>
          </w:tcPr>
          <w:p>
            <w:pPr>
              <w:spacing w:after="40" w:line="240" w:lineRule="auto"/>
              <w:jc w:val="left"/>
            </w:pPr>
            <w:r/>
            <w:r>
              <w:rPr>
                <w:rFonts w:ascii="Times New Roman" w:hAnsi="Times New Roman"/>
                <w:sz w:val="19"/>
              </w:rPr>
              <w:t>Trend</w:t>
            </w:r>
          </w:p>
        </w:tc>
        <w:tc>
          <w:tcPr>
            <w:tcW w:type="dxa" w:w="1781"/>
          </w:tcPr>
          <w:p>
            <w:pPr>
              <w:spacing w:after="40" w:line="240" w:lineRule="auto"/>
              <w:jc w:val="center"/>
            </w:pPr>
            <w:r/>
            <w:r>
              <w:rPr>
                <w:rFonts w:ascii="Times New Roman" w:hAnsi="Times New Roman"/>
                <w:sz w:val="19"/>
              </w:rPr>
              <w:t>4.6%</w:t>
            </w:r>
          </w:p>
        </w:tc>
        <w:tc>
          <w:tcPr>
            <w:tcW w:type="dxa" w:w="1603"/>
          </w:tcPr>
          <w:p>
            <w:pPr>
              <w:spacing w:after="40" w:line="240" w:lineRule="auto"/>
              <w:jc w:val="center"/>
            </w:pPr>
            <w:r/>
            <w:r>
              <w:rPr>
                <w:rFonts w:ascii="Times New Roman" w:hAnsi="Times New Roman"/>
                <w:sz w:val="19"/>
              </w:rPr>
              <w:t>5.9%</w:t>
            </w:r>
          </w:p>
        </w:tc>
        <w:tc>
          <w:tcPr>
            <w:tcW w:type="dxa" w:w="1603"/>
          </w:tcPr>
          <w:p>
            <w:pPr>
              <w:spacing w:after="40" w:line="240" w:lineRule="auto"/>
              <w:jc w:val="center"/>
            </w:pPr>
            <w:r/>
            <w:r>
              <w:rPr>
                <w:rFonts w:ascii="Times New Roman" w:hAnsi="Times New Roman"/>
                <w:sz w:val="19"/>
              </w:rPr>
              <w:t>3.7%</w:t>
            </w:r>
          </w:p>
        </w:tc>
        <w:tc>
          <w:tcPr>
            <w:tcW w:type="dxa" w:w="1425"/>
          </w:tcPr>
          <w:p>
            <w:pPr>
              <w:spacing w:after="40" w:line="240" w:lineRule="auto"/>
              <w:jc w:val="center"/>
            </w:pPr>
            <w:r/>
            <w:r>
              <w:rPr>
                <w:rFonts w:ascii="Times New Roman" w:hAnsi="Times New Roman"/>
                <w:sz w:val="19"/>
              </w:rPr>
              <w:t>2.3%</w:t>
            </w:r>
          </w:p>
        </w:tc>
      </w:tr>
      <w:tr>
        <w:trPr>
          <w:cantSplit/>
        </w:trPr>
        <w:tc>
          <w:tcPr>
            <w:tcW w:type="dxa" w:w="2494"/>
          </w:tcPr>
          <w:p>
            <w:pPr>
              <w:spacing w:after="40" w:line="240" w:lineRule="auto"/>
              <w:jc w:val="left"/>
            </w:pPr>
            <w:r/>
            <w:r>
              <w:rPr>
                <w:rFonts w:ascii="Times New Roman" w:hAnsi="Times New Roman"/>
                <w:sz w:val="19"/>
              </w:rPr>
              <w:t>Candle</w:t>
            </w:r>
          </w:p>
        </w:tc>
        <w:tc>
          <w:tcPr>
            <w:tcW w:type="dxa" w:w="1781"/>
          </w:tcPr>
          <w:p>
            <w:pPr>
              <w:spacing w:after="40" w:line="240" w:lineRule="auto"/>
              <w:jc w:val="center"/>
            </w:pPr>
            <w:r/>
            <w:r>
              <w:rPr>
                <w:rFonts w:ascii="Times New Roman" w:hAnsi="Times New Roman"/>
                <w:sz w:val="19"/>
              </w:rPr>
              <w:t>6.3%</w:t>
            </w:r>
          </w:p>
        </w:tc>
        <w:tc>
          <w:tcPr>
            <w:tcW w:type="dxa" w:w="1603"/>
          </w:tcPr>
          <w:p>
            <w:pPr>
              <w:spacing w:after="40" w:line="240" w:lineRule="auto"/>
              <w:jc w:val="center"/>
            </w:pPr>
            <w:r/>
            <w:r>
              <w:rPr>
                <w:rFonts w:ascii="Times New Roman" w:hAnsi="Times New Roman"/>
                <w:sz w:val="19"/>
              </w:rPr>
              <w:t>4.1%</w:t>
            </w:r>
          </w:p>
        </w:tc>
        <w:tc>
          <w:tcPr>
            <w:tcW w:type="dxa" w:w="1603"/>
          </w:tcPr>
          <w:p>
            <w:pPr>
              <w:spacing w:after="40" w:line="240" w:lineRule="auto"/>
              <w:jc w:val="center"/>
            </w:pPr>
            <w:r/>
            <w:r>
              <w:rPr>
                <w:rFonts w:ascii="Times New Roman" w:hAnsi="Times New Roman"/>
                <w:sz w:val="19"/>
              </w:rPr>
              <w:t>6.2%</w:t>
            </w:r>
          </w:p>
        </w:tc>
        <w:tc>
          <w:tcPr>
            <w:tcW w:type="dxa" w:w="1425"/>
          </w:tcPr>
          <w:p>
            <w:pPr>
              <w:spacing w:after="40" w:line="240" w:lineRule="auto"/>
              <w:jc w:val="center"/>
            </w:pPr>
            <w:r/>
            <w:r>
              <w:rPr>
                <w:rFonts w:ascii="Times New Roman" w:hAnsi="Times New Roman"/>
                <w:sz w:val="19"/>
              </w:rPr>
              <w:t>4.9%</w:t>
            </w:r>
          </w:p>
        </w:tc>
      </w:tr>
      <w:tr>
        <w:trPr>
          <w:cantSplit/>
        </w:trPr>
        <w:tc>
          <w:tcPr>
            <w:tcW w:type="dxa" w:w="2494"/>
          </w:tcPr>
          <w:p>
            <w:pPr>
              <w:spacing w:after="40" w:line="240" w:lineRule="auto"/>
              <w:jc w:val="left"/>
            </w:pPr>
            <w:r/>
            <w:r>
              <w:rPr>
                <w:rFonts w:ascii="Times New Roman" w:hAnsi="Times New Roman"/>
                <w:sz w:val="19"/>
              </w:rPr>
              <w:t>Oscillators</w:t>
            </w:r>
          </w:p>
        </w:tc>
        <w:tc>
          <w:tcPr>
            <w:tcW w:type="dxa" w:w="1781"/>
          </w:tcPr>
          <w:p>
            <w:pPr>
              <w:spacing w:after="40" w:line="240" w:lineRule="auto"/>
              <w:jc w:val="center"/>
            </w:pPr>
            <w:r/>
            <w:r>
              <w:rPr>
                <w:rFonts w:ascii="Times New Roman" w:hAnsi="Times New Roman"/>
                <w:sz w:val="19"/>
              </w:rPr>
              <w:t>2.4%</w:t>
            </w:r>
          </w:p>
        </w:tc>
        <w:tc>
          <w:tcPr>
            <w:tcW w:type="dxa" w:w="1603"/>
          </w:tcPr>
          <w:p>
            <w:pPr>
              <w:spacing w:after="40" w:line="240" w:lineRule="auto"/>
              <w:jc w:val="center"/>
            </w:pPr>
            <w:r/>
            <w:r>
              <w:rPr>
                <w:rFonts w:ascii="Times New Roman" w:hAnsi="Times New Roman"/>
                <w:sz w:val="19"/>
              </w:rPr>
              <w:t>1.5%</w:t>
            </w:r>
          </w:p>
        </w:tc>
        <w:tc>
          <w:tcPr>
            <w:tcW w:type="dxa" w:w="1603"/>
          </w:tcPr>
          <w:p>
            <w:pPr>
              <w:spacing w:after="40" w:line="240" w:lineRule="auto"/>
              <w:jc w:val="center"/>
            </w:pPr>
            <w:r/>
            <w:r>
              <w:rPr>
                <w:rFonts w:ascii="Times New Roman" w:hAnsi="Times New Roman"/>
                <w:sz w:val="19"/>
              </w:rPr>
              <w:t>2.1%</w:t>
            </w:r>
          </w:p>
        </w:tc>
        <w:tc>
          <w:tcPr>
            <w:tcW w:type="dxa" w:w="1425"/>
          </w:tcPr>
          <w:p>
            <w:pPr>
              <w:spacing w:after="40" w:line="240" w:lineRule="auto"/>
              <w:jc w:val="center"/>
            </w:pPr>
            <w:r/>
            <w:r>
              <w:rPr>
                <w:rFonts w:ascii="Times New Roman" w:hAnsi="Times New Roman"/>
                <w:sz w:val="19"/>
              </w:rPr>
              <w:t>1.2%</w:t>
            </w:r>
          </w:p>
        </w:tc>
      </w:tr>
      <w:tr>
        <w:trPr>
          <w:cantSplit/>
        </w:trPr>
        <w:tc>
          <w:tcPr>
            <w:tcW w:type="dxa" w:w="2494"/>
          </w:tcPr>
          <w:p>
            <w:pPr>
              <w:spacing w:after="40" w:line="240" w:lineRule="auto"/>
              <w:jc w:val="left"/>
            </w:pPr>
            <w:r/>
            <w:r>
              <w:rPr>
                <w:rFonts w:ascii="Times New Roman" w:hAnsi="Times New Roman"/>
                <w:sz w:val="19"/>
              </w:rPr>
              <w:t>Volume</w:t>
            </w:r>
          </w:p>
        </w:tc>
        <w:tc>
          <w:tcPr>
            <w:tcW w:type="dxa" w:w="1781"/>
          </w:tcPr>
          <w:p>
            <w:pPr>
              <w:spacing w:after="40" w:line="240" w:lineRule="auto"/>
              <w:jc w:val="center"/>
            </w:pPr>
            <w:r/>
            <w:r>
              <w:rPr>
                <w:rFonts w:ascii="Times New Roman" w:hAnsi="Times New Roman"/>
                <w:sz w:val="19"/>
              </w:rPr>
              <w:t>1.7%</w:t>
            </w:r>
          </w:p>
        </w:tc>
        <w:tc>
          <w:tcPr>
            <w:tcW w:type="dxa" w:w="1603"/>
          </w:tcPr>
          <w:p>
            <w:pPr>
              <w:spacing w:after="40" w:line="240" w:lineRule="auto"/>
              <w:jc w:val="center"/>
            </w:pPr>
            <w:r/>
            <w:r>
              <w:rPr>
                <w:rFonts w:ascii="Times New Roman" w:hAnsi="Times New Roman"/>
                <w:sz w:val="19"/>
              </w:rPr>
              <w:t>0.7%</w:t>
            </w:r>
          </w:p>
        </w:tc>
        <w:tc>
          <w:tcPr>
            <w:tcW w:type="dxa" w:w="1603"/>
          </w:tcPr>
          <w:p>
            <w:pPr>
              <w:spacing w:after="40" w:line="240" w:lineRule="auto"/>
              <w:jc w:val="center"/>
            </w:pPr>
            <w:r/>
            <w:r>
              <w:rPr>
                <w:rFonts w:ascii="Times New Roman" w:hAnsi="Times New Roman"/>
                <w:sz w:val="19"/>
              </w:rPr>
              <w:t>1.4%</w:t>
            </w:r>
          </w:p>
        </w:tc>
        <w:tc>
          <w:tcPr>
            <w:tcW w:type="dxa" w:w="1425"/>
          </w:tcPr>
          <w:p>
            <w:pPr>
              <w:spacing w:after="40" w:line="240" w:lineRule="auto"/>
              <w:jc w:val="center"/>
            </w:pPr>
            <w:r/>
            <w:r>
              <w:rPr>
                <w:rFonts w:ascii="Times New Roman" w:hAnsi="Times New Roman"/>
                <w:sz w:val="19"/>
              </w:rPr>
              <w:t>1.7%</w:t>
            </w:r>
          </w:p>
        </w:tc>
      </w:tr>
    </w:tbl>
    <w:p>
      <w:pPr>
        <w:keepNext w:val="0"/>
        <w:spacing w:line="276" w:lineRule="auto" w:after="80"/>
        <w:jc w:val="both"/>
      </w:pPr>
    </w:p>
    <w:p>
      <w:pPr>
        <w:keepNext w:val="0"/>
        <w:spacing w:line="276" w:lineRule="auto" w:after="120"/>
        <w:jc w:val="both"/>
      </w:pPr>
      <w:r>
        <w:rPr>
          <w:rFonts w:ascii="Times New Roman" w:hAnsi="Times New Roman"/>
          <w:b w:val="0"/>
          <w:i w:val="0"/>
          <w:sz w:val="24"/>
        </w:rPr>
        <w:t>Volatility's share nearly doubles from the pre-COVID bull to the 2022 bear, past returns fade, and trend peaks during the crash. The feature ranking reorders with them: rank correlation falls to 0.46 between the COVID crash and the 2022 bear, against 0.84 between the pre-COVID bull and the crash. The top three market features never change.</w:t>
      </w:r>
    </w:p>
    <w:p>
      <w:pPr>
        <w:keepNext/>
        <w:spacing w:after="80"/>
        <w:jc w:val="center"/>
      </w:pPr>
      <w:r>
        <w:drawing>
          <wp:inline xmlns:a="http://schemas.openxmlformats.org/drawingml/2006/main" xmlns:pic="http://schemas.openxmlformats.org/drawingml/2006/picture">
            <wp:extent cx="5040000" cy="1909834"/>
            <wp:docPr id="18" name="Picture 18"/>
            <wp:cNvGraphicFramePr>
              <a:graphicFrameLocks noChangeAspect="1"/>
            </wp:cNvGraphicFramePr>
            <a:graphic>
              <a:graphicData uri="http://schemas.openxmlformats.org/drawingml/2006/picture">
                <pic:pic>
                  <pic:nvPicPr>
                    <pic:cNvPr id="0" name="regime_family_shares.png"/>
                    <pic:cNvPicPr/>
                  </pic:nvPicPr>
                  <pic:blipFill>
                    <a:blip r:embed="rId28"/>
                    <a:stretch>
                      <a:fillRect/>
                    </a:stretch>
                  </pic:blipFill>
                  <pic:spPr>
                    <a:xfrm>
                      <a:off x="0" y="0"/>
                      <a:ext cx="5040000" cy="1909834"/>
                    </a:xfrm>
                    <a:prstGeom prst="rect"/>
                  </pic:spPr>
                </pic:pic>
              </a:graphicData>
            </a:graphic>
          </wp:inline>
        </w:drawing>
      </w:r>
    </w:p>
    <w:p>
      <w:pPr>
        <w:keepNext w:val="0"/>
        <w:spacing w:line="240" w:lineRule="auto" w:after="200"/>
        <w:jc w:val="center"/>
      </w:pPr>
      <w:r>
        <w:rPr>
          <w:rFonts w:ascii="Times New Roman" w:hAnsi="Times New Roman"/>
          <w:b w:val="0"/>
          <w:i w:val="0"/>
          <w:sz w:val="20"/>
        </w:rPr>
        <w:t>Figure 7.11  Share of SHAP attribution by feature family across market regimes</w:t>
      </w:r>
    </w:p>
    <w:p>
      <w:pPr>
        <w:keepNext w:val="0"/>
        <w:spacing w:line="276" w:lineRule="auto" w:after="120"/>
        <w:jc w:val="both"/>
      </w:pPr>
      <w:r>
        <w:rPr>
          <w:rFonts w:ascii="Times New Roman" w:hAnsi="Times New Roman"/>
          <w:b w:val="0"/>
          <w:i w:val="0"/>
          <w:sz w:val="24"/>
        </w:rPr>
        <w:t>Sector drift is also significant but smaller, at a total variation distance of 0.036 against a null of 0.011, giving p = 0.001. Volatile sectors use more volatility features, with Energy at 10.4 per cent, Consumer Discretionary at 9.5 and Communication Services at 9.4. Defensive sectors rely more on market context, with Utilities at 76.1 per cent and Consumer Staples at 76.4, against Energy at 66.8.</w:t>
      </w:r>
    </w:p>
    <w:p>
      <w:pPr>
        <w:keepNext/>
        <w:spacing w:after="80"/>
        <w:jc w:val="center"/>
      </w:pPr>
      <w:r>
        <w:drawing>
          <wp:inline xmlns:a="http://schemas.openxmlformats.org/drawingml/2006/main" xmlns:pic="http://schemas.openxmlformats.org/drawingml/2006/picture">
            <wp:extent cx="5040000" cy="2695881"/>
            <wp:docPr id="19" name="Picture 19"/>
            <wp:cNvGraphicFramePr>
              <a:graphicFrameLocks noChangeAspect="1"/>
            </wp:cNvGraphicFramePr>
            <a:graphic>
              <a:graphicData uri="http://schemas.openxmlformats.org/drawingml/2006/picture">
                <pic:pic>
                  <pic:nvPicPr>
                    <pic:cNvPr id="0" name="sector_family_shares.png"/>
                    <pic:cNvPicPr/>
                  </pic:nvPicPr>
                  <pic:blipFill>
                    <a:blip r:embed="rId29"/>
                    <a:stretch>
                      <a:fillRect/>
                    </a:stretch>
                  </pic:blipFill>
                  <pic:spPr>
                    <a:xfrm>
                      <a:off x="0" y="0"/>
                      <a:ext cx="5040000" cy="2695881"/>
                    </a:xfrm>
                    <a:prstGeom prst="rect"/>
                  </pic:spPr>
                </pic:pic>
              </a:graphicData>
            </a:graphic>
          </wp:inline>
        </w:drawing>
      </w:r>
    </w:p>
    <w:p>
      <w:pPr>
        <w:keepNext w:val="0"/>
        <w:spacing w:line="240" w:lineRule="auto" w:after="200"/>
        <w:jc w:val="center"/>
      </w:pPr>
      <w:r>
        <w:rPr>
          <w:rFonts w:ascii="Times New Roman" w:hAnsi="Times New Roman"/>
          <w:b w:val="0"/>
          <w:i w:val="0"/>
          <w:sz w:val="20"/>
        </w:rPr>
        <w:t>Figure 7.12  Share of SHAP attribution by feature family and GICS sector</w:t>
      </w:r>
    </w:p>
    <w:p>
      <w:pPr>
        <w:keepNext/>
        <w:spacing w:line="240" w:lineRule="auto" w:after="160"/>
        <w:jc w:val="left"/>
      </w:pPr>
      <w:r>
        <w:rPr>
          <w:rFonts w:ascii="Times New Roman" w:hAnsi="Times New Roman"/>
          <w:b/>
          <w:i w:val="0"/>
          <w:sz w:val="26"/>
        </w:rPr>
        <w:t>7.5 RQ5: Sanity Against No-Signal Models</w:t>
      </w:r>
    </w:p>
    <w:p>
      <w:pPr>
        <w:keepNext/>
        <w:spacing w:line="240" w:lineRule="auto" w:after="200"/>
        <w:jc w:val="center"/>
      </w:pPr>
      <w:r>
        <w:rPr>
          <w:rFonts w:ascii="Times New Roman" w:hAnsi="Times New Roman"/>
          <w:b w:val="0"/>
          <w:i w:val="0"/>
          <w:sz w:val="20"/>
        </w:rPr>
        <w:t>Table 7.10  Comparison with models trained on shuffled labels</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2619"/>
        <w:gridCol w:w="1047"/>
        <w:gridCol w:w="1746"/>
        <w:gridCol w:w="1222"/>
        <w:gridCol w:w="1222"/>
        <w:gridCol w:w="1047"/>
      </w:tblGrid>
      <w:tr>
        <w:trPr>
          <w:cantSplit/>
          <w:tblHeader/>
        </w:trPr>
        <w:tc>
          <w:tcPr>
            <w:tcW w:type="dxa" w:w="2620"/>
            <w:shd w:val="clear" w:color="auto" w:fill="D9E2F3"/>
          </w:tcPr>
          <w:p>
            <w:pPr>
              <w:spacing w:after="40" w:line="240" w:lineRule="auto"/>
              <w:jc w:val="center"/>
            </w:pPr>
            <w:r/>
            <w:r>
              <w:rPr>
                <w:rFonts w:ascii="Times New Roman" w:hAnsi="Times New Roman"/>
                <w:b/>
                <w:sz w:val="19"/>
              </w:rPr>
              <w:t>Model trained on</w:t>
            </w:r>
          </w:p>
        </w:tc>
        <w:tc>
          <w:tcPr>
            <w:tcW w:type="dxa" w:w="1048"/>
            <w:shd w:val="clear" w:color="auto" w:fill="D9E2F3"/>
          </w:tcPr>
          <w:p>
            <w:pPr>
              <w:spacing w:after="40" w:line="240" w:lineRule="auto"/>
              <w:jc w:val="center"/>
            </w:pPr>
            <w:r/>
            <w:r>
              <w:rPr>
                <w:rFonts w:ascii="Times New Roman" w:hAnsi="Times New Roman"/>
                <w:b/>
                <w:sz w:val="19"/>
              </w:rPr>
              <w:t>Test IC</w:t>
            </w:r>
          </w:p>
        </w:tc>
        <w:tc>
          <w:tcPr>
            <w:tcW w:type="dxa" w:w="1746"/>
            <w:shd w:val="clear" w:color="auto" w:fill="D9E2F3"/>
          </w:tcPr>
          <w:p>
            <w:pPr>
              <w:spacing w:after="40" w:line="240" w:lineRule="auto"/>
              <w:jc w:val="center"/>
            </w:pPr>
            <w:r/>
            <w:r>
              <w:rPr>
                <w:rFonts w:ascii="Times New Roman" w:hAnsi="Times New Roman"/>
                <w:b/>
                <w:sz w:val="19"/>
              </w:rPr>
              <w:t>Total mean |SHAP| (bp)</w:t>
            </w:r>
          </w:p>
        </w:tc>
        <w:tc>
          <w:tcPr>
            <w:tcW w:type="dxa" w:w="1222"/>
            <w:shd w:val="clear" w:color="auto" w:fill="D9E2F3"/>
          </w:tcPr>
          <w:p>
            <w:pPr>
              <w:spacing w:after="40" w:line="240" w:lineRule="auto"/>
              <w:jc w:val="center"/>
            </w:pPr>
            <w:r/>
            <w:r>
              <w:rPr>
                <w:rFonts w:ascii="Times New Roman" w:hAnsi="Times New Roman"/>
                <w:b/>
                <w:sz w:val="19"/>
              </w:rPr>
              <w:t>Market share</w:t>
            </w:r>
          </w:p>
        </w:tc>
        <w:tc>
          <w:tcPr>
            <w:tcW w:type="dxa" w:w="1222"/>
            <w:shd w:val="clear" w:color="auto" w:fill="D9E2F3"/>
          </w:tcPr>
          <w:p>
            <w:pPr>
              <w:spacing w:after="40" w:line="240" w:lineRule="auto"/>
              <w:jc w:val="center"/>
            </w:pPr>
            <w:r/>
            <w:r>
              <w:rPr>
                <w:rFonts w:ascii="Times New Roman" w:hAnsi="Times New Roman"/>
                <w:b/>
                <w:sz w:val="19"/>
              </w:rPr>
              <w:t>tau vs real</w:t>
            </w:r>
          </w:p>
        </w:tc>
        <w:tc>
          <w:tcPr>
            <w:tcW w:type="dxa" w:w="1048"/>
            <w:shd w:val="clear" w:color="auto" w:fill="D9E2F3"/>
          </w:tcPr>
          <w:p>
            <w:pPr>
              <w:spacing w:after="40" w:line="240" w:lineRule="auto"/>
              <w:jc w:val="center"/>
            </w:pPr>
            <w:r/>
            <w:r>
              <w:rPr>
                <w:rFonts w:ascii="Times New Roman" w:hAnsi="Times New Roman"/>
                <w:b/>
                <w:sz w:val="19"/>
              </w:rPr>
              <w:t>Per-row rho</w:t>
            </w:r>
          </w:p>
        </w:tc>
      </w:tr>
      <w:tr>
        <w:trPr>
          <w:cantSplit/>
        </w:trPr>
        <w:tc>
          <w:tcPr>
            <w:tcW w:type="dxa" w:w="2620"/>
          </w:tcPr>
          <w:p>
            <w:pPr>
              <w:spacing w:after="40" w:line="240" w:lineRule="auto"/>
              <w:jc w:val="left"/>
            </w:pPr>
            <w:r/>
            <w:r>
              <w:rPr>
                <w:rFonts w:ascii="Times New Roman" w:hAnsi="Times New Roman"/>
                <w:sz w:val="19"/>
              </w:rPr>
              <w:t>Real labels</w:t>
            </w:r>
          </w:p>
        </w:tc>
        <w:tc>
          <w:tcPr>
            <w:tcW w:type="dxa" w:w="1048"/>
          </w:tcPr>
          <w:p>
            <w:pPr>
              <w:spacing w:after="40" w:line="240" w:lineRule="auto"/>
              <w:jc w:val="center"/>
            </w:pPr>
            <w:r/>
            <w:r>
              <w:rPr>
                <w:rFonts w:ascii="Times New Roman" w:hAnsi="Times New Roman"/>
                <w:sz w:val="19"/>
              </w:rPr>
              <w:t>+0.018</w:t>
            </w:r>
          </w:p>
        </w:tc>
        <w:tc>
          <w:tcPr>
            <w:tcW w:type="dxa" w:w="1746"/>
          </w:tcPr>
          <w:p>
            <w:pPr>
              <w:spacing w:after="40" w:line="240" w:lineRule="auto"/>
              <w:jc w:val="center"/>
            </w:pPr>
            <w:r/>
            <w:r>
              <w:rPr>
                <w:rFonts w:ascii="Times New Roman" w:hAnsi="Times New Roman"/>
                <w:sz w:val="19"/>
              </w:rPr>
              <w:t>20.8</w:t>
            </w:r>
          </w:p>
        </w:tc>
        <w:tc>
          <w:tcPr>
            <w:tcW w:type="dxa" w:w="1222"/>
          </w:tcPr>
          <w:p>
            <w:pPr>
              <w:spacing w:after="40" w:line="240" w:lineRule="auto"/>
              <w:jc w:val="center"/>
            </w:pPr>
            <w:r/>
            <w:r>
              <w:rPr>
                <w:rFonts w:ascii="Times New Roman" w:hAnsi="Times New Roman"/>
                <w:sz w:val="19"/>
              </w:rPr>
              <w:t>77.3%</w:t>
            </w:r>
          </w:p>
        </w:tc>
        <w:tc>
          <w:tcPr>
            <w:tcW w:type="dxa" w:w="1222"/>
          </w:tcPr>
          <w:p>
            <w:pPr>
              <w:spacing w:after="40" w:line="240" w:lineRule="auto"/>
              <w:jc w:val="center"/>
            </w:pPr>
            <w:r/>
            <w:r>
              <w:rPr>
                <w:rFonts w:ascii="Times New Roman" w:hAnsi="Times New Roman"/>
                <w:sz w:val="19"/>
              </w:rPr>
              <w:t>-</w:t>
            </w:r>
          </w:p>
        </w:tc>
        <w:tc>
          <w:tcPr>
            <w:tcW w:type="dxa" w:w="1048"/>
          </w:tcPr>
          <w:p>
            <w:pPr>
              <w:spacing w:after="40" w:line="240" w:lineRule="auto"/>
              <w:jc w:val="center"/>
            </w:pPr>
            <w:r/>
            <w:r>
              <w:rPr>
                <w:rFonts w:ascii="Times New Roman" w:hAnsi="Times New Roman"/>
                <w:sz w:val="19"/>
              </w:rPr>
              <w:t>-</w:t>
            </w:r>
          </w:p>
        </w:tc>
      </w:tr>
      <w:tr>
        <w:trPr>
          <w:cantSplit/>
        </w:trPr>
        <w:tc>
          <w:tcPr>
            <w:tcW w:type="dxa" w:w="2620"/>
          </w:tcPr>
          <w:p>
            <w:pPr>
              <w:spacing w:after="40" w:line="240" w:lineRule="auto"/>
              <w:jc w:val="left"/>
            </w:pPr>
            <w:r/>
            <w:r>
              <w:rPr>
                <w:rFonts w:ascii="Times New Roman" w:hAnsi="Times New Roman"/>
                <w:sz w:val="19"/>
              </w:rPr>
              <w:t>Fully shuffled labels</w:t>
            </w:r>
          </w:p>
        </w:tc>
        <w:tc>
          <w:tcPr>
            <w:tcW w:type="dxa" w:w="1048"/>
          </w:tcPr>
          <w:p>
            <w:pPr>
              <w:spacing w:after="40" w:line="240" w:lineRule="auto"/>
              <w:jc w:val="center"/>
            </w:pPr>
            <w:r/>
            <w:r>
              <w:rPr>
                <w:rFonts w:ascii="Times New Roman" w:hAnsi="Times New Roman"/>
                <w:sz w:val="19"/>
              </w:rPr>
              <w:t>-0.023</w:t>
            </w:r>
          </w:p>
        </w:tc>
        <w:tc>
          <w:tcPr>
            <w:tcW w:type="dxa" w:w="1746"/>
          </w:tcPr>
          <w:p>
            <w:pPr>
              <w:spacing w:after="40" w:line="240" w:lineRule="auto"/>
              <w:jc w:val="center"/>
            </w:pPr>
            <w:r/>
            <w:r>
              <w:rPr>
                <w:rFonts w:ascii="Times New Roman" w:hAnsi="Times New Roman"/>
                <w:sz w:val="19"/>
              </w:rPr>
              <w:t>2.6</w:t>
            </w:r>
          </w:p>
        </w:tc>
        <w:tc>
          <w:tcPr>
            <w:tcW w:type="dxa" w:w="1222"/>
          </w:tcPr>
          <w:p>
            <w:pPr>
              <w:spacing w:after="40" w:line="240" w:lineRule="auto"/>
              <w:jc w:val="center"/>
            </w:pPr>
            <w:r/>
            <w:r>
              <w:rPr>
                <w:rFonts w:ascii="Times New Roman" w:hAnsi="Times New Roman"/>
                <w:sz w:val="19"/>
              </w:rPr>
              <w:t>19.6%</w:t>
            </w:r>
          </w:p>
        </w:tc>
        <w:tc>
          <w:tcPr>
            <w:tcW w:type="dxa" w:w="1222"/>
          </w:tcPr>
          <w:p>
            <w:pPr>
              <w:spacing w:after="40" w:line="240" w:lineRule="auto"/>
              <w:jc w:val="center"/>
            </w:pPr>
            <w:r/>
            <w:r>
              <w:rPr>
                <w:rFonts w:ascii="Times New Roman" w:hAnsi="Times New Roman"/>
                <w:sz w:val="19"/>
              </w:rPr>
              <w:t>0.13</w:t>
            </w:r>
          </w:p>
        </w:tc>
        <w:tc>
          <w:tcPr>
            <w:tcW w:type="dxa" w:w="1048"/>
          </w:tcPr>
          <w:p>
            <w:pPr>
              <w:spacing w:after="40" w:line="240" w:lineRule="auto"/>
              <w:jc w:val="center"/>
            </w:pPr>
            <w:r/>
            <w:r>
              <w:rPr>
                <w:rFonts w:ascii="Times New Roman" w:hAnsi="Times New Roman"/>
                <w:sz w:val="19"/>
              </w:rPr>
              <w:t>0.13</w:t>
            </w:r>
          </w:p>
        </w:tc>
      </w:tr>
      <w:tr>
        <w:trPr>
          <w:cantSplit/>
        </w:trPr>
        <w:tc>
          <w:tcPr>
            <w:tcW w:type="dxa" w:w="2620"/>
          </w:tcPr>
          <w:p>
            <w:pPr>
              <w:spacing w:after="40" w:line="240" w:lineRule="auto"/>
              <w:jc w:val="left"/>
            </w:pPr>
            <w:r/>
            <w:r>
              <w:rPr>
                <w:rFonts w:ascii="Times New Roman" w:hAnsi="Times New Roman"/>
                <w:sz w:val="19"/>
              </w:rPr>
              <w:t>Labels shuffled within each day</w:t>
            </w:r>
          </w:p>
        </w:tc>
        <w:tc>
          <w:tcPr>
            <w:tcW w:type="dxa" w:w="1048"/>
          </w:tcPr>
          <w:p>
            <w:pPr>
              <w:spacing w:after="40" w:line="240" w:lineRule="auto"/>
              <w:jc w:val="center"/>
            </w:pPr>
            <w:r/>
            <w:r>
              <w:rPr>
                <w:rFonts w:ascii="Times New Roman" w:hAnsi="Times New Roman"/>
                <w:sz w:val="19"/>
              </w:rPr>
              <w:t>+0.011</w:t>
            </w:r>
          </w:p>
        </w:tc>
        <w:tc>
          <w:tcPr>
            <w:tcW w:type="dxa" w:w="1746"/>
          </w:tcPr>
          <w:p>
            <w:pPr>
              <w:spacing w:after="40" w:line="240" w:lineRule="auto"/>
              <w:jc w:val="center"/>
            </w:pPr>
            <w:r/>
            <w:r>
              <w:rPr>
                <w:rFonts w:ascii="Times New Roman" w:hAnsi="Times New Roman"/>
                <w:sz w:val="19"/>
              </w:rPr>
              <w:t>19.5</w:t>
            </w:r>
          </w:p>
        </w:tc>
        <w:tc>
          <w:tcPr>
            <w:tcW w:type="dxa" w:w="1222"/>
          </w:tcPr>
          <w:p>
            <w:pPr>
              <w:spacing w:after="40" w:line="240" w:lineRule="auto"/>
              <w:jc w:val="center"/>
            </w:pPr>
            <w:r/>
            <w:r>
              <w:rPr>
                <w:rFonts w:ascii="Times New Roman" w:hAnsi="Times New Roman"/>
                <w:sz w:val="19"/>
              </w:rPr>
              <w:t>84.5%</w:t>
            </w:r>
          </w:p>
        </w:tc>
        <w:tc>
          <w:tcPr>
            <w:tcW w:type="dxa" w:w="1222"/>
          </w:tcPr>
          <w:p>
            <w:pPr>
              <w:spacing w:after="40" w:line="240" w:lineRule="auto"/>
              <w:jc w:val="center"/>
            </w:pPr>
            <w:r/>
            <w:r>
              <w:rPr>
                <w:rFonts w:ascii="Times New Roman" w:hAnsi="Times New Roman"/>
                <w:sz w:val="19"/>
              </w:rPr>
              <w:t>0.56</w:t>
            </w:r>
          </w:p>
        </w:tc>
        <w:tc>
          <w:tcPr>
            <w:tcW w:type="dxa" w:w="1048"/>
          </w:tcPr>
          <w:p>
            <w:pPr>
              <w:spacing w:after="40" w:line="240" w:lineRule="auto"/>
              <w:jc w:val="center"/>
            </w:pPr>
            <w:r/>
            <w:r>
              <w:rPr>
                <w:rFonts w:ascii="Times New Roman" w:hAnsi="Times New Roman"/>
                <w:sz w:val="19"/>
              </w:rPr>
              <w:t>0.60</w:t>
            </w:r>
          </w:p>
        </w:tc>
      </w:tr>
    </w:tbl>
    <w:p>
      <w:pPr>
        <w:keepNext w:val="0"/>
        <w:spacing w:line="276" w:lineRule="auto" w:after="80"/>
        <w:jc w:val="both"/>
      </w:pPr>
    </w:p>
    <w:p>
      <w:pPr>
        <w:keepNext w:val="0"/>
        <w:spacing w:line="276" w:lineRule="auto" w:after="120"/>
        <w:jc w:val="both"/>
      </w:pPr>
      <w:r>
        <w:rPr>
          <w:rFonts w:ascii="Times New Roman" w:hAnsi="Times New Roman"/>
          <w:b w:val="0"/>
          <w:i w:val="0"/>
          <w:sz w:val="24"/>
        </w:rPr>
        <w:t>The explanations pass the sanity check. A model trained on fully shuffled labels, which by construction has no signal to learn, produces explanations eight times weaker and essentially unrelated to the real model's, at tau 0.13.</w:t>
      </w:r>
    </w:p>
    <w:p>
      <w:pPr>
        <w:keepNext w:val="0"/>
        <w:spacing w:line="276" w:lineRule="auto" w:after="120"/>
        <w:jc w:val="both"/>
      </w:pPr>
      <w:r>
        <w:rPr>
          <w:rFonts w:ascii="Times New Roman" w:hAnsi="Times New Roman"/>
          <w:b w:val="0"/>
          <w:i w:val="0"/>
          <w:sz w:val="24"/>
        </w:rPr>
        <w:t>The second null is the more interesting one. Shuffling returns within each day destroys all stock-specific information while preserving the market-wide daily move. A model trained on that reproduces 94 per cent of the real explanation magnitude and tau 0.56 of its ranking. The real model's explanations are therefore mostly, though not entirely, about market-wide timing. Without this second null the first would have supported a stronger claim than the evidence allows.</w:t>
      </w:r>
    </w:p>
    <w:p>
      <w:pPr>
        <w:keepNext/>
        <w:spacing w:line="240" w:lineRule="auto" w:after="160"/>
        <w:jc w:val="left"/>
      </w:pPr>
      <w:r>
        <w:rPr>
          <w:rFonts w:ascii="Times New Roman" w:hAnsi="Times New Roman"/>
          <w:b/>
          <w:i w:val="0"/>
          <w:sz w:val="26"/>
        </w:rPr>
        <w:t>7.6 RQ6: SHAP Against LIME</w:t>
      </w:r>
    </w:p>
    <w:p>
      <w:pPr>
        <w:keepNext/>
        <w:spacing w:line="240" w:lineRule="auto" w:after="200"/>
        <w:jc w:val="center"/>
      </w:pPr>
      <w:r>
        <w:rPr>
          <w:rFonts w:ascii="Times New Roman" w:hAnsi="Times New Roman"/>
          <w:b w:val="0"/>
          <w:i w:val="0"/>
          <w:sz w:val="20"/>
        </w:rPr>
        <w:t>Table 7.11  Global agreement between four explainers, Kendall tau with top-5 overlap</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2671"/>
        <w:gridCol w:w="1781"/>
        <w:gridCol w:w="2671"/>
        <w:gridCol w:w="1781"/>
      </w:tblGrid>
      <w:tr>
        <w:trPr>
          <w:cantSplit/>
          <w:tblHeader/>
        </w:trPr>
        <w:tc>
          <w:tcPr>
            <w:tcW w:type="dxa" w:w="2672"/>
            <w:shd w:val="clear" w:color="auto" w:fill="D9E2F3"/>
          </w:tcPr>
          <w:p>
            <w:pPr>
              <w:spacing w:after="40" w:line="240" w:lineRule="auto"/>
              <w:jc w:val="center"/>
            </w:pPr>
            <w:r/>
            <w:r>
              <w:rPr>
                <w:rFonts w:ascii="Times New Roman" w:hAnsi="Times New Roman"/>
                <w:b/>
                <w:sz w:val="19"/>
              </w:rPr>
            </w:r>
          </w:p>
        </w:tc>
        <w:tc>
          <w:tcPr>
            <w:tcW w:type="dxa" w:w="1781"/>
            <w:shd w:val="clear" w:color="auto" w:fill="D9E2F3"/>
          </w:tcPr>
          <w:p>
            <w:pPr>
              <w:spacing w:after="40" w:line="240" w:lineRule="auto"/>
              <w:jc w:val="center"/>
            </w:pPr>
            <w:r/>
            <w:r>
              <w:rPr>
                <w:rFonts w:ascii="Times New Roman" w:hAnsi="Times New Roman"/>
                <w:b/>
                <w:sz w:val="19"/>
              </w:rPr>
              <w:t>LIME</w:t>
            </w:r>
          </w:p>
        </w:tc>
        <w:tc>
          <w:tcPr>
            <w:tcW w:type="dxa" w:w="2672"/>
            <w:shd w:val="clear" w:color="auto" w:fill="D9E2F3"/>
          </w:tcPr>
          <w:p>
            <w:pPr>
              <w:spacing w:after="40" w:line="240" w:lineRule="auto"/>
              <w:jc w:val="center"/>
            </w:pPr>
            <w:r/>
            <w:r>
              <w:rPr>
                <w:rFonts w:ascii="Times New Roman" w:hAnsi="Times New Roman"/>
                <w:b/>
                <w:sz w:val="19"/>
              </w:rPr>
              <w:t>Permutation importance</w:t>
            </w:r>
          </w:p>
        </w:tc>
        <w:tc>
          <w:tcPr>
            <w:tcW w:type="dxa" w:w="1781"/>
            <w:shd w:val="clear" w:color="auto" w:fill="D9E2F3"/>
          </w:tcPr>
          <w:p>
            <w:pPr>
              <w:spacing w:after="40" w:line="240" w:lineRule="auto"/>
              <w:jc w:val="center"/>
            </w:pPr>
            <w:r/>
            <w:r>
              <w:rPr>
                <w:rFonts w:ascii="Times New Roman" w:hAnsi="Times New Roman"/>
                <w:b/>
                <w:sz w:val="19"/>
              </w:rPr>
              <w:t>MDI</w:t>
            </w:r>
          </w:p>
        </w:tc>
      </w:tr>
      <w:tr>
        <w:trPr>
          <w:cantSplit/>
        </w:trPr>
        <w:tc>
          <w:tcPr>
            <w:tcW w:type="dxa" w:w="2672"/>
          </w:tcPr>
          <w:p>
            <w:pPr>
              <w:spacing w:after="40" w:line="240" w:lineRule="auto"/>
              <w:jc w:val="left"/>
            </w:pPr>
            <w:r/>
            <w:r>
              <w:rPr>
                <w:rFonts w:ascii="Times New Roman" w:hAnsi="Times New Roman"/>
                <w:sz w:val="19"/>
              </w:rPr>
              <w:t>TreeSHAP</w:t>
            </w:r>
          </w:p>
        </w:tc>
        <w:tc>
          <w:tcPr>
            <w:tcW w:type="dxa" w:w="1781"/>
          </w:tcPr>
          <w:p>
            <w:pPr>
              <w:spacing w:after="40" w:line="240" w:lineRule="auto"/>
              <w:jc w:val="center"/>
            </w:pPr>
            <w:r/>
            <w:r>
              <w:rPr>
                <w:rFonts w:ascii="Times New Roman" w:hAnsi="Times New Roman"/>
                <w:sz w:val="19"/>
              </w:rPr>
              <w:t>0.58 (4/5)</w:t>
            </w:r>
          </w:p>
        </w:tc>
        <w:tc>
          <w:tcPr>
            <w:tcW w:type="dxa" w:w="2672"/>
          </w:tcPr>
          <w:p>
            <w:pPr>
              <w:spacing w:after="40" w:line="240" w:lineRule="auto"/>
              <w:jc w:val="center"/>
            </w:pPr>
            <w:r/>
            <w:r>
              <w:rPr>
                <w:rFonts w:ascii="Times New Roman" w:hAnsi="Times New Roman"/>
                <w:sz w:val="19"/>
              </w:rPr>
              <w:t>0.03 (3/5)</w:t>
            </w:r>
          </w:p>
        </w:tc>
        <w:tc>
          <w:tcPr>
            <w:tcW w:type="dxa" w:w="1781"/>
          </w:tcPr>
          <w:p>
            <w:pPr>
              <w:spacing w:after="40" w:line="240" w:lineRule="auto"/>
              <w:jc w:val="center"/>
            </w:pPr>
            <w:r/>
            <w:r>
              <w:rPr>
                <w:rFonts w:ascii="Times New Roman" w:hAnsi="Times New Roman"/>
                <w:sz w:val="19"/>
              </w:rPr>
              <w:t>0.69 (4/5)</w:t>
            </w:r>
          </w:p>
        </w:tc>
      </w:tr>
      <w:tr>
        <w:trPr>
          <w:cantSplit/>
        </w:trPr>
        <w:tc>
          <w:tcPr>
            <w:tcW w:type="dxa" w:w="2672"/>
          </w:tcPr>
          <w:p>
            <w:pPr>
              <w:spacing w:after="40" w:line="240" w:lineRule="auto"/>
              <w:jc w:val="left"/>
            </w:pPr>
            <w:r/>
            <w:r>
              <w:rPr>
                <w:rFonts w:ascii="Times New Roman" w:hAnsi="Times New Roman"/>
                <w:sz w:val="19"/>
              </w:rPr>
              <w:t>LIME</w:t>
            </w:r>
          </w:p>
        </w:tc>
        <w:tc>
          <w:tcPr>
            <w:tcW w:type="dxa" w:w="1781"/>
          </w:tcPr>
          <w:p>
            <w:pPr>
              <w:spacing w:after="40" w:line="240" w:lineRule="auto"/>
              <w:jc w:val="center"/>
            </w:pPr>
            <w:r/>
            <w:r>
              <w:rPr>
                <w:rFonts w:ascii="Times New Roman" w:hAnsi="Times New Roman"/>
                <w:sz w:val="19"/>
              </w:rPr>
              <w:t>-</w:t>
            </w:r>
          </w:p>
        </w:tc>
        <w:tc>
          <w:tcPr>
            <w:tcW w:type="dxa" w:w="2672"/>
          </w:tcPr>
          <w:p>
            <w:pPr>
              <w:spacing w:after="40" w:line="240" w:lineRule="auto"/>
              <w:jc w:val="center"/>
            </w:pPr>
            <w:r/>
            <w:r>
              <w:rPr>
                <w:rFonts w:ascii="Times New Roman" w:hAnsi="Times New Roman"/>
                <w:sz w:val="19"/>
              </w:rPr>
              <w:t>0.18 (3/5)</w:t>
            </w:r>
          </w:p>
        </w:tc>
        <w:tc>
          <w:tcPr>
            <w:tcW w:type="dxa" w:w="1781"/>
          </w:tcPr>
          <w:p>
            <w:pPr>
              <w:spacing w:after="40" w:line="240" w:lineRule="auto"/>
              <w:jc w:val="center"/>
            </w:pPr>
            <w:r/>
            <w:r>
              <w:rPr>
                <w:rFonts w:ascii="Times New Roman" w:hAnsi="Times New Roman"/>
                <w:sz w:val="19"/>
              </w:rPr>
              <w:t>0.65 (4/5)</w:t>
            </w:r>
          </w:p>
        </w:tc>
      </w:tr>
      <w:tr>
        <w:trPr>
          <w:cantSplit/>
        </w:trPr>
        <w:tc>
          <w:tcPr>
            <w:tcW w:type="dxa" w:w="2672"/>
          </w:tcPr>
          <w:p>
            <w:pPr>
              <w:spacing w:after="40" w:line="240" w:lineRule="auto"/>
              <w:jc w:val="left"/>
            </w:pPr>
            <w:r/>
            <w:r>
              <w:rPr>
                <w:rFonts w:ascii="Times New Roman" w:hAnsi="Times New Roman"/>
                <w:sz w:val="19"/>
              </w:rPr>
              <w:t>Permutation importance</w:t>
            </w:r>
          </w:p>
        </w:tc>
        <w:tc>
          <w:tcPr>
            <w:tcW w:type="dxa" w:w="1781"/>
          </w:tcPr>
          <w:p>
            <w:pPr>
              <w:spacing w:after="40" w:line="240" w:lineRule="auto"/>
              <w:jc w:val="center"/>
            </w:pPr>
            <w:r/>
            <w:r>
              <w:rPr>
                <w:rFonts w:ascii="Times New Roman" w:hAnsi="Times New Roman"/>
                <w:sz w:val="19"/>
              </w:rPr>
              <w:t>-</w:t>
            </w:r>
          </w:p>
        </w:tc>
        <w:tc>
          <w:tcPr>
            <w:tcW w:type="dxa" w:w="2672"/>
          </w:tcPr>
          <w:p>
            <w:pPr>
              <w:spacing w:after="40" w:line="240" w:lineRule="auto"/>
              <w:jc w:val="center"/>
            </w:pPr>
            <w:r/>
            <w:r>
              <w:rPr>
                <w:rFonts w:ascii="Times New Roman" w:hAnsi="Times New Roman"/>
                <w:sz w:val="19"/>
              </w:rPr>
              <w:t>-</w:t>
            </w:r>
          </w:p>
        </w:tc>
        <w:tc>
          <w:tcPr>
            <w:tcW w:type="dxa" w:w="1781"/>
          </w:tcPr>
          <w:p>
            <w:pPr>
              <w:spacing w:after="40" w:line="240" w:lineRule="auto"/>
              <w:jc w:val="center"/>
            </w:pPr>
            <w:r/>
            <w:r>
              <w:rPr>
                <w:rFonts w:ascii="Times New Roman" w:hAnsi="Times New Roman"/>
                <w:sz w:val="19"/>
              </w:rPr>
              <w:t>0.15 (4/5)</w:t>
            </w:r>
          </w:p>
        </w:tc>
      </w:tr>
    </w:tbl>
    <w:p>
      <w:pPr>
        <w:keepNext w:val="0"/>
        <w:spacing w:line="276" w:lineRule="auto" w:after="80"/>
        <w:jc w:val="both"/>
      </w:pPr>
    </w:p>
    <w:p>
      <w:pPr>
        <w:keepNext w:val="0"/>
        <w:spacing w:line="276" w:lineRule="auto" w:after="120"/>
        <w:jc w:val="both"/>
      </w:pPr>
      <w:r>
        <w:rPr>
          <w:rFonts w:ascii="Times New Roman" w:hAnsi="Times New Roman"/>
          <w:b w:val="0"/>
          <w:i w:val="0"/>
          <w:sz w:val="24"/>
        </w:rPr>
        <w:t>Globally, SHAP and LIME agree moderately, sharing four of their top five features, and both agree with mean decrease in impurity more closely than with each other. All three disagree with permutation importance. Only four of the 32 features measurably improve accuracy, in the sense of a permutation importance more than two standard deviations above zero: market volatility, sector five-day return, Bollinger width and volume trend. Fifteen have negative permutation importance. The meaning is that SHAP and LIME describe what the model uses, not what improves accuracy, and those are different questions.</w:t>
      </w:r>
    </w:p>
    <w:p>
      <w:pPr>
        <w:keepNext/>
        <w:spacing w:after="80"/>
        <w:jc w:val="center"/>
      </w:pPr>
      <w:r>
        <w:drawing>
          <wp:inline xmlns:a="http://schemas.openxmlformats.org/drawingml/2006/main" xmlns:pic="http://schemas.openxmlformats.org/drawingml/2006/picture">
            <wp:extent cx="5040000" cy="3769855"/>
            <wp:docPr id="20" name="Picture 20"/>
            <wp:cNvGraphicFramePr>
              <a:graphicFrameLocks noChangeAspect="1"/>
            </wp:cNvGraphicFramePr>
            <a:graphic>
              <a:graphicData uri="http://schemas.openxmlformats.org/drawingml/2006/picture">
                <pic:pic>
                  <pic:nvPicPr>
                    <pic:cNvPr id="0" name="explainer_agreement.png"/>
                    <pic:cNvPicPr/>
                  </pic:nvPicPr>
                  <pic:blipFill>
                    <a:blip r:embed="rId30"/>
                    <a:stretch>
                      <a:fillRect/>
                    </a:stretch>
                  </pic:blipFill>
                  <pic:spPr>
                    <a:xfrm>
                      <a:off x="0" y="0"/>
                      <a:ext cx="5040000" cy="3769855"/>
                    </a:xfrm>
                    <a:prstGeom prst="rect"/>
                  </pic:spPr>
                </pic:pic>
              </a:graphicData>
            </a:graphic>
          </wp:inline>
        </w:drawing>
      </w:r>
    </w:p>
    <w:p>
      <w:pPr>
        <w:keepNext w:val="0"/>
        <w:spacing w:line="240" w:lineRule="auto" w:after="200"/>
        <w:jc w:val="center"/>
      </w:pPr>
      <w:r>
        <w:rPr>
          <w:rFonts w:ascii="Times New Roman" w:hAnsi="Times New Roman"/>
          <w:b w:val="0"/>
          <w:i w:val="0"/>
          <w:sz w:val="20"/>
        </w:rPr>
        <w:t>Figure 7.13  Feature importance ranks from TreeSHAP, LIME, permutation importance and MDI</w:t>
      </w:r>
    </w:p>
    <w:p>
      <w:pPr>
        <w:keepNext/>
        <w:spacing w:line="240" w:lineRule="auto" w:after="200"/>
        <w:jc w:val="center"/>
      </w:pPr>
      <w:r>
        <w:rPr>
          <w:rFonts w:ascii="Times New Roman" w:hAnsi="Times New Roman"/>
          <w:b w:val="0"/>
          <w:i w:val="0"/>
          <w:sz w:val="20"/>
        </w:rPr>
        <w:t>Table 7.12  Reliability for individual forecasts, over 804 stock-days with five LIME seeds each</w:t>
      </w:r>
    </w:p>
    <w:tbl>
      <w:tblPr>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W w:w="8906" w:type="dxa"/>
        <w:tblLayout w:type="fixed"/>
      </w:tblPr>
      <w:tblGrid>
        <w:gridCol w:w="4552"/>
        <w:gridCol w:w="1979"/>
        <w:gridCol w:w="2375"/>
      </w:tblGrid>
      <w:tr>
        <w:trPr>
          <w:cantSplit/>
          <w:tblHeader/>
        </w:trPr>
        <w:tc>
          <w:tcPr>
            <w:tcW w:type="dxa" w:w="4552"/>
            <w:shd w:val="clear" w:color="auto" w:fill="D9E2F3"/>
          </w:tcPr>
          <w:p>
            <w:pPr>
              <w:spacing w:after="40" w:line="240" w:lineRule="auto"/>
              <w:jc w:val="center"/>
            </w:pPr>
            <w:r/>
            <w:r>
              <w:rPr>
                <w:rFonts w:ascii="Times New Roman" w:hAnsi="Times New Roman"/>
                <w:b/>
                <w:sz w:val="19"/>
              </w:rPr>
              <w:t>Measure</w:t>
            </w:r>
          </w:p>
        </w:tc>
        <w:tc>
          <w:tcPr>
            <w:tcW w:type="dxa" w:w="1979"/>
            <w:shd w:val="clear" w:color="auto" w:fill="D9E2F3"/>
          </w:tcPr>
          <w:p>
            <w:pPr>
              <w:spacing w:after="40" w:line="240" w:lineRule="auto"/>
              <w:jc w:val="center"/>
            </w:pPr>
            <w:r/>
            <w:r>
              <w:rPr>
                <w:rFonts w:ascii="Times New Roman" w:hAnsi="Times New Roman"/>
                <w:b/>
                <w:sz w:val="19"/>
              </w:rPr>
              <w:t>TreeSHAP</w:t>
            </w:r>
          </w:p>
        </w:tc>
        <w:tc>
          <w:tcPr>
            <w:tcW w:type="dxa" w:w="2375"/>
            <w:shd w:val="clear" w:color="auto" w:fill="D9E2F3"/>
          </w:tcPr>
          <w:p>
            <w:pPr>
              <w:spacing w:after="40" w:line="240" w:lineRule="auto"/>
              <w:jc w:val="center"/>
            </w:pPr>
            <w:r/>
            <w:r>
              <w:rPr>
                <w:rFonts w:ascii="Times New Roman" w:hAnsi="Times New Roman"/>
                <w:b/>
                <w:sz w:val="19"/>
              </w:rPr>
              <w:t>LIME</w:t>
            </w:r>
          </w:p>
        </w:tc>
      </w:tr>
      <w:tr>
        <w:trPr>
          <w:cantSplit/>
        </w:trPr>
        <w:tc>
          <w:tcPr>
            <w:tcW w:type="dxa" w:w="4552"/>
          </w:tcPr>
          <w:p>
            <w:pPr>
              <w:spacing w:after="40" w:line="240" w:lineRule="auto"/>
              <w:jc w:val="left"/>
            </w:pPr>
            <w:r/>
            <w:r>
              <w:rPr>
                <w:rFonts w:ascii="Times New Roman" w:hAnsi="Times New Roman"/>
                <w:sz w:val="19"/>
              </w:rPr>
              <w:t>Agreement with the other method, median Spearman rho</w:t>
            </w:r>
          </w:p>
        </w:tc>
        <w:tc>
          <w:tcPr>
            <w:tcW w:type="dxa" w:w="1979"/>
          </w:tcPr>
          <w:p>
            <w:pPr>
              <w:spacing w:after="40" w:line="240" w:lineRule="auto"/>
              <w:jc w:val="center"/>
            </w:pPr>
            <w:r/>
            <w:r>
              <w:rPr>
                <w:rFonts w:ascii="Times New Roman" w:hAnsi="Times New Roman"/>
                <w:sz w:val="19"/>
              </w:rPr>
              <w:t>-</w:t>
            </w:r>
          </w:p>
        </w:tc>
        <w:tc>
          <w:tcPr>
            <w:tcW w:type="dxa" w:w="2375"/>
          </w:tcPr>
          <w:p>
            <w:pPr>
              <w:spacing w:after="40" w:line="240" w:lineRule="auto"/>
              <w:jc w:val="center"/>
            </w:pPr>
            <w:r/>
            <w:r>
              <w:rPr>
                <w:rFonts w:ascii="Times New Roman" w:hAnsi="Times New Roman"/>
                <w:sz w:val="19"/>
              </w:rPr>
              <w:t>0.44</w:t>
            </w:r>
          </w:p>
        </w:tc>
      </w:tr>
      <w:tr>
        <w:trPr>
          <w:cantSplit/>
        </w:trPr>
        <w:tc>
          <w:tcPr>
            <w:tcW w:type="dxa" w:w="4552"/>
          </w:tcPr>
          <w:p>
            <w:pPr>
              <w:spacing w:after="40" w:line="240" w:lineRule="auto"/>
              <w:jc w:val="left"/>
            </w:pPr>
            <w:r/>
            <w:r>
              <w:rPr>
                <w:rFonts w:ascii="Times New Roman" w:hAnsi="Times New Roman"/>
                <w:sz w:val="19"/>
              </w:rPr>
              <w:t>Agreement, top-5 feature overlap</w:t>
            </w:r>
          </w:p>
        </w:tc>
        <w:tc>
          <w:tcPr>
            <w:tcW w:type="dxa" w:w="1979"/>
          </w:tcPr>
          <w:p>
            <w:pPr>
              <w:spacing w:after="40" w:line="240" w:lineRule="auto"/>
              <w:jc w:val="center"/>
            </w:pPr>
            <w:r/>
            <w:r>
              <w:rPr>
                <w:rFonts w:ascii="Times New Roman" w:hAnsi="Times New Roman"/>
                <w:sz w:val="19"/>
              </w:rPr>
              <w:t>-</w:t>
            </w:r>
          </w:p>
        </w:tc>
        <w:tc>
          <w:tcPr>
            <w:tcW w:type="dxa" w:w="2375"/>
          </w:tcPr>
          <w:p>
            <w:pPr>
              <w:spacing w:after="40" w:line="240" w:lineRule="auto"/>
              <w:jc w:val="center"/>
            </w:pPr>
            <w:r/>
            <w:r>
              <w:rPr>
                <w:rFonts w:ascii="Times New Roman" w:hAnsi="Times New Roman"/>
                <w:sz w:val="19"/>
              </w:rPr>
              <w:t>65%</w:t>
            </w:r>
          </w:p>
        </w:tc>
      </w:tr>
      <w:tr>
        <w:trPr>
          <w:cantSplit/>
        </w:trPr>
        <w:tc>
          <w:tcPr>
            <w:tcW w:type="dxa" w:w="4552"/>
          </w:tcPr>
          <w:p>
            <w:pPr>
              <w:spacing w:after="40" w:line="240" w:lineRule="auto"/>
              <w:jc w:val="left"/>
            </w:pPr>
            <w:r/>
            <w:r>
              <w:rPr>
                <w:rFonts w:ascii="Times New Roman" w:hAnsi="Times New Roman"/>
                <w:sz w:val="19"/>
              </w:rPr>
              <w:t>Agreement, same top feature</w:t>
            </w:r>
          </w:p>
        </w:tc>
        <w:tc>
          <w:tcPr>
            <w:tcW w:type="dxa" w:w="1979"/>
          </w:tcPr>
          <w:p>
            <w:pPr>
              <w:spacing w:after="40" w:line="240" w:lineRule="auto"/>
              <w:jc w:val="center"/>
            </w:pPr>
            <w:r/>
            <w:r>
              <w:rPr>
                <w:rFonts w:ascii="Times New Roman" w:hAnsi="Times New Roman"/>
                <w:sz w:val="19"/>
              </w:rPr>
              <w:t>-</w:t>
            </w:r>
          </w:p>
        </w:tc>
        <w:tc>
          <w:tcPr>
            <w:tcW w:type="dxa" w:w="2375"/>
          </w:tcPr>
          <w:p>
            <w:pPr>
              <w:spacing w:after="40" w:line="240" w:lineRule="auto"/>
              <w:jc w:val="center"/>
            </w:pPr>
            <w:r/>
            <w:r>
              <w:rPr>
                <w:rFonts w:ascii="Times New Roman" w:hAnsi="Times New Roman"/>
                <w:sz w:val="19"/>
              </w:rPr>
              <w:t>59%</w:t>
            </w:r>
          </w:p>
        </w:tc>
      </w:tr>
      <w:tr>
        <w:trPr>
          <w:cantSplit/>
        </w:trPr>
        <w:tc>
          <w:tcPr>
            <w:tcW w:type="dxa" w:w="4552"/>
          </w:tcPr>
          <w:p>
            <w:pPr>
              <w:spacing w:after="40" w:line="240" w:lineRule="auto"/>
              <w:jc w:val="left"/>
            </w:pPr>
            <w:r/>
            <w:r>
              <w:rPr>
                <w:rFonts w:ascii="Times New Roman" w:hAnsi="Times New Roman"/>
                <w:sz w:val="19"/>
              </w:rPr>
              <w:t>Agreement, sign matches on SHAP's top five</w:t>
            </w:r>
          </w:p>
        </w:tc>
        <w:tc>
          <w:tcPr>
            <w:tcW w:type="dxa" w:w="1979"/>
          </w:tcPr>
          <w:p>
            <w:pPr>
              <w:spacing w:after="40" w:line="240" w:lineRule="auto"/>
              <w:jc w:val="center"/>
            </w:pPr>
            <w:r/>
            <w:r>
              <w:rPr>
                <w:rFonts w:ascii="Times New Roman" w:hAnsi="Times New Roman"/>
                <w:sz w:val="19"/>
              </w:rPr>
              <w:t>-</w:t>
            </w:r>
          </w:p>
        </w:tc>
        <w:tc>
          <w:tcPr>
            <w:tcW w:type="dxa" w:w="2375"/>
          </w:tcPr>
          <w:p>
            <w:pPr>
              <w:spacing w:after="40" w:line="240" w:lineRule="auto"/>
              <w:jc w:val="center"/>
            </w:pPr>
            <w:r/>
            <w:r>
              <w:rPr>
                <w:rFonts w:ascii="Times New Roman" w:hAnsi="Times New Roman"/>
                <w:sz w:val="19"/>
              </w:rPr>
              <w:t>81%</w:t>
            </w:r>
          </w:p>
        </w:tc>
      </w:tr>
      <w:tr>
        <w:trPr>
          <w:cantSplit/>
        </w:trPr>
        <w:tc>
          <w:tcPr>
            <w:tcW w:type="dxa" w:w="4552"/>
          </w:tcPr>
          <w:p>
            <w:pPr>
              <w:spacing w:after="40" w:line="240" w:lineRule="auto"/>
              <w:jc w:val="left"/>
            </w:pPr>
            <w:r/>
            <w:r>
              <w:rPr>
                <w:rFonts w:ascii="Times New Roman" w:hAnsi="Times New Roman"/>
                <w:sz w:val="19"/>
              </w:rPr>
              <w:t>Run-to-run stability, median rho between runs</w:t>
            </w:r>
          </w:p>
        </w:tc>
        <w:tc>
          <w:tcPr>
            <w:tcW w:type="dxa" w:w="1979"/>
          </w:tcPr>
          <w:p>
            <w:pPr>
              <w:spacing w:after="40" w:line="240" w:lineRule="auto"/>
              <w:jc w:val="center"/>
            </w:pPr>
            <w:r/>
            <w:r>
              <w:rPr>
                <w:rFonts w:ascii="Times New Roman" w:hAnsi="Times New Roman"/>
                <w:sz w:val="19"/>
              </w:rPr>
              <w:t>1.00 (deterministic)</w:t>
            </w:r>
          </w:p>
        </w:tc>
        <w:tc>
          <w:tcPr>
            <w:tcW w:type="dxa" w:w="2375"/>
          </w:tcPr>
          <w:p>
            <w:pPr>
              <w:spacing w:after="40" w:line="240" w:lineRule="auto"/>
              <w:jc w:val="center"/>
            </w:pPr>
            <w:r/>
            <w:r>
              <w:rPr>
                <w:rFonts w:ascii="Times New Roman" w:hAnsi="Times New Roman"/>
                <w:sz w:val="19"/>
              </w:rPr>
              <w:t>0.45</w:t>
            </w:r>
          </w:p>
        </w:tc>
      </w:tr>
      <w:tr>
        <w:trPr>
          <w:cantSplit/>
        </w:trPr>
        <w:tc>
          <w:tcPr>
            <w:tcW w:type="dxa" w:w="4552"/>
          </w:tcPr>
          <w:p>
            <w:pPr>
              <w:spacing w:after="40" w:line="240" w:lineRule="auto"/>
              <w:jc w:val="left"/>
            </w:pPr>
            <w:r/>
            <w:r>
              <w:rPr>
                <w:rFonts w:ascii="Times New Roman" w:hAnsi="Times New Roman"/>
                <w:sz w:val="19"/>
              </w:rPr>
              <w:t>Run-to-run stability, top-5 overlap</w:t>
            </w:r>
          </w:p>
        </w:tc>
        <w:tc>
          <w:tcPr>
            <w:tcW w:type="dxa" w:w="1979"/>
          </w:tcPr>
          <w:p>
            <w:pPr>
              <w:spacing w:after="40" w:line="240" w:lineRule="auto"/>
              <w:jc w:val="center"/>
            </w:pPr>
            <w:r/>
            <w:r>
              <w:rPr>
                <w:rFonts w:ascii="Times New Roman" w:hAnsi="Times New Roman"/>
                <w:sz w:val="19"/>
              </w:rPr>
              <w:t>1.00</w:t>
            </w:r>
          </w:p>
        </w:tc>
        <w:tc>
          <w:tcPr>
            <w:tcW w:type="dxa" w:w="2375"/>
          </w:tcPr>
          <w:p>
            <w:pPr>
              <w:spacing w:after="40" w:line="240" w:lineRule="auto"/>
              <w:jc w:val="center"/>
            </w:pPr>
            <w:r/>
            <w:r>
              <w:rPr>
                <w:rFonts w:ascii="Times New Roman" w:hAnsi="Times New Roman"/>
                <w:sz w:val="19"/>
              </w:rPr>
              <w:t>79%</w:t>
            </w:r>
          </w:p>
        </w:tc>
      </w:tr>
      <w:tr>
        <w:trPr>
          <w:cantSplit/>
        </w:trPr>
        <w:tc>
          <w:tcPr>
            <w:tcW w:type="dxa" w:w="4552"/>
          </w:tcPr>
          <w:p>
            <w:pPr>
              <w:spacing w:after="40" w:line="240" w:lineRule="auto"/>
              <w:jc w:val="left"/>
            </w:pPr>
            <w:r/>
            <w:r>
              <w:rPr>
                <w:rFonts w:ascii="Times New Roman" w:hAnsi="Times New Roman"/>
                <w:sz w:val="19"/>
              </w:rPr>
              <w:t>Run-to-run stability, same top feature in all five runs</w:t>
            </w:r>
          </w:p>
        </w:tc>
        <w:tc>
          <w:tcPr>
            <w:tcW w:type="dxa" w:w="1979"/>
          </w:tcPr>
          <w:p>
            <w:pPr>
              <w:spacing w:after="40" w:line="240" w:lineRule="auto"/>
              <w:jc w:val="center"/>
            </w:pPr>
            <w:r/>
            <w:r>
              <w:rPr>
                <w:rFonts w:ascii="Times New Roman" w:hAnsi="Times New Roman"/>
                <w:sz w:val="19"/>
              </w:rPr>
              <w:t>100%</w:t>
            </w:r>
          </w:p>
        </w:tc>
        <w:tc>
          <w:tcPr>
            <w:tcW w:type="dxa" w:w="2375"/>
          </w:tcPr>
          <w:p>
            <w:pPr>
              <w:spacing w:after="40" w:line="240" w:lineRule="auto"/>
              <w:jc w:val="center"/>
            </w:pPr>
            <w:r/>
            <w:r>
              <w:rPr>
                <w:rFonts w:ascii="Times New Roman" w:hAnsi="Times New Roman"/>
                <w:sz w:val="19"/>
              </w:rPr>
              <w:t>96%</w:t>
            </w:r>
          </w:p>
        </w:tc>
      </w:tr>
      <w:tr>
        <w:trPr>
          <w:cantSplit/>
        </w:trPr>
        <w:tc>
          <w:tcPr>
            <w:tcW w:type="dxa" w:w="4552"/>
          </w:tcPr>
          <w:p>
            <w:pPr>
              <w:spacing w:after="40" w:line="240" w:lineRule="auto"/>
              <w:jc w:val="left"/>
            </w:pPr>
            <w:r/>
            <w:r>
              <w:rPr>
                <w:rFonts w:ascii="Times New Roman" w:hAnsi="Times New Roman"/>
                <w:sz w:val="19"/>
              </w:rPr>
              <w:t>Local fit, surrogate R-squared</w:t>
            </w:r>
          </w:p>
        </w:tc>
        <w:tc>
          <w:tcPr>
            <w:tcW w:type="dxa" w:w="1979"/>
          </w:tcPr>
          <w:p>
            <w:pPr>
              <w:spacing w:after="40" w:line="240" w:lineRule="auto"/>
              <w:jc w:val="center"/>
            </w:pPr>
            <w:r/>
            <w:r>
              <w:rPr>
                <w:rFonts w:ascii="Times New Roman" w:hAnsi="Times New Roman"/>
                <w:sz w:val="19"/>
              </w:rPr>
              <w:t>Exact by additivity</w:t>
            </w:r>
          </w:p>
        </w:tc>
        <w:tc>
          <w:tcPr>
            <w:tcW w:type="dxa" w:w="2375"/>
          </w:tcPr>
          <w:p>
            <w:pPr>
              <w:spacing w:after="40" w:line="240" w:lineRule="auto"/>
              <w:jc w:val="center"/>
            </w:pPr>
            <w:r/>
            <w:r>
              <w:rPr>
                <w:rFonts w:ascii="Times New Roman" w:hAnsi="Times New Roman"/>
                <w:sz w:val="19"/>
              </w:rPr>
              <w:t>Median 0.17; 67% below 0.3</w:t>
            </w:r>
          </w:p>
        </w:tc>
      </w:tr>
      <w:tr>
        <w:trPr>
          <w:cantSplit/>
        </w:trPr>
        <w:tc>
          <w:tcPr>
            <w:tcW w:type="dxa" w:w="4552"/>
          </w:tcPr>
          <w:p>
            <w:pPr>
              <w:spacing w:after="40" w:line="240" w:lineRule="auto"/>
              <w:jc w:val="left"/>
            </w:pPr>
            <w:r/>
            <w:r>
              <w:rPr>
                <w:rFonts w:ascii="Times New Roman" w:hAnsi="Times New Roman"/>
                <w:sz w:val="19"/>
              </w:rPr>
              <w:t>Faithfulness AOPC in bp, random order being 3.71</w:t>
            </w:r>
          </w:p>
        </w:tc>
        <w:tc>
          <w:tcPr>
            <w:tcW w:type="dxa" w:w="1979"/>
          </w:tcPr>
          <w:p>
            <w:pPr>
              <w:spacing w:after="40" w:line="240" w:lineRule="auto"/>
              <w:jc w:val="center"/>
            </w:pPr>
            <w:r/>
            <w:r>
              <w:rPr>
                <w:rFonts w:ascii="Times New Roman" w:hAnsi="Times New Roman"/>
                <w:sz w:val="19"/>
              </w:rPr>
              <w:t>8.70</w:t>
            </w:r>
          </w:p>
        </w:tc>
        <w:tc>
          <w:tcPr>
            <w:tcW w:type="dxa" w:w="2375"/>
          </w:tcPr>
          <w:p>
            <w:pPr>
              <w:spacing w:after="40" w:line="240" w:lineRule="auto"/>
              <w:jc w:val="center"/>
            </w:pPr>
            <w:r/>
            <w:r>
              <w:rPr>
                <w:rFonts w:ascii="Times New Roman" w:hAnsi="Times New Roman"/>
                <w:sz w:val="19"/>
              </w:rPr>
              <w:t>8.13</w:t>
            </w:r>
          </w:p>
        </w:tc>
      </w:tr>
      <w:tr>
        <w:trPr>
          <w:cantSplit/>
        </w:trPr>
        <w:tc>
          <w:tcPr>
            <w:tcW w:type="dxa" w:w="4552"/>
          </w:tcPr>
          <w:p>
            <w:pPr>
              <w:spacing w:after="40" w:line="240" w:lineRule="auto"/>
              <w:jc w:val="left"/>
            </w:pPr>
            <w:r/>
            <w:r>
              <w:rPr>
                <w:rFonts w:ascii="Times New Roman" w:hAnsi="Times New Roman"/>
                <w:sz w:val="19"/>
              </w:rPr>
              <w:t>Faithfulness, |change| after removing the top feature, random being 0.56 bp</w:t>
            </w:r>
          </w:p>
        </w:tc>
        <w:tc>
          <w:tcPr>
            <w:tcW w:type="dxa" w:w="1979"/>
          </w:tcPr>
          <w:p>
            <w:pPr>
              <w:spacing w:after="40" w:line="240" w:lineRule="auto"/>
              <w:jc w:val="center"/>
            </w:pPr>
            <w:r/>
            <w:r>
              <w:rPr>
                <w:rFonts w:ascii="Times New Roman" w:hAnsi="Times New Roman"/>
                <w:sz w:val="19"/>
              </w:rPr>
              <w:t>8.89</w:t>
            </w:r>
          </w:p>
        </w:tc>
        <w:tc>
          <w:tcPr>
            <w:tcW w:type="dxa" w:w="2375"/>
          </w:tcPr>
          <w:p>
            <w:pPr>
              <w:spacing w:after="40" w:line="240" w:lineRule="auto"/>
              <w:jc w:val="center"/>
            </w:pPr>
            <w:r/>
            <w:r>
              <w:rPr>
                <w:rFonts w:ascii="Times New Roman" w:hAnsi="Times New Roman"/>
                <w:sz w:val="19"/>
              </w:rPr>
              <w:t>6.53</w:t>
            </w:r>
          </w:p>
        </w:tc>
      </w:tr>
      <w:tr>
        <w:trPr>
          <w:cantSplit/>
        </w:trPr>
        <w:tc>
          <w:tcPr>
            <w:tcW w:type="dxa" w:w="4552"/>
          </w:tcPr>
          <w:p>
            <w:pPr>
              <w:spacing w:after="40" w:line="240" w:lineRule="auto"/>
              <w:jc w:val="left"/>
            </w:pPr>
            <w:r/>
            <w:r>
              <w:rPr>
                <w:rFonts w:ascii="Times New Roman" w:hAnsi="Times New Roman"/>
                <w:sz w:val="19"/>
              </w:rPr>
              <w:t>Time per explanation</w:t>
            </w:r>
          </w:p>
        </w:tc>
        <w:tc>
          <w:tcPr>
            <w:tcW w:type="dxa" w:w="1979"/>
          </w:tcPr>
          <w:p>
            <w:pPr>
              <w:spacing w:after="40" w:line="240" w:lineRule="auto"/>
              <w:jc w:val="center"/>
            </w:pPr>
            <w:r/>
            <w:r>
              <w:rPr>
                <w:rFonts w:ascii="Times New Roman" w:hAnsi="Times New Roman"/>
                <w:sz w:val="19"/>
              </w:rPr>
              <w:t>About 0.001 s</w:t>
            </w:r>
          </w:p>
        </w:tc>
        <w:tc>
          <w:tcPr>
            <w:tcW w:type="dxa" w:w="2375"/>
          </w:tcPr>
          <w:p>
            <w:pPr>
              <w:spacing w:after="40" w:line="240" w:lineRule="auto"/>
              <w:jc w:val="center"/>
            </w:pPr>
            <w:r/>
            <w:r>
              <w:rPr>
                <w:rFonts w:ascii="Times New Roman" w:hAnsi="Times New Roman"/>
                <w:sz w:val="19"/>
              </w:rPr>
              <w:t>About 0.08 s</w:t>
            </w:r>
          </w:p>
        </w:tc>
      </w:tr>
    </w:tbl>
    <w:p>
      <w:pPr>
        <w:keepNext w:val="0"/>
        <w:spacing w:line="276" w:lineRule="auto" w:after="80"/>
        <w:jc w:val="both"/>
      </w:pPr>
    </w:p>
    <w:p>
      <w:pPr>
        <w:keepNext w:val="0"/>
        <w:spacing w:line="276" w:lineRule="auto" w:after="120"/>
        <w:jc w:val="both"/>
      </w:pPr>
      <w:r>
        <w:rPr>
          <w:rFonts w:ascii="Times New Roman" w:hAnsi="Times New Roman"/>
          <w:b w:val="0"/>
          <w:i w:val="0"/>
          <w:sz w:val="24"/>
        </w:rPr>
        <w:t>LIME is less reliable than SHAP for individual forecasts on three counts. Explaining the same forecast twice with different seeds gives feature rankings that correlate only 0.45. Its linear surrogate explains a median of just 17 per cent of the model's local behaviour, and two thirds of its explanations fall below an R-squared of 0.3. And on a typical forecast it shares only three of its top five features with SHAP.</w:t>
      </w:r>
    </w:p>
    <w:p>
      <w:pPr>
        <w:keepNext w:val="0"/>
        <w:spacing w:line="276" w:lineRule="auto" w:after="120"/>
        <w:jc w:val="both"/>
      </w:pPr>
      <w:r>
        <w:rPr>
          <w:rFonts w:ascii="Times New Roman" w:hAnsi="Times New Roman"/>
          <w:b w:val="0"/>
          <w:i w:val="0"/>
          <w:sz w:val="24"/>
        </w:rPr>
        <w:t>Both methods are faithful, SHAP more so: both beat random ordering comfortably, but removing LIME's top feature changes the forecast 27 per cent less than removing SHAP's. The two can also contradict each other on the same forecast. For AAPL on 16 March 2020 they agree on the two main drivers, with a rho of 0.53. For JPM on 18 May 2022 they disagree on the direction of the top feature: market volatility pushes the forecast down according to SHAP and up according to LIME, with a rho of 0.19 and a LIME surrogate fit of 0.11. The cause is structural. LIME's discretised bins compare against the whole training distribution, while SHAP attributes along the model's own decision paths.</w:t>
      </w:r>
    </w:p>
    <w:p>
      <w:pPr>
        <w:keepNext/>
        <w:spacing w:after="80"/>
        <w:jc w:val="center"/>
      </w:pPr>
      <w:r>
        <w:drawing>
          <wp:inline xmlns:a="http://schemas.openxmlformats.org/drawingml/2006/main" xmlns:pic="http://schemas.openxmlformats.org/drawingml/2006/picture">
            <wp:extent cx="5040000" cy="1855475"/>
            <wp:docPr id="21" name="Picture 21"/>
            <wp:cNvGraphicFramePr>
              <a:graphicFrameLocks noChangeAspect="1"/>
            </wp:cNvGraphicFramePr>
            <a:graphic>
              <a:graphicData uri="http://schemas.openxmlformats.org/drawingml/2006/picture">
                <pic:pic>
                  <pic:nvPicPr>
                    <pic:cNvPr id="0" name="lime_vs_shap_local.png"/>
                    <pic:cNvPicPr/>
                  </pic:nvPicPr>
                  <pic:blipFill>
                    <a:blip r:embed="rId31"/>
                    <a:stretch>
                      <a:fillRect/>
                    </a:stretch>
                  </pic:blipFill>
                  <pic:spPr>
                    <a:xfrm>
                      <a:off x="0" y="0"/>
                      <a:ext cx="5040000" cy="1855475"/>
                    </a:xfrm>
                    <a:prstGeom prst="rect"/>
                  </pic:spPr>
                </pic:pic>
              </a:graphicData>
            </a:graphic>
          </wp:inline>
        </w:drawing>
      </w:r>
    </w:p>
    <w:p>
      <w:pPr>
        <w:keepNext w:val="0"/>
        <w:spacing w:line="240" w:lineRule="auto" w:after="200"/>
        <w:jc w:val="center"/>
      </w:pPr>
      <w:r>
        <w:rPr>
          <w:rFonts w:ascii="Times New Roman" w:hAnsi="Times New Roman"/>
          <w:b w:val="0"/>
          <w:i w:val="0"/>
          <w:sz w:val="20"/>
        </w:rPr>
        <w:t>Figure 7.14  SHAP against LIME explanations for the same forecasts</w:t>
      </w:r>
    </w:p>
    <w:p>
      <w:pPr>
        <w:keepNext/>
        <w:spacing w:after="80"/>
        <w:jc w:val="center"/>
      </w:pPr>
      <w:r>
        <w:drawing>
          <wp:inline xmlns:a="http://schemas.openxmlformats.org/drawingml/2006/main" xmlns:pic="http://schemas.openxmlformats.org/drawingml/2006/picture">
            <wp:extent cx="5040000" cy="1955745"/>
            <wp:docPr id="22" name="Picture 22"/>
            <wp:cNvGraphicFramePr>
              <a:graphicFrameLocks noChangeAspect="1"/>
            </wp:cNvGraphicFramePr>
            <a:graphic>
              <a:graphicData uri="http://schemas.openxmlformats.org/drawingml/2006/picture">
                <pic:pic>
                  <pic:nvPicPr>
                    <pic:cNvPr id="0" name="lime_reliability.png"/>
                    <pic:cNvPicPr/>
                  </pic:nvPicPr>
                  <pic:blipFill>
                    <a:blip r:embed="rId32"/>
                    <a:stretch>
                      <a:fillRect/>
                    </a:stretch>
                  </pic:blipFill>
                  <pic:spPr>
                    <a:xfrm>
                      <a:off x="0" y="0"/>
                      <a:ext cx="5040000" cy="1955745"/>
                    </a:xfrm>
                    <a:prstGeom prst="rect"/>
                  </pic:spPr>
                </pic:pic>
              </a:graphicData>
            </a:graphic>
          </wp:inline>
        </w:drawing>
      </w:r>
    </w:p>
    <w:p>
      <w:pPr>
        <w:keepNext w:val="0"/>
        <w:spacing w:line="240" w:lineRule="auto" w:after="200"/>
        <w:jc w:val="center"/>
      </w:pPr>
      <w:r>
        <w:rPr>
          <w:rFonts w:ascii="Times New Roman" w:hAnsi="Times New Roman"/>
          <w:b w:val="0"/>
          <w:i w:val="0"/>
          <w:sz w:val="20"/>
        </w:rPr>
        <w:t>Figure 7.15  LIME against SHAP: run-to-run stability, faithfulness and local fit</w:t>
      </w:r>
    </w:p>
    <w:p>
      <w:pPr>
        <w:keepNext/>
        <w:spacing w:line="240" w:lineRule="auto" w:after="160"/>
        <w:jc w:val="left"/>
      </w:pPr>
      <w:r>
        <w:rPr>
          <w:rFonts w:ascii="Times New Roman" w:hAnsi="Times New Roman"/>
          <w:b/>
          <w:i w:val="0"/>
          <w:sz w:val="26"/>
        </w:rPr>
        <w:t>7.7 Discussion</w:t>
      </w:r>
    </w:p>
    <w:p>
      <w:pPr>
        <w:keepNext/>
        <w:spacing w:line="240" w:lineRule="auto" w:after="120"/>
        <w:jc w:val="left"/>
      </w:pPr>
      <w:r>
        <w:rPr>
          <w:rFonts w:ascii="Times New Roman" w:hAnsi="Times New Roman"/>
          <w:b/>
          <w:i/>
          <w:sz w:val="24"/>
        </w:rPr>
        <w:t>7.7.1 Score the Change, Not the Level</w:t>
      </w:r>
    </w:p>
    <w:p>
      <w:pPr>
        <w:keepNext w:val="0"/>
        <w:spacing w:line="276" w:lineRule="auto" w:after="120"/>
        <w:jc w:val="both"/>
      </w:pPr>
      <w:r>
        <w:rPr>
          <w:rFonts w:ascii="Times New Roman" w:hAnsi="Times New Roman"/>
          <w:b w:val="0"/>
          <w:i w:val="0"/>
          <w:sz w:val="24"/>
        </w:rPr>
        <w:t>One set of forecasts scores an R-squared of 0.9994 on the price and plus 0.00013 on the return. The first number is a property of daily stock prices, matched exactly by naive persistence; only the second says anything about the model. The forecasts themselves vary by 10.8 basis points against a realised 245, which is the model correctly refusing to commit, and that refusal is what produces the flattering price figures. A price-level Random Forest with an R-squared of 0.993 is significantly worse than naive persistence in both spaces. Accuracy claims reported in price units without a persistence baseline cannot be interpreted at all. Return space also localises what little skill exists, to the 2020 to 2021 recovery, and reveals that the model inverted during the crash; neither fact is visible in the price-space numbers.</w:t>
      </w:r>
    </w:p>
    <w:p>
      <w:pPr>
        <w:keepNext/>
        <w:spacing w:line="240" w:lineRule="auto" w:after="120"/>
        <w:jc w:val="left"/>
      </w:pPr>
      <w:r>
        <w:rPr>
          <w:rFonts w:ascii="Times New Roman" w:hAnsi="Times New Roman"/>
          <w:b/>
          <w:i/>
          <w:sz w:val="24"/>
        </w:rPr>
        <w:t>7.7.2 Faithful Does Not Mean the Market Insight Is Real</w:t>
      </w:r>
    </w:p>
    <w:p>
      <w:pPr>
        <w:keepNext w:val="0"/>
        <w:spacing w:line="276" w:lineRule="auto" w:after="120"/>
        <w:jc w:val="both"/>
      </w:pPr>
      <w:r>
        <w:rPr>
          <w:rFonts w:ascii="Times New Roman" w:hAnsi="Times New Roman"/>
          <w:b w:val="0"/>
          <w:i w:val="0"/>
          <w:sz w:val="24"/>
        </w:rPr>
        <w:t>SHAP is faithful, seed-stable and passes the sanity check. Yet SHAP, LIME and mean decrease in impurity all disagree with permutation importance. The resolution is that explanations describe how the model computes its forecast, not which relationships actually predict prices. A faithful explanation of a model with no skill is a faithful explanation of nothing useful. Presenting SHAP or LIME rankings as market insight, as papers 1 and 3 do, conflates the two.</w:t>
      </w:r>
    </w:p>
    <w:p>
      <w:pPr>
        <w:keepNext/>
        <w:spacing w:line="240" w:lineRule="auto" w:after="120"/>
        <w:jc w:val="left"/>
      </w:pPr>
      <w:r>
        <w:rPr>
          <w:rFonts w:ascii="Times New Roman" w:hAnsi="Times New Roman"/>
          <w:b/>
          <w:i/>
          <w:sz w:val="24"/>
        </w:rPr>
        <w:t>7.7.3 For Tree Models, Prefer SHAP to a Single LIME Run</w:t>
      </w:r>
    </w:p>
    <w:p>
      <w:pPr>
        <w:keepNext w:val="0"/>
        <w:spacing w:line="276" w:lineRule="auto" w:after="120"/>
        <w:jc w:val="both"/>
      </w:pPr>
      <w:r>
        <w:rPr>
          <w:rFonts w:ascii="Times New Roman" w:hAnsi="Times New Roman"/>
          <w:b w:val="0"/>
          <w:i w:val="0"/>
          <w:sz w:val="24"/>
        </w:rPr>
        <w:t>LIME agrees with SHAP only moderately even globally, is unstable for individual forecasts, fits the local behaviour poorly, and can flip a feature's sign. A study reporting a single LIME explanation per case, as paper 3 does, risks reporting noise. The practical recommendation is to use TreeSHAP for tree models, which is exact and deterministic, and to keep LIME as a cross-check that is re-run several times before anything is concluded from it.</w:t>
      </w:r>
    </w:p>
    <w:p>
      <w:pPr>
        <w:keepNext/>
        <w:spacing w:line="240" w:lineRule="auto" w:after="120"/>
        <w:jc w:val="left"/>
      </w:pPr>
      <w:r>
        <w:rPr>
          <w:rFonts w:ascii="Times New Roman" w:hAnsi="Times New Roman"/>
          <w:b/>
          <w:i/>
          <w:sz w:val="24"/>
        </w:rPr>
        <w:t>7.7.4 Explanations Are Period and Sector Specific</w:t>
      </w:r>
    </w:p>
    <w:p>
      <w:pPr>
        <w:keepNext w:val="0"/>
        <w:spacing w:line="276" w:lineRule="auto" w:after="120"/>
        <w:jc w:val="both"/>
      </w:pPr>
      <w:r>
        <w:rPr>
          <w:rFonts w:ascii="Times New Roman" w:hAnsi="Times New Roman"/>
          <w:b w:val="0"/>
          <w:i w:val="0"/>
          <w:sz w:val="24"/>
        </w:rPr>
        <w:t>Regime drift at p = 0.003, sector drift at p = 0.001, and the fall in agreement after retraining on pandemic data together mean that an explanation from one period should not be generalised to another. This turns Pagliaro's qualitative regime observation into a formal test on 474 stocks.</w:t>
      </w:r>
    </w:p>
    <w:p>
      <w:pPr>
        <w:keepNext/>
        <w:spacing w:line="240" w:lineRule="auto" w:after="160"/>
        <w:jc w:val="left"/>
      </w:pPr>
      <w:r>
        <w:rPr>
          <w:rFonts w:ascii="Times New Roman" w:hAnsi="Times New Roman"/>
          <w:b/>
          <w:i w:val="0"/>
          <w:sz w:val="26"/>
        </w:rPr>
        <w:t>7.8 Limitations</w:t>
      </w:r>
    </w:p>
    <w:p>
      <w:pPr>
        <w:pStyle w:val="ListBullet"/>
        <w:spacing w:line="276" w:lineRule="auto" w:after="60"/>
        <w:jc w:val="both"/>
      </w:pPr>
      <w:r>
        <w:rPr>
          <w:rFonts w:ascii="Times New Roman" w:hAnsi="Times New Roman"/>
          <w:sz w:val="24"/>
        </w:rPr>
        <w:t>Data. Price and volume only, with no news, fundamentals or macroeconomic inputs; the study panel ends in May 2022; and the 474 stocks were index constituents when the dataset was built, which is a survivorship bias.</w:t>
      </w:r>
    </w:p>
    <w:p>
      <w:pPr>
        <w:pStyle w:val="ListBullet"/>
        <w:spacing w:line="276" w:lineRule="auto" w:after="60"/>
        <w:jc w:val="both"/>
      </w:pPr>
      <w:r>
        <w:rPr>
          <w:rFonts w:ascii="Times New Roman" w:hAnsi="Times New Roman"/>
          <w:sz w:val="24"/>
        </w:rPr>
        <w:t>Explanation methods. TreeSHAP uses the path-dependent algorithm, and interventional SHAP could differ where features are correlated. LIME uses its default quartile discretisation and 5,000 samples; other settings could change its stability.</w:t>
      </w:r>
    </w:p>
    <w:p>
      <w:pPr>
        <w:pStyle w:val="ListBullet"/>
        <w:spacing w:line="276" w:lineRule="auto" w:after="60"/>
        <w:jc w:val="both"/>
      </w:pPr>
      <w:r>
        <w:rPr>
          <w:rFonts w:ascii="Times New Roman" w:hAnsi="Times New Roman"/>
          <w:sz w:val="24"/>
        </w:rPr>
        <w:t>The faithfulness test replaces features with values drawn from random training rows, which can create feature combinations that would not occur in the market.</w:t>
      </w:r>
    </w:p>
    <w:p>
      <w:pPr>
        <w:pStyle w:val="ListBullet"/>
        <w:spacing w:line="276" w:lineRule="auto" w:after="60"/>
        <w:jc w:val="both"/>
      </w:pPr>
      <w:r>
        <w:rPr>
          <w:rFonts w:ascii="Times New Roman" w:hAnsi="Times New Roman"/>
          <w:sz w:val="24"/>
        </w:rPr>
        <w:t>Regimes are calendar-defined, and the COVID crash contains only 23 trading days, so that regime's estimates are the least precise.</w:t>
      </w:r>
    </w:p>
    <w:p>
      <w:pPr>
        <w:pStyle w:val="ListBullet"/>
        <w:spacing w:line="276" w:lineRule="auto" w:after="60"/>
        <w:jc w:val="both"/>
      </w:pPr>
      <w:r>
        <w:rPr>
          <w:rFonts w:ascii="Times New Roman" w:hAnsi="Times New Roman"/>
          <w:sz w:val="24"/>
        </w:rPr>
        <w:t>The decile portfolio charges one flat ten basis point round-trip cost and ignores slippage, market impact, shorting costs and capacity, so the net figure of minus 1.8 basis points a day is an optimistic bound rather than a backtest.</w:t>
      </w:r>
    </w:p>
    <w:p>
      <w:pPr>
        <w:pStyle w:val="ListBullet"/>
        <w:spacing w:line="276" w:lineRule="auto" w:after="60"/>
        <w:jc w:val="both"/>
      </w:pPr>
      <w:r>
        <w:rPr>
          <w:rFonts w:ascii="Times New Roman" w:hAnsi="Times New Roman"/>
          <w:sz w:val="24"/>
        </w:rPr>
        <w:t>The live demonstration draws prices from a different vendor, covers the 431 survivors of the original 474, and scores nothing, because the outcomes do not exist yet. It evidences that the pipeline runs forward; it is not additional evidence of accuracy.</w:t>
      </w:r>
    </w:p>
    <w:p>
      <w:pPr>
        <w:pStyle w:val="ListBullet"/>
        <w:spacing w:line="276" w:lineRule="auto" w:after="60"/>
        <w:jc w:val="both"/>
      </w:pPr>
      <w:r>
        <w:rPr>
          <w:rFonts w:ascii="Times New Roman" w:hAnsi="Times New Roman"/>
          <w:sz w:val="24"/>
        </w:rPr>
        <w:t>Literature gaps are stated from abstracts and publicly available details, and should be verified against the full texts.</w:t>
      </w:r>
    </w:p>
    <w:p>
      <w:pPr>
        <w:keepNext/>
        <w:pageBreakBefore/>
        <w:spacing w:line="360" w:lineRule="auto" w:after="200"/>
        <w:jc w:val="center"/>
      </w:pPr>
      <w:r>
        <w:rPr>
          <w:rFonts w:ascii="Times New Roman" w:hAnsi="Times New Roman"/>
          <w:b/>
          <w:i w:val="0"/>
          <w:sz w:val="28"/>
        </w:rPr>
        <w:t>CHAPTER 8</w:t>
      </w:r>
    </w:p>
    <w:p>
      <w:pPr>
        <w:keepNext/>
        <w:spacing w:line="360" w:lineRule="auto" w:after="320"/>
        <w:jc w:val="center"/>
      </w:pPr>
      <w:r>
        <w:rPr>
          <w:rFonts w:ascii="Times New Roman" w:hAnsi="Times New Roman"/>
          <w:b/>
          <w:i w:val="0"/>
          <w:sz w:val="28"/>
        </w:rPr>
        <w:t>8. CONCLUSION</w:t>
      </w:r>
    </w:p>
    <w:p>
      <w:pPr>
        <w:keepNext/>
        <w:spacing w:line="240" w:lineRule="auto" w:after="160"/>
        <w:jc w:val="left"/>
      </w:pPr>
      <w:r>
        <w:rPr>
          <w:rFonts w:ascii="Times New Roman" w:hAnsi="Times New Roman"/>
          <w:b/>
          <w:i w:val="0"/>
          <w:sz w:val="26"/>
        </w:rPr>
        <w:t>8.1 Conclusion</w:t>
      </w:r>
    </w:p>
    <w:p>
      <w:pPr>
        <w:keepNext w:val="0"/>
        <w:spacing w:line="276" w:lineRule="auto" w:after="120"/>
        <w:jc w:val="both"/>
      </w:pPr>
      <w:r>
        <w:rPr>
          <w:rFonts w:ascii="Times New Roman" w:hAnsi="Times New Roman"/>
          <w:b w:val="0"/>
          <w:i w:val="0"/>
          <w:sz w:val="24"/>
        </w:rPr>
        <w:t>This project built a walk-forward Random Forest forecaster for 474 S&amp;P 500 stocks, measured it honestly, explained it with SHAP and LIME, and then tested whether those explanations could be trusted. The conclusions fall into three groups.</w:t>
      </w:r>
    </w:p>
    <w:p>
      <w:pPr>
        <w:keepNext/>
        <w:spacing w:line="240" w:lineRule="auto" w:after="120"/>
        <w:jc w:val="left"/>
      </w:pPr>
      <w:r>
        <w:rPr>
          <w:rFonts w:ascii="Times New Roman" w:hAnsi="Times New Roman"/>
          <w:b/>
          <w:i/>
          <w:sz w:val="24"/>
        </w:rPr>
        <w:t>8.1.1 On Accuracy</w:t>
      </w:r>
    </w:p>
    <w:p>
      <w:pPr>
        <w:keepNext w:val="0"/>
        <w:spacing w:line="276" w:lineRule="auto" w:after="120"/>
        <w:jc w:val="both"/>
      </w:pPr>
      <w:r>
        <w:rPr>
          <w:rFonts w:ascii="Times New Roman" w:hAnsi="Times New Roman"/>
          <w:b w:val="0"/>
          <w:i w:val="0"/>
          <w:sz w:val="24"/>
        </w:rPr>
        <w:t>The model predicts the next-day return with an out-of-sample R-squared of plus 0.00013, statistically indistinguishable from predicting no change at all, and a directional accuracy of 51.8 per cent, below the 52.8 per cent majority rule. Converted to prices, the identical forecasts read as 98.44 per cent accuracy with an R-squared of 0.9994, a figure naive persistence matches exactly. The decile ranking earns 8.2 basis points a day gross and loses money after a ten basis point trading cost. The headline accuracy figure quoted throughout this literature is, on this evidence, a property of daily stock prices rather than a result.</w:t>
      </w:r>
    </w:p>
    <w:p>
      <w:pPr>
        <w:keepNext/>
        <w:spacing w:line="240" w:lineRule="auto" w:after="120"/>
        <w:jc w:val="left"/>
      </w:pPr>
      <w:r>
        <w:rPr>
          <w:rFonts w:ascii="Times New Roman" w:hAnsi="Times New Roman"/>
          <w:b/>
          <w:i/>
          <w:sz w:val="24"/>
        </w:rPr>
        <w:t>8.1.2 On the Explanations</w:t>
      </w:r>
    </w:p>
    <w:p>
      <w:pPr>
        <w:pStyle w:val="ListBullet"/>
        <w:spacing w:line="276" w:lineRule="auto" w:after="60"/>
        <w:jc w:val="both"/>
      </w:pPr>
      <w:r>
        <w:rPr>
          <w:rFonts w:ascii="Times New Roman" w:hAnsi="Times New Roman"/>
          <w:sz w:val="24"/>
        </w:rPr>
        <w:t>SHAP explanations are faithful, with a fidelity correlation of at least 0.98 and a 13-fold separation from random deletion, and stable to the random seed at tau 0.85.</w:t>
      </w:r>
    </w:p>
    <w:p>
      <w:pPr>
        <w:pStyle w:val="ListBullet"/>
        <w:spacing w:line="276" w:lineRule="auto" w:after="60"/>
        <w:jc w:val="both"/>
      </w:pPr>
      <w:r>
        <w:rPr>
          <w:rFonts w:ascii="Times New Roman" w:hAnsi="Times New Roman"/>
          <w:sz w:val="24"/>
        </w:rPr>
        <w:t>They are clearly different from the explanations of a model with no signal, but a model that can learn only market-wide timing reproduces 94 per cent of their magnitude, so they are mostly about market context.</w:t>
      </w:r>
    </w:p>
    <w:p>
      <w:pPr>
        <w:pStyle w:val="ListBullet"/>
        <w:spacing w:line="276" w:lineRule="auto" w:after="60"/>
        <w:jc w:val="both"/>
      </w:pPr>
      <w:r>
        <w:rPr>
          <w:rFonts w:ascii="Times New Roman" w:hAnsi="Times New Roman"/>
          <w:sz w:val="24"/>
        </w:rPr>
        <w:t>They drift significantly across market regimes and sectors, and after retraining on pandemic data.</w:t>
      </w:r>
    </w:p>
    <w:p>
      <w:pPr>
        <w:pStyle w:val="ListBullet"/>
        <w:spacing w:line="276" w:lineRule="auto" w:after="60"/>
        <w:jc w:val="both"/>
      </w:pPr>
      <w:r>
        <w:rPr>
          <w:rFonts w:ascii="Times New Roman" w:hAnsi="Times New Roman"/>
          <w:sz w:val="24"/>
        </w:rPr>
        <w:t>LIME agrees with SHAP only moderately even globally, is unstable between runs at rho 0.45, fits the model poorly at a median surrogate R-squared of 0.17, and names a different top feature on 41 per cent of forecasts.</w:t>
      </w:r>
    </w:p>
    <w:p>
      <w:pPr>
        <w:pStyle w:val="ListBullet"/>
        <w:spacing w:line="276" w:lineRule="auto" w:after="60"/>
        <w:jc w:val="both"/>
      </w:pPr>
      <w:r>
        <w:rPr>
          <w:rFonts w:ascii="Times New Roman" w:hAnsi="Times New Roman"/>
          <w:sz w:val="24"/>
        </w:rPr>
        <w:t>Neither method identifies the features that actually improve accuracy, which is a different question from the one either method answers.</w:t>
      </w:r>
    </w:p>
    <w:p>
      <w:pPr>
        <w:keepNext/>
        <w:spacing w:line="240" w:lineRule="auto" w:after="120"/>
        <w:jc w:val="left"/>
      </w:pPr>
      <w:r>
        <w:rPr>
          <w:rFonts w:ascii="Times New Roman" w:hAnsi="Times New Roman"/>
          <w:b/>
          <w:i/>
          <w:sz w:val="24"/>
        </w:rPr>
        <w:t>8.1.3 On the Audit Itself</w:t>
      </w:r>
    </w:p>
    <w:p>
      <w:pPr>
        <w:keepNext w:val="0"/>
        <w:spacing w:line="276" w:lineRule="auto" w:after="120"/>
        <w:jc w:val="both"/>
      </w:pPr>
      <w:r>
        <w:rPr>
          <w:rFonts w:ascii="Times New Roman" w:hAnsi="Times New Roman"/>
          <w:b w:val="0"/>
          <w:i w:val="0"/>
          <w:sz w:val="24"/>
        </w:rPr>
        <w:t>The audit found a defect in the audit tool. LimeTabularExplainer binds its random state at construction, so the natural usage pattern of reassigning that attribute between runs leaves repeats non-identical, at a measured rho of 0.46 to 0.53 where it should be exactly 1.000. Correcting it moved the headline SHAP-LIME agreement from tau 0.73 down to tau 0.58. A reliability study that does not check its own tooling can report the inflated figure without ever seeing the problem.</w:t>
      </w:r>
    </w:p>
    <w:p>
      <w:pPr>
        <w:keepNext w:val="0"/>
        <w:spacing w:line="276" w:lineRule="auto" w:after="120"/>
        <w:jc w:val="both"/>
      </w:pPr>
      <w:r>
        <w:rPr>
          <w:rFonts w:ascii="Times New Roman" w:hAnsi="Times New Roman"/>
          <w:b w:val="0"/>
          <w:i w:val="0"/>
          <w:sz w:val="24"/>
        </w:rPr>
        <w:t>Finally, the pipeline runs forward. The same features, hyperparameters and explanation code produce next-session forecasts for 431 currently traded stocks, explained and audited at request time. This demonstrates that no step depends on knowing the outcome. It does not improve the accuracy reported above, and the system says so on the page.</w:t>
      </w:r>
    </w:p>
    <w:p>
      <w:pPr>
        <w:keepNext/>
        <w:spacing w:line="240" w:lineRule="auto" w:after="160"/>
        <w:jc w:val="left"/>
      </w:pPr>
      <w:r>
        <w:rPr>
          <w:rFonts w:ascii="Times New Roman" w:hAnsi="Times New Roman"/>
          <w:b/>
          <w:i w:val="0"/>
          <w:sz w:val="26"/>
        </w:rPr>
        <w:t>8.2 Recommendations for Stock-Forecasting Studies</w:t>
      </w:r>
    </w:p>
    <w:p>
      <w:pPr>
        <w:spacing w:line="276" w:lineRule="auto" w:after="60"/>
        <w:ind w:left="567" w:hanging="567"/>
        <w:jc w:val="both"/>
      </w:pPr>
      <w:r>
        <w:rPr>
          <w:rFonts w:ascii="Times New Roman" w:hAnsi="Times New Roman"/>
          <w:sz w:val="24"/>
        </w:rPr>
        <w:t>1.</w:t>
        <w:tab/>
        <w:t>Benchmark accuracy against naive persistence, and report the benchmark's score beside the model's.</w:t>
      </w:r>
    </w:p>
    <w:p>
      <w:pPr>
        <w:spacing w:line="276" w:lineRule="auto" w:after="60"/>
        <w:ind w:left="567" w:hanging="567"/>
        <w:jc w:val="both"/>
      </w:pPr>
      <w:r>
        <w:rPr>
          <w:rFonts w:ascii="Times New Roman" w:hAnsi="Times New Roman"/>
          <w:sz w:val="24"/>
        </w:rPr>
        <w:t>2.</w:t>
        <w:tab/>
        <w:t>Report skill in return space, and treat price-level R-squared and accuracy percentages as descriptive statistics of the price series rather than as results.</w:t>
      </w:r>
    </w:p>
    <w:p>
      <w:pPr>
        <w:spacing w:line="276" w:lineRule="auto" w:after="60"/>
        <w:ind w:left="567" w:hanging="567"/>
        <w:jc w:val="both"/>
      </w:pPr>
      <w:r>
        <w:rPr>
          <w:rFonts w:ascii="Times New Roman" w:hAnsi="Times New Roman"/>
          <w:sz w:val="24"/>
        </w:rPr>
        <w:t>3.</w:t>
        <w:tab/>
        <w:t>Prefer TreeSHAP to single LIME runs for tree models, and re-run LIME several times before drawing any conclusion from it.</w:t>
      </w:r>
    </w:p>
    <w:p>
      <w:pPr>
        <w:spacing w:line="276" w:lineRule="auto" w:after="60"/>
        <w:ind w:left="567" w:hanging="567"/>
        <w:jc w:val="both"/>
      </w:pPr>
      <w:r>
        <w:rPr>
          <w:rFonts w:ascii="Times New Roman" w:hAnsi="Times New Roman"/>
          <w:sz w:val="24"/>
        </w:rPr>
        <w:t>4.</w:t>
        <w:tab/>
        <w:t>Test explanations for faithfulness, stability, sanity and regime drift before reading them as market insight.</w:t>
      </w:r>
    </w:p>
    <w:p>
      <w:pPr>
        <w:spacing w:line="276" w:lineRule="auto" w:after="60"/>
        <w:ind w:left="567" w:hanging="567"/>
        <w:jc w:val="both"/>
      </w:pPr>
      <w:r>
        <w:rPr>
          <w:rFonts w:ascii="Times New Roman" w:hAnsi="Times New Roman"/>
          <w:sz w:val="24"/>
        </w:rPr>
        <w:t>5.</w:t>
        <w:tab/>
        <w:t>Seed and verify the explanation tooling itself, because a defect there is indistinguishable from a finding.</w:t>
      </w:r>
    </w:p>
    <w:p>
      <w:pPr>
        <w:keepNext/>
        <w:spacing w:line="240" w:lineRule="auto" w:after="160"/>
        <w:jc w:val="left"/>
      </w:pPr>
      <w:r>
        <w:rPr>
          <w:rFonts w:ascii="Times New Roman" w:hAnsi="Times New Roman"/>
          <w:b/>
          <w:i w:val="0"/>
          <w:sz w:val="26"/>
        </w:rPr>
        <w:t>8.3 Future Work</w:t>
      </w:r>
    </w:p>
    <w:p>
      <w:pPr>
        <w:pStyle w:val="ListBullet"/>
        <w:spacing w:line="276" w:lineRule="auto" w:after="60"/>
        <w:jc w:val="both"/>
      </w:pPr>
      <w:r>
        <w:rPr>
          <w:rFonts w:ascii="Times New Roman" w:hAnsi="Times New Roman"/>
          <w:sz w:val="24"/>
        </w:rPr>
        <w:t>Extend the audit to interventional SHAP, which handles correlated features differently from the path-dependent algorithm used here, and compare the two rankings on the same forecasts.</w:t>
      </w:r>
    </w:p>
    <w:p>
      <w:pPr>
        <w:pStyle w:val="ListBullet"/>
        <w:spacing w:line="276" w:lineRule="auto" w:after="60"/>
        <w:jc w:val="both"/>
      </w:pPr>
      <w:r>
        <w:rPr>
          <w:rFonts w:ascii="Times New Roman" w:hAnsi="Times New Roman"/>
          <w:sz w:val="24"/>
        </w:rPr>
        <w:t>Replace the random-background deletion test with one that samples feature values conditionally, so that the perturbed inputs remain plausible market states.</w:t>
      </w:r>
    </w:p>
    <w:p>
      <w:pPr>
        <w:pStyle w:val="ListBullet"/>
        <w:spacing w:line="276" w:lineRule="auto" w:after="60"/>
        <w:jc w:val="both"/>
      </w:pPr>
      <w:r>
        <w:rPr>
          <w:rFonts w:ascii="Times New Roman" w:hAnsi="Times New Roman"/>
          <w:sz w:val="24"/>
        </w:rPr>
        <w:t>Apply the same five-part audit to a gradient-boosted model and to a neural forecaster, to establish whether the reliability ordering between SHAP and LIME is a property of the explainers or of the model family.</w:t>
      </w:r>
    </w:p>
    <w:p>
      <w:pPr>
        <w:pStyle w:val="ListBullet"/>
        <w:spacing w:line="276" w:lineRule="auto" w:after="60"/>
        <w:jc w:val="both"/>
      </w:pPr>
      <w:r>
        <w:rPr>
          <w:rFonts w:ascii="Times New Roman" w:hAnsi="Times New Roman"/>
          <w:sz w:val="24"/>
        </w:rPr>
        <w:t>Define market regimes by a fitted change-point or hidden Markov model rather than by calendar boundaries, which would remove the dependence on hindsight in regime selection.</w:t>
      </w:r>
    </w:p>
    <w:p>
      <w:pPr>
        <w:pStyle w:val="ListBullet"/>
        <w:spacing w:line="276" w:lineRule="auto" w:after="60"/>
        <w:jc w:val="both"/>
      </w:pPr>
      <w:r>
        <w:rPr>
          <w:rFonts w:ascii="Times New Roman" w:hAnsi="Times New Roman"/>
          <w:sz w:val="24"/>
        </w:rPr>
        <w:t>Extend the feature set to news and fundamental data, and test whether explanation drift across regimes narrows once the model has access to the information that drives those regimes.</w:t>
      </w:r>
    </w:p>
    <w:p>
      <w:pPr>
        <w:pStyle w:val="ListBullet"/>
        <w:spacing w:line="276" w:lineRule="auto" w:after="60"/>
        <w:jc w:val="both"/>
      </w:pPr>
      <w:r>
        <w:rPr>
          <w:rFonts w:ascii="Times New Roman" w:hAnsi="Times New Roman"/>
          <w:sz w:val="24"/>
        </w:rPr>
        <w:t>Accumulate the live forecasts over a sustained period so that, in time, the forward-running pipeline produces a scored out-of-sample record of its own.</w:t>
      </w:r>
    </w:p>
    <w:p>
      <w:pPr>
        <w:keepNext/>
        <w:pageBreakBefore/>
        <w:spacing w:line="360" w:lineRule="auto" w:after="200"/>
        <w:jc w:val="center"/>
      </w:pPr>
      <w:r>
        <w:rPr>
          <w:rFonts w:ascii="Times New Roman" w:hAnsi="Times New Roman"/>
          <w:b/>
          <w:i w:val="0"/>
          <w:sz w:val="28"/>
        </w:rPr>
        <w:t>CHAPTER 9</w:t>
      </w:r>
    </w:p>
    <w:p>
      <w:pPr>
        <w:keepNext/>
        <w:spacing w:line="360" w:lineRule="auto" w:after="320"/>
        <w:jc w:val="center"/>
      </w:pPr>
      <w:r>
        <w:rPr>
          <w:rFonts w:ascii="Times New Roman" w:hAnsi="Times New Roman"/>
          <w:b/>
          <w:i w:val="0"/>
          <w:sz w:val="28"/>
        </w:rPr>
        <w:t>9. REFERENCES</w:t>
      </w:r>
    </w:p>
    <w:p>
      <w:pPr>
        <w:spacing w:line="276" w:lineRule="auto" w:after="160"/>
        <w:ind w:left="567" w:hanging="567"/>
        <w:jc w:val="both"/>
      </w:pPr>
      <w:r>
        <w:rPr>
          <w:rFonts w:ascii="Times New Roman" w:hAnsi="Times New Roman"/>
          <w:sz w:val="22"/>
        </w:rPr>
        <w:t>[1]</w:t>
        <w:tab/>
        <w:t>S. Indra, S. Supian, Sukono, R. Riaman, M. P. A. Saputra, A. S. Azahra, and D. I. Pirdaus, "Stock return prediction on the LQ45 market index in the Indonesia Stock Exchange using a machine learning algorithm based on technical indicators," Journal of Risk and Financial Management, vol. 18, no. 12, 714, 2025. doi: 10.3390/jrfm18120714.</w:t>
      </w:r>
    </w:p>
    <w:p>
      <w:pPr>
        <w:spacing w:line="276" w:lineRule="auto" w:after="160"/>
        <w:ind w:left="567" w:hanging="567"/>
        <w:jc w:val="both"/>
      </w:pPr>
      <w:r>
        <w:rPr>
          <w:rFonts w:ascii="Times New Roman" w:hAnsi="Times New Roman"/>
          <w:sz w:val="22"/>
        </w:rPr>
        <w:t>[2]</w:t>
        <w:tab/>
        <w:t>J. Lee and L. Cai, "Comparing model-specific and model-agnostic feature importance methods using machine learning with technical indicators: A NASDAQ sector-based study," Machine Learning with Applications, 2025. doi: 10.1016/j.mlwa.2025.100799.</w:t>
      </w:r>
    </w:p>
    <w:p>
      <w:pPr>
        <w:spacing w:line="276" w:lineRule="auto" w:after="160"/>
        <w:ind w:left="567" w:hanging="567"/>
        <w:jc w:val="both"/>
      </w:pPr>
      <w:r>
        <w:rPr>
          <w:rFonts w:ascii="Times New Roman" w:hAnsi="Times New Roman"/>
          <w:sz w:val="22"/>
        </w:rPr>
        <w:t>[3]</w:t>
        <w:tab/>
        <w:t>K. W. Manikrao, S. Allagi, W. Y. Leong, and M. Laddi, "An explainable AI for stock market prediction: A machine learning approach with XAI and deep neural networks," Journal of Computational and Cognitive Engineering, 2025. doi: 10.47852/bonviewjcce52026428.</w:t>
      </w:r>
    </w:p>
    <w:p>
      <w:pPr>
        <w:spacing w:line="276" w:lineRule="auto" w:after="160"/>
        <w:ind w:left="567" w:hanging="567"/>
        <w:jc w:val="both"/>
      </w:pPr>
      <w:r>
        <w:rPr>
          <w:rFonts w:ascii="Times New Roman" w:hAnsi="Times New Roman"/>
          <w:sz w:val="22"/>
        </w:rPr>
        <w:t>[4]</w:t>
        <w:tab/>
        <w:t>A. Pagliaro, "Regime-aware LightGBM for stock market forecasting: A validated walk-forward framework with statistical rigor and explainable AI analysis," Electronics, vol. 15, no. 6, 1334, 2026. doi: 10.3390/electronics15061334.</w:t>
      </w:r>
    </w:p>
    <w:p>
      <w:pPr>
        <w:spacing w:line="276" w:lineRule="auto" w:after="160"/>
        <w:ind w:left="567" w:hanging="567"/>
        <w:jc w:val="both"/>
      </w:pPr>
      <w:r>
        <w:rPr>
          <w:rFonts w:ascii="Times New Roman" w:hAnsi="Times New Roman"/>
          <w:sz w:val="22"/>
        </w:rPr>
        <w:t>[5]</w:t>
        <w:tab/>
        <w:t>Y. Song, W. Cho, S. I. Han, and J. Yoo, "Attention integration strategies in MLP-based stock movement prediction: Effects on performance, stability, and interpretability," Electronics, vol. 15, no. 17, 3942, 2026. doi: 10.3390/electronics15173942.</w:t>
      </w:r>
    </w:p>
    <w:p>
      <w:pPr>
        <w:spacing w:line="276" w:lineRule="auto" w:after="160"/>
        <w:ind w:left="567" w:hanging="567"/>
        <w:jc w:val="both"/>
      </w:pPr>
      <w:r>
        <w:rPr>
          <w:rFonts w:ascii="Times New Roman" w:hAnsi="Times New Roman"/>
          <w:sz w:val="22"/>
        </w:rPr>
        <w:t>[6]</w:t>
        <w:tab/>
        <w:t>L. Breiman, "Random forests," Machine Learning, vol. 45, no. 1, pp. 5-32, 2001. doi: 10.1023/A:1010933404324.</w:t>
      </w:r>
    </w:p>
    <w:p>
      <w:pPr>
        <w:spacing w:line="276" w:lineRule="auto" w:after="160"/>
        <w:ind w:left="567" w:hanging="567"/>
        <w:jc w:val="both"/>
      </w:pPr>
      <w:r>
        <w:rPr>
          <w:rFonts w:ascii="Times New Roman" w:hAnsi="Times New Roman"/>
          <w:sz w:val="22"/>
        </w:rPr>
        <w:t>[7]</w:t>
        <w:tab/>
        <w:t>S. M. Lundberg, G. Erion, H. Chen, A. DeGrave, J. M. Prutkin, B. Nair, R. Katz, J. Himmelfarb, N. Bansal, and S.-I. Lee, "From local explanations to global understanding with explainable AI for trees," Nature Machine Intelligence, vol. 2, pp. 56-67, 2020. doi: 10.1038/s42256-019-0138-9.</w:t>
      </w:r>
    </w:p>
    <w:p>
      <w:pPr>
        <w:spacing w:line="276" w:lineRule="auto" w:after="160"/>
        <w:ind w:left="567" w:hanging="567"/>
        <w:jc w:val="both"/>
      </w:pPr>
      <w:r>
        <w:rPr>
          <w:rFonts w:ascii="Times New Roman" w:hAnsi="Times New Roman"/>
          <w:sz w:val="22"/>
        </w:rPr>
        <w:t>[8]</w:t>
        <w:tab/>
        <w:t>M. T. Ribeiro, S. Singh, and C. Guestrin, "Why should I trust you? Explaining the predictions of any classifier," in Proc. 22nd ACM SIGKDD International Conference on Knowledge Discovery and Data Mining (KDD), 2016, pp. 1135-1144. doi: 10.1145/2939672.2939778.</w:t>
      </w:r>
    </w:p>
    <w:p>
      <w:pPr>
        <w:spacing w:line="276" w:lineRule="auto" w:after="160"/>
        <w:ind w:left="567" w:hanging="567"/>
        <w:jc w:val="both"/>
      </w:pPr>
      <w:r>
        <w:rPr>
          <w:rFonts w:ascii="Times New Roman" w:hAnsi="Times New Roman"/>
          <w:sz w:val="22"/>
        </w:rPr>
        <w:t>[9]</w:t>
        <w:tab/>
        <w:t>F. X. Diebold and R. S. Mariano, "Comparing predictive accuracy," Journal of Business and Economic Statistics, vol. 13, no. 3, pp. 253-263, 1995. doi: 10.1080/07350015.1995.10524599.</w:t>
      </w:r>
    </w:p>
    <w:p>
      <w:pPr>
        <w:spacing w:line="276" w:lineRule="auto" w:after="160"/>
        <w:ind w:left="567" w:hanging="567"/>
        <w:jc w:val="both"/>
      </w:pPr>
      <w:r>
        <w:rPr>
          <w:rFonts w:ascii="Times New Roman" w:hAnsi="Times New Roman"/>
          <w:sz w:val="22"/>
        </w:rPr>
        <w:t>[10]</w:t>
        <w:tab/>
        <w:t>J. Adebayo, J. Gilmer, M. Muelly, I. Goodfellow, M. Hardt, and B. Kim, "Sanity checks for saliency maps," in Advances in Neural Information Processing Systems (NeurIPS), 2018, pp. 9505-9515.</w:t>
      </w:r>
    </w:p>
    <w:p>
      <w:pPr>
        <w:spacing w:line="276" w:lineRule="auto" w:after="160"/>
        <w:ind w:left="567" w:hanging="567"/>
        <w:jc w:val="both"/>
      </w:pPr>
      <w:r>
        <w:rPr>
          <w:rFonts w:ascii="Times New Roman" w:hAnsi="Times New Roman"/>
          <w:sz w:val="22"/>
        </w:rPr>
        <w:t>[11]</w:t>
        <w:tab/>
        <w:t>T. T. Huynh, M. H. Nguyen, T. T. Nguyen, P. L. Nguyen, M. Weidlich, Q. V. H. Nguyen, and K. Aberer, "Efficient integration of multi-order dynamics and internal dynamics in stock movement prediction," in Proc. 16th ACM International Conference on Web Search and Data Mining (WSDM), 2023, pp. 850-858. doi: 10.1145/3539597.3570427.</w:t>
      </w:r>
    </w:p>
    <w:p>
      <w:pPr>
        <w:spacing w:line="276" w:lineRule="auto" w:after="160"/>
        <w:ind w:left="567" w:hanging="567"/>
        <w:jc w:val="both"/>
      </w:pPr>
      <w:r>
        <w:rPr>
          <w:rFonts w:ascii="Times New Roman" w:hAnsi="Times New Roman"/>
          <w:sz w:val="22"/>
        </w:rPr>
        <w:t>[12]</w:t>
        <w:tab/>
        <w:t>J. Fan and Y. Shen, "StockMixer: A simple yet strong MLP-based architecture for stock price forecasting," in Proc. AAAI Conference on Artificial Intelligence, vol. 38, 2024, pp. 8389-8397. doi: 10.1609/aaai.v38i8.28681.</w:t>
      </w:r>
    </w:p>
    <w:p>
      <w:pPr>
        <w:spacing w:line="276" w:lineRule="auto" w:after="160"/>
        <w:ind w:left="567" w:hanging="567"/>
        <w:jc w:val="both"/>
      </w:pPr>
      <w:r>
        <w:rPr>
          <w:rFonts w:ascii="Times New Roman" w:hAnsi="Times New Roman"/>
          <w:sz w:val="22"/>
        </w:rPr>
        <w:t>[13]</w:t>
        <w:tab/>
        <w:t>F. Pedregosa, G. Varoquaux, A. Gramfort, V. Michel, B. Thirion, O. Grisel, M. Blondel, P. Prettenhofer, R. Weiss, V. Dubourg, J. Vanderplas, A. Passos, D. Cournapeau, M. Brucher, M. Perrot, and E. Duchesnay, "Scikit-learn: Machine learning in Python," Journal of Machine Learning Research, vol. 12, pp. 2825-2830, 2011.</w:t>
      </w:r>
    </w:p>
    <w:p>
      <w:pPr>
        <w:spacing w:line="276" w:lineRule="auto" w:after="160"/>
        <w:ind w:left="567" w:hanging="567"/>
        <w:jc w:val="both"/>
      </w:pPr>
      <w:r>
        <w:rPr>
          <w:rFonts w:ascii="Times New Roman" w:hAnsi="Times New Roman"/>
          <w:sz w:val="22"/>
        </w:rPr>
        <w:t>[14]</w:t>
        <w:tab/>
        <w:t>W. K. Newey and K. D. West, "A simple, positive semi-definite, heteroskedasticity and autocorrelation consistent covariance matrix," Econometrica, vol. 55, no. 3, pp. 703-708, 1987. doi: 10.2307/1913610.</w:t>
      </w:r>
    </w:p>
    <w:p>
      <w:pPr>
        <w:keepNext/>
        <w:pageBreakBefore/>
        <w:spacing w:line="360" w:lineRule="auto" w:after="320"/>
        <w:jc w:val="center"/>
      </w:pPr>
      <w:r>
        <w:rPr>
          <w:rFonts w:ascii="Times New Roman" w:hAnsi="Times New Roman"/>
          <w:b/>
          <w:i w:val="0"/>
          <w:sz w:val="28"/>
        </w:rPr>
        <w:t>APPENDIX A - SAMPLE CODE</w:t>
      </w:r>
    </w:p>
    <w:p>
      <w:pPr>
        <w:keepNext w:val="0"/>
        <w:spacing w:line="276" w:lineRule="auto" w:after="120"/>
        <w:jc w:val="both"/>
      </w:pPr>
      <w:r>
        <w:rPr>
          <w:rFonts w:ascii="Times New Roman" w:hAnsi="Times New Roman"/>
          <w:b w:val="0"/>
          <w:i w:val="0"/>
          <w:sz w:val="24"/>
        </w:rPr>
        <w:t>The complete source is 3,249 lines across 13 modules, available in the project repository. The four excerpts below are the passages on which the project's claims depend; each is reproduced exactly as it runs.</w:t>
      </w:r>
    </w:p>
    <w:p>
      <w:pPr>
        <w:keepNext/>
        <w:spacing w:line="240" w:lineRule="auto" w:after="120"/>
        <w:jc w:val="left"/>
      </w:pPr>
      <w:r>
        <w:rPr>
          <w:rFonts w:ascii="Times New Roman" w:hAnsi="Times New Roman"/>
          <w:b/>
          <w:i w:val="0"/>
          <w:sz w:val="24"/>
        </w:rPr>
        <w:t>Feature Construction, Showing Leakage Control</w:t>
      </w:r>
    </w:p>
    <w:p>
      <w:pPr>
        <w:keepNext w:val="0"/>
        <w:spacing w:line="276" w:lineRule="auto" w:after="120"/>
        <w:jc w:val="both"/>
      </w:pPr>
      <w:r>
        <w:rPr>
          <w:rFonts w:ascii="Times New Roman" w:hAnsi="Times New Roman"/>
          <w:b w:val="0"/>
          <w:i w:val="0"/>
          <w:sz w:val="24"/>
        </w:rPr>
        <w:t>Features are built on wide tables indexed by date and ticker, so every backward shift is explicit and inspectable. The targets are produced by shifting forward, which is the only place in the pipeline where a future value is referenced at all. From features.py.</w:t>
      </w:r>
    </w:p>
    <w:p>
      <w:pPr>
        <w:spacing w:line="240" w:lineRule="auto" w:after="0"/>
        <w:ind w:left="454"/>
        <w:jc w:val="left"/>
      </w:pPr>
      <w:r>
        <w:rPr>
          <w:rFonts w:ascii="Consolas" w:hAnsi="Consolas"/>
          <w:sz w:val="15"/>
        </w:rPr>
        <w:t>def build(panel):</w:t>
      </w:r>
    </w:p>
    <w:p>
      <w:pPr>
        <w:spacing w:line="240" w:lineRule="auto" w:after="0"/>
        <w:ind w:left="454"/>
        <w:jc w:val="left"/>
      </w:pPr>
      <w:r>
        <w:rPr>
          <w:rFonts w:ascii="Consolas" w:hAnsi="Consolas"/>
          <w:sz w:val="15"/>
        </w:rPr>
        <w:t xml:space="preserve">    wide = {c: panel.pivot(index="date", columns="ticker", values=c)</w:t>
      </w:r>
    </w:p>
    <w:p>
      <w:pPr>
        <w:spacing w:line="240" w:lineRule="auto" w:after="0"/>
        <w:ind w:left="454"/>
        <w:jc w:val="left"/>
      </w:pPr>
      <w:r>
        <w:rPr>
          <w:rFonts w:ascii="Consolas" w:hAnsi="Consolas"/>
          <w:sz w:val="15"/>
        </w:rPr>
        <w:t xml:space="preserve">            for c in ("open", "high", "low", "close", "volume")}</w:t>
      </w:r>
    </w:p>
    <w:p>
      <w:pPr>
        <w:spacing w:line="240" w:lineRule="auto" w:after="0"/>
        <w:ind w:left="454"/>
        <w:jc w:val="left"/>
      </w:pPr>
      <w:r>
        <w:rPr>
          <w:rFonts w:ascii="Consolas" w:hAnsi="Consolas"/>
          <w:sz w:val="15"/>
        </w:rPr>
        <w:t xml:space="preserve">    o, h, l, c, v = (wide[k] for k in ("open", "high", "low", "close", "volume"))</w:t>
      </w:r>
    </w:p>
    <w:p>
      <w:pPr>
        <w:spacing w:line="240" w:lineRule="auto" w:after="0"/>
        <w:ind w:left="454"/>
        <w:jc w:val="left"/>
      </w:pPr>
      <w:r>
        <w:rPr>
          <w:rFonts w:ascii="Consolas" w:hAnsi="Consolas"/>
          <w:sz w:val="15"/>
        </w:rPr>
        <w:t xml:space="preserve">    logc = np.log(c)</w:t>
      </w:r>
    </w:p>
    <w:p>
      <w:pPr>
        <w:spacing w:line="240" w:lineRule="auto" w:after="0"/>
        <w:ind w:left="454"/>
        <w:jc w:val="left"/>
      </w:pPr>
      <w:r>
        <w:rPr>
          <w:rFonts w:ascii="Consolas" w:hAnsi="Consolas"/>
          <w:sz w:val="15"/>
        </w:rPr>
        <w:t xml:space="preserve">    r1 = logc.diff()</w:t>
      </w:r>
    </w:p>
    <w:p>
      <w:pPr>
        <w:spacing w:line="240" w:lineRule="auto" w:after="0"/>
        <w:ind w:left="454"/>
        <w:jc w:val="left"/>
      </w:pPr>
      <w:r>
        <w:rPr>
          <w:rFonts w:ascii="Consolas" w:hAnsi="Consolas"/>
          <w:sz w:val="15"/>
        </w:rPr>
        <w:t xml:space="preserve">    f = {}</w:t>
      </w:r>
    </w:p>
    <w:p>
      <w:pPr>
        <w:spacing w:line="240" w:lineRule="auto" w:after="0"/>
        <w:ind w:left="454"/>
        <w:jc w:val="left"/>
      </w:pPr>
      <w:r>
        <w:rPr>
          <w:rFonts w:ascii="Consolas" w:hAnsi="Consolas"/>
          <w:sz w:val="15"/>
        </w:rPr>
        <w:t xml:space="preserve"> </w:t>
      </w:r>
    </w:p>
    <w:p>
      <w:pPr>
        <w:spacing w:line="240" w:lineRule="auto" w:after="0"/>
        <w:ind w:left="454"/>
        <w:jc w:val="left"/>
      </w:pPr>
      <w:r>
        <w:rPr>
          <w:rFonts w:ascii="Consolas" w:hAnsi="Consolas"/>
          <w:sz w:val="15"/>
        </w:rPr>
        <w:t xml:space="preserve">    for n in (1, 2, 5, 10, 20, 60):</w:t>
      </w:r>
    </w:p>
    <w:p>
      <w:pPr>
        <w:spacing w:line="240" w:lineRule="auto" w:after="0"/>
        <w:ind w:left="454"/>
        <w:jc w:val="left"/>
      </w:pPr>
      <w:r>
        <w:rPr>
          <w:rFonts w:ascii="Consolas" w:hAnsi="Consolas"/>
          <w:sz w:val="15"/>
        </w:rPr>
        <w:t xml:space="preserve">        f[f"ret_{n}d"] = logc.diff(n)</w:t>
      </w:r>
    </w:p>
    <w:p>
      <w:pPr>
        <w:spacing w:line="240" w:lineRule="auto" w:after="0"/>
        <w:ind w:left="454"/>
        <w:jc w:val="left"/>
      </w:pPr>
      <w:r>
        <w:rPr>
          <w:rFonts w:ascii="Consolas" w:hAnsi="Consolas"/>
          <w:sz w:val="15"/>
        </w:rPr>
        <w:t xml:space="preserve">    for n in (5, 20, 50, 200):</w:t>
      </w:r>
    </w:p>
    <w:p>
      <w:pPr>
        <w:spacing w:line="240" w:lineRule="auto" w:after="0"/>
        <w:ind w:left="454"/>
        <w:jc w:val="left"/>
      </w:pPr>
      <w:r>
        <w:rPr>
          <w:rFonts w:ascii="Consolas" w:hAnsi="Consolas"/>
          <w:sz w:val="15"/>
        </w:rPr>
        <w:t xml:space="preserve">        f[f"dist_sma{n}"] = c / c.rolling(n, min_periods=n).mean() - 1</w:t>
      </w:r>
    </w:p>
    <w:p>
      <w:pPr>
        <w:spacing w:line="240" w:lineRule="auto" w:after="0"/>
        <w:ind w:left="454"/>
        <w:jc w:val="left"/>
      </w:pPr>
      <w:r>
        <w:rPr>
          <w:rFonts w:ascii="Consolas" w:hAnsi="Consolas"/>
          <w:sz w:val="15"/>
        </w:rPr>
        <w:t xml:space="preserve">    ...</w:t>
      </w:r>
    </w:p>
    <w:p>
      <w:pPr>
        <w:spacing w:line="240" w:lineRule="auto" w:after="0"/>
        <w:ind w:left="454"/>
        <w:jc w:val="left"/>
      </w:pPr>
      <w:r>
        <w:rPr>
          <w:rFonts w:ascii="Consolas" w:hAnsi="Consolas"/>
          <w:sz w:val="15"/>
        </w:rPr>
        <w:t xml:space="preserve">    # Targets: next trading day's log return and close price.</w:t>
      </w:r>
    </w:p>
    <w:p>
      <w:pPr>
        <w:spacing w:line="240" w:lineRule="auto" w:after="0"/>
        <w:ind w:left="454"/>
        <w:jc w:val="left"/>
      </w:pPr>
      <w:r>
        <w:rPr>
          <w:rFonts w:ascii="Consolas" w:hAnsi="Consolas"/>
          <w:sz w:val="15"/>
        </w:rPr>
        <w:t xml:space="preserve">    next_ret = logc.shift(-1) - logc</w:t>
      </w:r>
    </w:p>
    <w:p>
      <w:pPr>
        <w:spacing w:line="240" w:lineRule="auto" w:after="0"/>
        <w:ind w:left="454"/>
        <w:jc w:val="left"/>
      </w:pPr>
      <w:r>
        <w:rPr>
          <w:rFonts w:ascii="Consolas" w:hAnsi="Consolas"/>
          <w:sz w:val="15"/>
        </w:rPr>
        <w:t xml:space="preserve">    next_close = c.shift(-1)</w:t>
      </w:r>
    </w:p>
    <w:p>
      <w:pPr>
        <w:keepNext w:val="0"/>
        <w:spacing w:line="276" w:lineRule="auto" w:after="80"/>
        <w:jc w:val="both"/>
      </w:pPr>
    </w:p>
    <w:p>
      <w:pPr>
        <w:keepNext/>
        <w:spacing w:line="240" w:lineRule="auto" w:after="120"/>
        <w:jc w:val="left"/>
      </w:pPr>
      <w:r>
        <w:rPr>
          <w:rFonts w:ascii="Times New Roman" w:hAnsi="Times New Roman"/>
          <w:b/>
          <w:i w:val="0"/>
          <w:sz w:val="24"/>
        </w:rPr>
        <w:t>The Faithfulness Test</w:t>
      </w:r>
    </w:p>
    <w:p>
      <w:pPr>
        <w:keepNext w:val="0"/>
        <w:spacing w:line="276" w:lineRule="auto" w:after="120"/>
        <w:jc w:val="both"/>
      </w:pPr>
      <w:r>
        <w:rPr>
          <w:rFonts w:ascii="Times New Roman" w:hAnsi="Times New Roman"/>
          <w:b w:val="0"/>
          <w:i w:val="0"/>
          <w:sz w:val="24"/>
        </w:rPr>
        <w:t>This is the function on which the project's central argument rests. It replaces the top k features by absolute SHAP with values drawn from background rows, measures how far the forecast moves, and does the same for a random ordering as a control. The fidelity term additionally checks that the SHAP mass removed predicts the size of the change. From explain.py.</w:t>
      </w:r>
    </w:p>
    <w:p>
      <w:pPr>
        <w:spacing w:line="240" w:lineRule="auto" w:after="0"/>
        <w:ind w:left="454"/>
        <w:jc w:val="left"/>
      </w:pPr>
      <w:r>
        <w:rPr>
          <w:rFonts w:ascii="Consolas" w:hAnsi="Consolas"/>
          <w:sz w:val="15"/>
        </w:rPr>
        <w:t>def deletion_curves(model, X, sv, background):</w:t>
      </w:r>
    </w:p>
    <w:p>
      <w:pPr>
        <w:spacing w:line="240" w:lineRule="auto" w:after="0"/>
        <w:ind w:left="454"/>
        <w:jc w:val="left"/>
      </w:pPr>
      <w:r>
        <w:rPr>
          <w:rFonts w:ascii="Consolas" w:hAnsi="Consolas"/>
          <w:sz w:val="15"/>
        </w:rPr>
        <w:t xml:space="preserve">    """Mean |f(x) - f(x with k features replaced by background values)|, in basis</w:t>
      </w:r>
    </w:p>
    <w:p>
      <w:pPr>
        <w:spacing w:line="240" w:lineRule="auto" w:after="0"/>
        <w:ind w:left="454"/>
        <w:jc w:val="left"/>
      </w:pPr>
      <w:r>
        <w:rPr>
          <w:rFonts w:ascii="Consolas" w:hAnsi="Consolas"/>
          <w:sz w:val="15"/>
        </w:rPr>
        <w:t xml:space="preserve">    points, removing features by |SHAP| rank ('top') or in random order."""</w:t>
      </w:r>
    </w:p>
    <w:p>
      <w:pPr>
        <w:spacing w:line="240" w:lineRule="auto" w:after="0"/>
        <w:ind w:left="454"/>
        <w:jc w:val="left"/>
      </w:pPr>
      <w:r>
        <w:rPr>
          <w:rFonts w:ascii="Consolas" w:hAnsi="Consolas"/>
          <w:sz w:val="15"/>
        </w:rPr>
        <w:t xml:space="preserve">    n, p = X.shape</w:t>
      </w:r>
    </w:p>
    <w:p>
      <w:pPr>
        <w:spacing w:line="240" w:lineRule="auto" w:after="0"/>
        <w:ind w:left="454"/>
        <w:jc w:val="left"/>
      </w:pPr>
      <w:r>
        <w:rPr>
          <w:rFonts w:ascii="Consolas" w:hAnsi="Consolas"/>
          <w:sz w:val="15"/>
        </w:rPr>
        <w:t xml:space="preserve">    base = model.predict(X)</w:t>
      </w:r>
    </w:p>
    <w:p>
      <w:pPr>
        <w:spacing w:line="240" w:lineRule="auto" w:after="0"/>
        <w:ind w:left="454"/>
        <w:jc w:val="left"/>
      </w:pPr>
      <w:r>
        <w:rPr>
          <w:rFonts w:ascii="Consolas" w:hAnsi="Consolas"/>
          <w:sz w:val="15"/>
        </w:rPr>
        <w:t xml:space="preserve">    order_top = np.argsort(-np.abs(sv), axis=1)</w:t>
      </w:r>
    </w:p>
    <w:p>
      <w:pPr>
        <w:spacing w:line="240" w:lineRule="auto" w:after="0"/>
        <w:ind w:left="454"/>
        <w:jc w:val="left"/>
      </w:pPr>
      <w:r>
        <w:rPr>
          <w:rFonts w:ascii="Consolas" w:hAnsi="Consolas"/>
          <w:sz w:val="15"/>
        </w:rPr>
        <w:t xml:space="preserve">    order_rand = np.array([rng.permutation(p) for _ in range(n)])</w:t>
      </w:r>
    </w:p>
    <w:p>
      <w:pPr>
        <w:spacing w:line="240" w:lineRule="auto" w:after="0"/>
        <w:ind w:left="454"/>
        <w:jc w:val="left"/>
      </w:pPr>
      <w:r>
        <w:rPr>
          <w:rFonts w:ascii="Consolas" w:hAnsi="Consolas"/>
          <w:sz w:val="15"/>
        </w:rPr>
        <w:t xml:space="preserve">    curves = {"top": [], "random": []}</w:t>
      </w:r>
    </w:p>
    <w:p>
      <w:pPr>
        <w:spacing w:line="240" w:lineRule="auto" w:after="0"/>
        <w:ind w:left="454"/>
        <w:jc w:val="left"/>
      </w:pPr>
      <w:r>
        <w:rPr>
          <w:rFonts w:ascii="Consolas" w:hAnsi="Consolas"/>
          <w:sz w:val="15"/>
        </w:rPr>
        <w:t xml:space="preserve">    fidelity = []</w:t>
      </w:r>
    </w:p>
    <w:p>
      <w:pPr>
        <w:spacing w:line="240" w:lineRule="auto" w:after="0"/>
        <w:ind w:left="454"/>
        <w:jc w:val="left"/>
      </w:pPr>
      <w:r>
        <w:rPr>
          <w:rFonts w:ascii="Consolas" w:hAnsi="Consolas"/>
          <w:sz w:val="15"/>
        </w:rPr>
        <w:t xml:space="preserve">    for k in K_STEPS:</w:t>
      </w:r>
    </w:p>
    <w:p>
      <w:pPr>
        <w:spacing w:line="240" w:lineRule="auto" w:after="0"/>
        <w:ind w:left="454"/>
        <w:jc w:val="left"/>
      </w:pPr>
      <w:r>
        <w:rPr>
          <w:rFonts w:ascii="Consolas" w:hAnsi="Consolas"/>
          <w:sz w:val="15"/>
        </w:rPr>
        <w:t xml:space="preserve">        for name, order in (("top", order_top), ("random", order_rand)):</w:t>
      </w:r>
    </w:p>
    <w:p>
      <w:pPr>
        <w:spacing w:line="240" w:lineRule="auto" w:after="0"/>
        <w:ind w:left="454"/>
        <w:jc w:val="left"/>
      </w:pPr>
      <w:r>
        <w:rPr>
          <w:rFonts w:ascii="Consolas" w:hAnsi="Consolas"/>
          <w:sz w:val="15"/>
        </w:rPr>
        <w:t xml:space="preserve">            Xk = np.repeat(X, len(background), axis=0)</w:t>
      </w:r>
    </w:p>
    <w:p>
      <w:pPr>
        <w:spacing w:line="240" w:lineRule="auto" w:after="0"/>
        <w:ind w:left="454"/>
        <w:jc w:val="left"/>
      </w:pPr>
      <w:r>
        <w:rPr>
          <w:rFonts w:ascii="Consolas" w:hAnsi="Consolas"/>
          <w:sz w:val="15"/>
        </w:rPr>
        <w:t xml:space="preserve">            bg = np.tile(background, (n, 1))</w:t>
      </w:r>
    </w:p>
    <w:p>
      <w:pPr>
        <w:spacing w:line="240" w:lineRule="auto" w:after="0"/>
        <w:ind w:left="454"/>
        <w:jc w:val="left"/>
      </w:pPr>
      <w:r>
        <w:rPr>
          <w:rFonts w:ascii="Consolas" w:hAnsi="Consolas"/>
          <w:sz w:val="15"/>
        </w:rPr>
        <w:t xml:space="preserve">            rows = np.repeat(np.arange(n), len(background))</w:t>
      </w:r>
    </w:p>
    <w:p>
      <w:pPr>
        <w:spacing w:line="240" w:lineRule="auto" w:after="0"/>
        <w:ind w:left="454"/>
        <w:jc w:val="left"/>
      </w:pPr>
      <w:r>
        <w:rPr>
          <w:rFonts w:ascii="Consolas" w:hAnsi="Consolas"/>
          <w:sz w:val="15"/>
        </w:rPr>
        <w:t xml:space="preserve">            cols = order[rows][:, :k]</w:t>
      </w:r>
    </w:p>
    <w:p>
      <w:pPr>
        <w:spacing w:line="240" w:lineRule="auto" w:after="0"/>
        <w:ind w:left="454"/>
        <w:jc w:val="left"/>
      </w:pPr>
      <w:r>
        <w:rPr>
          <w:rFonts w:ascii="Consolas" w:hAnsi="Consolas"/>
          <w:sz w:val="15"/>
        </w:rPr>
        <w:t xml:space="preserve">            Xk[np.arange(len(Xk))[:, None], cols] = bg[np.arange(len(Xk))[:, None], cols]</w:t>
      </w:r>
    </w:p>
    <w:p>
      <w:pPr>
        <w:spacing w:line="240" w:lineRule="auto" w:after="0"/>
        <w:ind w:left="454"/>
        <w:jc w:val="left"/>
      </w:pPr>
      <w:r>
        <w:rPr>
          <w:rFonts w:ascii="Consolas" w:hAnsi="Consolas"/>
          <w:sz w:val="15"/>
        </w:rPr>
        <w:t xml:space="preserve">            removed = model.predict(Xk).reshape(n, len(background)).mean(1)</w:t>
      </w:r>
    </w:p>
    <w:p>
      <w:pPr>
        <w:spacing w:line="240" w:lineRule="auto" w:after="0"/>
        <w:ind w:left="454"/>
        <w:jc w:val="left"/>
      </w:pPr>
      <w:r>
        <w:rPr>
          <w:rFonts w:ascii="Consolas" w:hAnsi="Consolas"/>
          <w:sz w:val="15"/>
        </w:rPr>
        <w:t xml:space="preserve">            change = base - removed</w:t>
      </w:r>
    </w:p>
    <w:p>
      <w:pPr>
        <w:spacing w:line="240" w:lineRule="auto" w:after="0"/>
        <w:ind w:left="454"/>
        <w:jc w:val="left"/>
      </w:pPr>
      <w:r>
        <w:rPr>
          <w:rFonts w:ascii="Consolas" w:hAnsi="Consolas"/>
          <w:sz w:val="15"/>
        </w:rPr>
        <w:t xml:space="preserve">            curves[name].append(float(1e4 * np.abs(change).mean()))</w:t>
      </w:r>
    </w:p>
    <w:p>
      <w:pPr>
        <w:spacing w:line="240" w:lineRule="auto" w:after="0"/>
        <w:ind w:left="454"/>
        <w:jc w:val="left"/>
      </w:pPr>
      <w:r>
        <w:rPr>
          <w:rFonts w:ascii="Consolas" w:hAnsi="Consolas"/>
          <w:sz w:val="15"/>
        </w:rPr>
        <w:t xml:space="preserve">            if name == "top":</w:t>
      </w:r>
    </w:p>
    <w:p>
      <w:pPr>
        <w:spacing w:line="240" w:lineRule="auto" w:after="0"/>
        <w:ind w:left="454"/>
        <w:jc w:val="left"/>
      </w:pPr>
      <w:r>
        <w:rPr>
          <w:rFonts w:ascii="Consolas" w:hAnsi="Consolas"/>
          <w:sz w:val="15"/>
        </w:rPr>
        <w:t xml:space="preserve">                shap_removed = np.take_along_axis(sv, order_top[:, :k], axis=1).sum(1)</w:t>
      </w:r>
    </w:p>
    <w:p>
      <w:pPr>
        <w:spacing w:line="240" w:lineRule="auto" w:after="0"/>
        <w:ind w:left="454"/>
        <w:jc w:val="left"/>
      </w:pPr>
      <w:r>
        <w:rPr>
          <w:rFonts w:ascii="Consolas" w:hAnsi="Consolas"/>
          <w:sz w:val="15"/>
        </w:rPr>
        <w:t xml:space="preserve">                fidelity.append(float(np.corrcoef(shap_removed, change)[0, 1]))</w:t>
      </w:r>
    </w:p>
    <w:p>
      <w:pPr>
        <w:spacing w:line="240" w:lineRule="auto" w:after="0"/>
        <w:ind w:left="454"/>
        <w:jc w:val="left"/>
      </w:pPr>
      <w:r>
        <w:rPr>
          <w:rFonts w:ascii="Consolas" w:hAnsi="Consolas"/>
          <w:sz w:val="15"/>
        </w:rPr>
        <w:t xml:space="preserve">    aopc = {k: float(np.mean(v[1:])) for k, v in curves.items()}</w:t>
      </w:r>
    </w:p>
    <w:p>
      <w:pPr>
        <w:spacing w:line="240" w:lineRule="auto" w:after="0"/>
        <w:ind w:left="454"/>
        <w:jc w:val="left"/>
      </w:pPr>
      <w:r>
        <w:rPr>
          <w:rFonts w:ascii="Consolas" w:hAnsi="Consolas"/>
          <w:sz w:val="15"/>
        </w:rPr>
        <w:t xml:space="preserve">    return {"k": K_STEPS, "abs_change_bp": curves, "AOPC_bp": aopc,</w:t>
      </w:r>
    </w:p>
    <w:p>
      <w:pPr>
        <w:spacing w:line="240" w:lineRule="auto" w:after="0"/>
        <w:ind w:left="454"/>
        <w:jc w:val="left"/>
      </w:pPr>
      <w:r>
        <w:rPr>
          <w:rFonts w:ascii="Consolas" w:hAnsi="Consolas"/>
          <w:sz w:val="15"/>
        </w:rPr>
        <w:t xml:space="preserve">            "fidelity_corr": dict(zip(K_STEPS[1:], fidelity))}</w:t>
      </w:r>
    </w:p>
    <w:p>
      <w:pPr>
        <w:keepNext w:val="0"/>
        <w:spacing w:line="276" w:lineRule="auto" w:after="80"/>
        <w:jc w:val="both"/>
      </w:pPr>
    </w:p>
    <w:p>
      <w:pPr>
        <w:keepNext/>
        <w:spacing w:line="240" w:lineRule="auto" w:after="120"/>
        <w:jc w:val="left"/>
      </w:pPr>
      <w:r>
        <w:rPr>
          <w:rFonts w:ascii="Times New Roman" w:hAnsi="Times New Roman"/>
          <w:b/>
          <w:i w:val="0"/>
          <w:sz w:val="24"/>
        </w:rPr>
        <w:t>Reproducible LIME</w:t>
      </w:r>
    </w:p>
    <w:p>
      <w:pPr>
        <w:keepNext w:val="0"/>
        <w:spacing w:line="276" w:lineRule="auto" w:after="120"/>
        <w:jc w:val="both"/>
      </w:pPr>
      <w:r>
        <w:rPr>
          <w:rFonts w:ascii="Times New Roman" w:hAnsi="Times New Roman"/>
          <w:b w:val="0"/>
          <w:i w:val="0"/>
          <w:sz w:val="24"/>
        </w:rPr>
        <w:t>A fresh explainer is constructed for every seed, which is the fix for the defect described in Section 5.3.3. From lime_explain.py.</w:t>
      </w:r>
    </w:p>
    <w:p>
      <w:pPr>
        <w:spacing w:line="240" w:lineRule="auto" w:after="0"/>
        <w:ind w:left="454"/>
        <w:jc w:val="left"/>
      </w:pPr>
      <w:r>
        <w:rPr>
          <w:rFonts w:ascii="Consolas" w:hAnsi="Consolas"/>
          <w:sz w:val="15"/>
        </w:rPr>
        <w:t>def make_explainer(reference, seed):</w:t>
      </w:r>
    </w:p>
    <w:p>
      <w:pPr>
        <w:spacing w:line="240" w:lineRule="auto" w:after="0"/>
        <w:ind w:left="454"/>
        <w:jc w:val="left"/>
      </w:pPr>
      <w:r>
        <w:rPr>
          <w:rFonts w:ascii="Consolas" w:hAnsi="Consolas"/>
          <w:sz w:val="15"/>
        </w:rPr>
        <w:t xml:space="preserve">    """A fresh explainer per seed: LimeTabularExplainer binds its RandomState into</w:t>
      </w:r>
    </w:p>
    <w:p>
      <w:pPr>
        <w:spacing w:line="240" w:lineRule="auto" w:after="0"/>
        <w:ind w:left="454"/>
        <w:jc w:val="left"/>
      </w:pPr>
      <w:r>
        <w:rPr>
          <w:rFonts w:ascii="Consolas" w:hAnsi="Consolas"/>
          <w:sz w:val="15"/>
        </w:rPr>
        <w:t xml:space="preserve">    the discretiser and the solver at construction, so reassigning .random_state on</w:t>
      </w:r>
    </w:p>
    <w:p>
      <w:pPr>
        <w:spacing w:line="240" w:lineRule="auto" w:after="0"/>
        <w:ind w:left="454"/>
        <w:jc w:val="left"/>
      </w:pPr>
      <w:r>
        <w:rPr>
          <w:rFonts w:ascii="Consolas" w:hAnsi="Consolas"/>
          <w:sz w:val="15"/>
        </w:rPr>
        <w:t xml:space="preserve">    a reused explainer does not make repeats reproducible."""</w:t>
      </w:r>
    </w:p>
    <w:p>
      <w:pPr>
        <w:spacing w:line="240" w:lineRule="auto" w:after="0"/>
        <w:ind w:left="454"/>
        <w:jc w:val="left"/>
      </w:pPr>
      <w:r>
        <w:rPr>
          <w:rFonts w:ascii="Consolas" w:hAnsi="Consolas"/>
          <w:sz w:val="15"/>
        </w:rPr>
        <w:t xml:space="preserve">    return LimeTabularExplainer(reference, feature_names=FEATURES, mode="regression",</w:t>
      </w:r>
    </w:p>
    <w:p>
      <w:pPr>
        <w:spacing w:line="240" w:lineRule="auto" w:after="0"/>
        <w:ind w:left="454"/>
        <w:jc w:val="left"/>
      </w:pPr>
      <w:r>
        <w:rPr>
          <w:rFonts w:ascii="Consolas" w:hAnsi="Consolas"/>
          <w:sz w:val="15"/>
        </w:rPr>
        <w:t xml:space="preserve">                                discretize_continuous=True, random_state=seed)</w:t>
      </w:r>
    </w:p>
    <w:p>
      <w:pPr>
        <w:spacing w:line="240" w:lineRule="auto" w:after="0"/>
        <w:ind w:left="454"/>
        <w:jc w:val="left"/>
      </w:pPr>
      <w:r>
        <w:rPr>
          <w:rFonts w:ascii="Consolas" w:hAnsi="Consolas"/>
          <w:sz w:val="15"/>
        </w:rPr>
        <w:t xml:space="preserve"> </w:t>
      </w:r>
    </w:p>
    <w:p>
      <w:pPr>
        <w:spacing w:line="240" w:lineRule="auto" w:after="0"/>
        <w:ind w:left="454"/>
        <w:jc w:val="left"/>
      </w:pPr>
      <w:r>
        <w:rPr>
          <w:rFonts w:ascii="Consolas" w:hAnsi="Consolas"/>
          <w:sz w:val="15"/>
        </w:rPr>
        <w:t xml:space="preserve"> </w:t>
      </w:r>
    </w:p>
    <w:p>
      <w:pPr>
        <w:spacing w:line="240" w:lineRule="auto" w:after="0"/>
        <w:ind w:left="454"/>
        <w:jc w:val="left"/>
      </w:pPr>
      <w:r>
        <w:rPr>
          <w:rFonts w:ascii="Consolas" w:hAnsi="Consolas"/>
          <w:sz w:val="15"/>
        </w:rPr>
        <w:t>def lime_weights(reference, x, predict, seed):</w:t>
      </w:r>
    </w:p>
    <w:p>
      <w:pPr>
        <w:spacing w:line="240" w:lineRule="auto" w:after="0"/>
        <w:ind w:left="454"/>
        <w:jc w:val="left"/>
      </w:pPr>
      <w:r>
        <w:rPr>
          <w:rFonts w:ascii="Consolas" w:hAnsi="Consolas"/>
          <w:sz w:val="15"/>
        </w:rPr>
        <w:t xml:space="preserve">    exp = make_explainer(reference, seed).explain_instance(</w:t>
      </w:r>
    </w:p>
    <w:p>
      <w:pPr>
        <w:spacing w:line="240" w:lineRule="auto" w:after="0"/>
        <w:ind w:left="454"/>
        <w:jc w:val="left"/>
      </w:pPr>
      <w:r>
        <w:rPr>
          <w:rFonts w:ascii="Consolas" w:hAnsi="Consolas"/>
          <w:sz w:val="15"/>
        </w:rPr>
        <w:t xml:space="preserve">        x, predict, num_features=len(FEATURES), num_samples=5000)</w:t>
      </w:r>
    </w:p>
    <w:p>
      <w:pPr>
        <w:spacing w:line="240" w:lineRule="auto" w:after="0"/>
        <w:ind w:left="454"/>
        <w:jc w:val="left"/>
      </w:pPr>
      <w:r>
        <w:rPr>
          <w:rFonts w:ascii="Consolas" w:hAnsi="Consolas"/>
          <w:sz w:val="15"/>
        </w:rPr>
        <w:t xml:space="preserve">    w = np.zeros(len(FEATURES))</w:t>
      </w:r>
    </w:p>
    <w:p>
      <w:pPr>
        <w:spacing w:line="240" w:lineRule="auto" w:after="0"/>
        <w:ind w:left="454"/>
        <w:jc w:val="left"/>
      </w:pPr>
      <w:r>
        <w:rPr>
          <w:rFonts w:ascii="Consolas" w:hAnsi="Consolas"/>
          <w:sz w:val="15"/>
        </w:rPr>
        <w:t xml:space="preserve">    for j, weight in exp.as_map()[0]:</w:t>
      </w:r>
    </w:p>
    <w:p>
      <w:pPr>
        <w:spacing w:line="240" w:lineRule="auto" w:after="0"/>
        <w:ind w:left="454"/>
        <w:jc w:val="left"/>
      </w:pPr>
      <w:r>
        <w:rPr>
          <w:rFonts w:ascii="Consolas" w:hAnsi="Consolas"/>
          <w:sz w:val="15"/>
        </w:rPr>
        <w:t xml:space="preserve">        w[j] = weight</w:t>
      </w:r>
    </w:p>
    <w:p>
      <w:pPr>
        <w:spacing w:line="240" w:lineRule="auto" w:after="0"/>
        <w:ind w:left="454"/>
        <w:jc w:val="left"/>
      </w:pPr>
      <w:r>
        <w:rPr>
          <w:rFonts w:ascii="Consolas" w:hAnsi="Consolas"/>
          <w:sz w:val="15"/>
        </w:rPr>
        <w:t xml:space="preserve">    return w, exp.score</w:t>
      </w:r>
    </w:p>
    <w:p>
      <w:pPr>
        <w:keepNext w:val="0"/>
        <w:spacing w:line="276" w:lineRule="auto" w:after="80"/>
        <w:jc w:val="both"/>
      </w:pPr>
    </w:p>
    <w:p>
      <w:pPr>
        <w:keepNext/>
        <w:spacing w:line="240" w:lineRule="auto" w:after="120"/>
        <w:jc w:val="left"/>
      </w:pPr>
      <w:r>
        <w:rPr>
          <w:rFonts w:ascii="Times New Roman" w:hAnsi="Times New Roman"/>
          <w:b/>
          <w:i w:val="0"/>
          <w:sz w:val="24"/>
        </w:rPr>
        <w:t>The Live Forecasting Guard</w:t>
      </w:r>
    </w:p>
    <w:p>
      <w:pPr>
        <w:keepNext w:val="0"/>
        <w:spacing w:line="276" w:lineRule="auto" w:after="120"/>
        <w:jc w:val="both"/>
      </w:pPr>
      <w:r>
        <w:rPr>
          <w:rFonts w:ascii="Times New Roman" w:hAnsi="Times New Roman"/>
          <w:b w:val="0"/>
          <w:i w:val="0"/>
          <w:sz w:val="24"/>
        </w:rPr>
        <w:t>The assertion that prevents a hindsight value from being presented as a forecast. From live.py.</w:t>
      </w:r>
    </w:p>
    <w:p>
      <w:pPr>
        <w:spacing w:line="240" w:lineRule="auto" w:after="0"/>
        <w:ind w:left="454"/>
        <w:jc w:val="left"/>
      </w:pPr>
      <w:r>
        <w:rPr>
          <w:rFonts w:ascii="Consolas" w:hAnsi="Consolas"/>
          <w:sz w:val="15"/>
        </w:rPr>
        <w:t>df = df.dropna(subset=FEATURES + ["close"])   # NOT on the target: the last day has none</w:t>
      </w:r>
    </w:p>
    <w:p>
      <w:pPr>
        <w:spacing w:line="240" w:lineRule="auto" w:after="0"/>
        <w:ind w:left="454"/>
        <w:jc w:val="left"/>
      </w:pPr>
      <w:r>
        <w:rPr>
          <w:rFonts w:ascii="Consolas" w:hAnsi="Consolas"/>
          <w:sz w:val="15"/>
        </w:rPr>
        <w:t>train = df.dropna(subset=["target_ret"])      # train on every day with a known outcome</w:t>
      </w:r>
    </w:p>
    <w:p>
      <w:pPr>
        <w:spacing w:line="240" w:lineRule="auto" w:after="0"/>
        <w:ind w:left="454"/>
        <w:jc w:val="left"/>
      </w:pPr>
      <w:r>
        <w:rPr>
          <w:rFonts w:ascii="Consolas" w:hAnsi="Consolas"/>
          <w:sz w:val="15"/>
        </w:rPr>
        <w:t>live  = df[df.date == last_day].copy()        # forecast the one day with no outcome</w:t>
      </w:r>
    </w:p>
    <w:p>
      <w:pPr>
        <w:spacing w:line="240" w:lineRule="auto" w:after="0"/>
        <w:ind w:left="454"/>
        <w:jc w:val="left"/>
      </w:pPr>
      <w:r>
        <w:rPr>
          <w:rFonts w:ascii="Consolas" w:hAnsi="Consolas"/>
          <w:sz w:val="15"/>
        </w:rPr>
        <w:t>assert live.target_ret.isna().all(), \</w:t>
      </w:r>
    </w:p>
    <w:p>
      <w:pPr>
        <w:spacing w:line="240" w:lineRule="auto" w:after="0"/>
        <w:ind w:left="454"/>
        <w:jc w:val="left"/>
      </w:pPr>
      <w:r>
        <w:rPr>
          <w:rFonts w:ascii="Consolas" w:hAnsi="Consolas"/>
          <w:sz w:val="15"/>
        </w:rPr>
        <w:t xml:space="preserve">    "the last day already has a known outcome - rerun after the close"</w:t>
      </w:r>
    </w:p>
    <w:p>
      <w:pPr>
        <w:keepNext w:val="0"/>
        <w:spacing w:line="276" w:lineRule="auto" w:after="80"/>
        <w:jc w:val="both"/>
      </w:pPr>
    </w:p>
    <w:sectPr w:rsidR="00FC693F" w:rsidRPr="0006063C" w:rsidSect="00034616">
      <w:footerReference w:type="default" r:id="rId11"/>
      <w:pgSz w:w="11906" w:h="16838"/>
      <w:pgMar w:top="1378" w:right="1321" w:bottom="1134" w:left="167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r>
    <w:r>
      <w:rPr>
        <w:rFonts w:ascii="Times New Roman" w:hAnsi="Times New Roman"/>
        <w:sz w:val="22"/>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