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Trustworthy Explanations for Random-Forest Stock Price Forecasting</w:t>
      </w:r>
    </w:p>
    <w:p>
      <w:pPr>
        <w:pStyle w:val="Subtitle"/>
      </w:pPr>
      <w:r>
        <w:t xml:space="preserve">A SHAP and LIME reliability audit on 474 S&amp;P 500 stocks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problem-statement"/>
    <w:p>
      <w:pPr>
        <w:pStyle w:val="Heading1"/>
      </w:pPr>
      <w:r>
        <w:t xml:space="preserve">1. Problem statement</w:t>
      </w:r>
    </w:p>
    <w:bookmarkStart w:id="20" w:name="background"/>
    <w:p>
      <w:pPr>
        <w:pStyle w:val="Heading2"/>
      </w:pPr>
      <w:r>
        <w:t xml:space="preserve">1.1 Background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Adoption.</w:t>
      </w:r>
      <w:r>
        <w:t xml:space="preserve"> </w:t>
      </w:r>
      <w:r>
        <w:t xml:space="preserve">Machine-learning models, Random Forests (RF) especially, are widely used to</w:t>
      </w:r>
      <w:r>
        <w:t xml:space="preserve"> </w:t>
      </w:r>
      <w:r>
        <w:t xml:space="preserve">forecast stock prices from historical price and volume data. They are popular because</w:t>
      </w:r>
      <w:r>
        <w:t xml:space="preserve"> </w:t>
      </w:r>
      <w:r>
        <w:t xml:space="preserve">they:</w:t>
      </w:r>
    </w:p>
    <w:p>
      <w:pPr>
        <w:numPr>
          <w:ilvl w:val="1"/>
          <w:numId w:val="1002"/>
        </w:numPr>
        <w:pStyle w:val="Compact"/>
      </w:pPr>
      <w:r>
        <w:t xml:space="preserve">handle non-linear patterns;</w:t>
      </w:r>
    </w:p>
    <w:p>
      <w:pPr>
        <w:numPr>
          <w:ilvl w:val="1"/>
          <w:numId w:val="1002"/>
        </w:numPr>
        <w:pStyle w:val="Compact"/>
      </w:pPr>
      <w:r>
        <w:t xml:space="preserve">need little tuning;</w:t>
      </w:r>
    </w:p>
    <w:p>
      <w:pPr>
        <w:numPr>
          <w:ilvl w:val="1"/>
          <w:numId w:val="1002"/>
        </w:numPr>
        <w:pStyle w:val="Compact"/>
      </w:pPr>
      <w:r>
        <w:t xml:space="preserve">resist overfitting better than single trees.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Explanations.</w:t>
      </w:r>
      <w:r>
        <w:t xml:space="preserve"> </w:t>
      </w:r>
      <w:r>
        <w:t xml:space="preserve">Because these models are</w:t>
      </w:r>
      <w:r>
        <w:t xml:space="preserve"> </w:t>
      </w:r>
      <w:r>
        <w:t xml:space="preserve">“</w:t>
      </w:r>
      <w:r>
        <w:t xml:space="preserve">black boxes</w:t>
      </w:r>
      <w:r>
        <w:t xml:space="preserve">”</w:t>
      </w:r>
      <w:r>
        <w:t xml:space="preserve">, studies increasingly attach</w:t>
      </w:r>
      <w:r>
        <w:t xml:space="preserve"> </w:t>
      </w:r>
      <w:r>
        <w:t xml:space="preserve">explainable-AI (XAI) methods, mainly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(Shapley additive explanations) and</w:t>
      </w:r>
      <w:r>
        <w:t xml:space="preserve"> </w:t>
      </w:r>
      <w:r>
        <w:rPr>
          <w:bCs/>
          <w:b/>
        </w:rPr>
        <w:t xml:space="preserve">LIME</w:t>
      </w:r>
      <w:r>
        <w:t xml:space="preserve"> </w:t>
      </w:r>
      <w:r>
        <w:t xml:space="preserve">(local interpretable model-agnostic explanations). These show which inputs</w:t>
      </w:r>
      <w:r>
        <w:t xml:space="preserve"> </w:t>
      </w:r>
      <w:r>
        <w:t xml:space="preserve">drove a forecast.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In finance, explanations are increasingly expected by investment</w:t>
      </w:r>
      <w:r>
        <w:t xml:space="preserve"> </w:t>
      </w:r>
      <w:r>
        <w:t xml:space="preserve">committees, risk officers and regulators before a model is allowed to inform decisions.</w:t>
      </w:r>
    </w:p>
    <w:bookmarkEnd w:id="20"/>
    <w:bookmarkStart w:id="21" w:name="the-problem"/>
    <w:p>
      <w:pPr>
        <w:pStyle w:val="Heading2"/>
      </w:pPr>
      <w:r>
        <w:t xml:space="preserve">1.2 The problem</w:t>
      </w:r>
    </w:p>
    <w:p>
      <w:pPr>
        <w:pStyle w:val="FirstParagraph"/>
      </w:pPr>
      <w:r>
        <w:t xml:space="preserve">Recent studies (Section 3) share two linked weaknesses.</w:t>
      </w:r>
    </w:p>
    <w:p>
      <w:pPr>
        <w:pStyle w:val="BodyText"/>
      </w:pPr>
      <w:r>
        <w:rPr>
          <w:bCs/>
          <w:b/>
        </w:rPr>
        <w:t xml:space="preserve">Problem 1: accuracy is reported in the wrong units, and without a meaningful benchmark.</w:t>
      </w:r>
    </w:p>
    <w:p>
      <w:pPr>
        <w:numPr>
          <w:ilvl w:val="0"/>
          <w:numId w:val="1003"/>
        </w:numPr>
        <w:pStyle w:val="Compact"/>
      </w:pPr>
      <w:r>
        <w:t xml:space="preserve">Price forecasts are usually judged on the</w:t>
      </w:r>
      <w:r>
        <w:t xml:space="preserve"> </w:t>
      </w:r>
      <w:r>
        <w:rPr>
          <w:bCs/>
          <w:b/>
        </w:rPr>
        <w:t xml:space="preserve">price level</w:t>
      </w:r>
      <w:r>
        <w:t xml:space="preserve"> </w:t>
      </w:r>
      <w:r>
        <w:t xml:space="preserve">(R², MAPE,</w:t>
      </w:r>
      <w:r>
        <w:t xml:space="preserve"> </w:t>
      </w:r>
      <w:r>
        <w:t xml:space="preserve">“</w:t>
      </w:r>
      <w:r>
        <w:t xml:space="preserve">accuracy %</w:t>
      </w:r>
      <w:r>
        <w:t xml:space="preserve">”</w:t>
      </w:r>
      <w:r>
        <w:t xml:space="preserve">). But a</w:t>
      </w:r>
      <w:r>
        <w:t xml:space="preserve"> </w:t>
      </w:r>
      <w:r>
        <w:t xml:space="preserve">stock’s price tomorrow is almost the same as today, so the naive forecast</w:t>
      </w:r>
      <w:r>
        <w:t xml:space="preserve"> </w:t>
      </w:r>
      <w:r>
        <w:t xml:space="preserve">“</w:t>
      </w:r>
      <w:r>
        <w:t xml:space="preserve">tomorrow’s price</w:t>
      </w:r>
      <w:r>
        <w:t xml:space="preserve"> </w:t>
      </w:r>
      <w:r>
        <w:t xml:space="preserve">= today’s price</w:t>
      </w:r>
      <w:r>
        <w:t xml:space="preserve">”</w:t>
      </w:r>
      <w:r>
        <w:t xml:space="preserve"> </w:t>
      </w:r>
      <w:r>
        <w:t xml:space="preserve">already scores R² ≈ 0.999 and MAPE ≈ 1.5%. Those figures describe the</w:t>
      </w:r>
      <w:r>
        <w:t xml:space="preserve"> </w:t>
      </w:r>
      <w:r>
        <w:t xml:space="preserve">behaviour of daily stock prices, not the quality of a model.</w:t>
      </w:r>
    </w:p>
    <w:p>
      <w:pPr>
        <w:numPr>
          <w:ilvl w:val="0"/>
          <w:numId w:val="1003"/>
        </w:numPr>
        <w:pStyle w:val="Compact"/>
      </w:pPr>
      <w:r>
        <w:t xml:space="preserve">The quantity a forecaster actually has to get right is the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— the change. Scored</w:t>
      </w:r>
      <w:r>
        <w:t xml:space="preserve"> </w:t>
      </w:r>
      <w:r>
        <w:t xml:space="preserve">on returns, the same forecasts that look near-perfect routinely explain</w:t>
      </w:r>
      <w:r>
        <w:t xml:space="preserve"> </w:t>
      </w:r>
      <w:r>
        <w:rPr>
          <w:bCs/>
          <w:b/>
        </w:rPr>
        <w:t xml:space="preserve">less than 0.1%</w:t>
      </w:r>
      <w:r>
        <w:t xml:space="preserve"> </w:t>
      </w:r>
      <w:r>
        <w:t xml:space="preserve">of the variance; Indra et al. (2025) found near-zero R² and 49–54% directional accuracy once</w:t>
      </w:r>
      <w:r>
        <w:t xml:space="preserve"> </w:t>
      </w:r>
      <w:r>
        <w:t xml:space="preserve">they looked there.</w:t>
      </w:r>
    </w:p>
    <w:p>
      <w:pPr>
        <w:numPr>
          <w:ilvl w:val="0"/>
          <w:numId w:val="1003"/>
        </w:numPr>
        <w:pStyle w:val="Compact"/>
      </w:pPr>
      <w:r>
        <w:t xml:space="preserve">Without reporting return-space skill and testing it against a naive forecast, a reader</w:t>
      </w:r>
      <w:r>
        <w:t xml:space="preserve"> </w:t>
      </w:r>
      <w:r>
        <w:t xml:space="preserve">cannot tell whether a model has any predictive value at all.</w:t>
      </w:r>
    </w:p>
    <w:p>
      <w:pPr>
        <w:pStyle w:val="FirstParagraph"/>
      </w:pPr>
      <w:r>
        <w:rPr>
          <w:bCs/>
          <w:b/>
        </w:rPr>
        <w:t xml:space="preserve">Problem 2: explanations are presented as findings, but never tested.</w:t>
      </w:r>
      <w:r>
        <w:t xml:space="preserve"> </w:t>
      </w:r>
      <w:r>
        <w:t xml:space="preserve">Studies report</w:t>
      </w:r>
      <w:r>
        <w:t xml:space="preserve"> </w:t>
      </w:r>
      <w:r>
        <w:t xml:space="preserve">SHAP or LIME outputs (</w:t>
      </w:r>
      <w:r>
        <w:t xml:space="preserve">“</w:t>
      </w:r>
      <w:r>
        <w:t xml:space="preserve">volume is the most important feature</w:t>
      </w:r>
      <w:r>
        <w:t xml:space="preserve">”</w:t>
      </w:r>
      <w:r>
        <w:t xml:space="preserve">) as insight about the market.</w:t>
      </w:r>
      <w:r>
        <w:t xml:space="preserve"> </w:t>
      </w:r>
      <w:r>
        <w:t xml:space="preserve">They do not check whether those explanations are: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823"/>
        <w:gridCol w:w="3907"/>
        <w:gridCol w:w="3907"/>
      </w:tblGrid>
      <w:tr>
        <w:tc>
          <w:tcPr>
            <w:tcW w:type="dxa" w:w="182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Property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Question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If it fails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removing the features the explanation ranks highest actually change the forecast most?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explanation describes features the model doesn’t really use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Stable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 explanations stay the same when the model is re-seeded or retrained?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explanation is an artefact of one random seed or one training run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Consistent across explainers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SHAP, LIME and importance measures agree?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Conclusions depend on which XAI tool was picked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Meaningful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they differ from the explanations of a model trained on randomly shuffled labels?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explanation reflects feature structure, not a learned relationship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Context-dependent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they change across market regimes (e.g. the COVID crash) and sectors?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single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global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explanation misrepresents specific periods or sectors</w:t>
            </w:r>
          </w:p>
        </w:tc>
      </w:tr>
    </w:tbl>
    <w:p>
      <w:pPr>
        <w:pStyle w:val="BodyText"/>
      </w:pPr>
      <w:r>
        <w:t xml:space="preserve">Without these tests, an explanation may describe noise, one random seed or one market</w:t>
      </w:r>
      <w:r>
        <w:t xml:space="preserve"> </w:t>
      </w:r>
      <w:r>
        <w:t xml:space="preserve">period, and misleading explanations in finance can lead to real financial losses and</w:t>
      </w:r>
      <w:r>
        <w:t xml:space="preserve"> </w:t>
      </w:r>
      <w:r>
        <w:t xml:space="preserve">misplaced trust.</w:t>
      </w:r>
    </w:p>
    <w:bookmarkEnd w:id="21"/>
    <w:bookmarkStart w:id="22" w:name="formal-problem-definition"/>
    <w:p>
      <w:pPr>
        <w:pStyle w:val="Heading2"/>
      </w:pPr>
      <w:r>
        <w:t xml:space="preserve">1.3 Formal problem definition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Element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Definition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Universe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 474 S&amp;P 500 stocks, indexed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i</w:t>
            </w:r>
            <w:r>
              <w:rPr>
                <w:rFonts w:ascii="Calibri" w:hAnsi="Calibri"/>
                <w:sz w:val="18"/>
              </w:rPr>
              <w:t xml:space="preserve">; trading days indexed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Input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feature vector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x</w:t>
            </w:r>
            <w:r>
              <w:rPr>
                <w:rFonts w:ascii="Calibri" w:hAnsi="Calibri"/>
                <w:sz w:val="18"/>
              </w:rPr>
              <w:t xml:space="preserve">ᵢ,ₜ ∈ ℝ³² for stock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day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  <w:r>
              <w:rPr>
                <w:rFonts w:ascii="Calibri" w:hAnsi="Calibri"/>
                <w:sz w:val="18"/>
              </w:rPr>
              <w:t xml:space="preserve">, computed only from prices and volumes up 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</w:t>
            </w:r>
            <w:r>
              <w:rPr>
                <w:rFonts w:ascii="Calibri" w:hAnsi="Calibri"/>
                <w:sz w:val="18"/>
              </w:rPr>
              <w:t xml:space="preserve">’s close (7 families: past returns, trend, oscillators, volatility, volume, candle, market &amp; sector)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Output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Forecast of the next-day closing price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P̂</w:t>
            </w:r>
            <w:r>
              <w:rPr>
                <w:rFonts w:ascii="Calibri" w:hAnsi="Calibri"/>
                <w:sz w:val="18"/>
              </w:rPr>
              <w:t xml:space="preserve">ᵢ,ₜ₊₁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predicting the next-day log return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f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bCs/>
                <w:rFonts w:ascii="Calibri" w:hAnsi="Calibri"/>
                <w:b/>
                <w:sz w:val="18"/>
              </w:rPr>
              <w:t xml:space="preserve">x</w:t>
            </w:r>
            <w:r>
              <w:rPr>
                <w:rFonts w:ascii="Calibri" w:hAnsi="Calibri"/>
                <w:sz w:val="18"/>
              </w:rPr>
              <w:t xml:space="preserve">ᵢ,ₜ); price forecast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P̂</w:t>
            </w:r>
            <w:r>
              <w:rPr>
                <w:rFonts w:ascii="Calibri" w:hAnsi="Calibri"/>
                <w:sz w:val="18"/>
              </w:rPr>
              <w:t xml:space="preserve">ᵢ,ₜ₊₁ 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P</w:t>
            </w:r>
            <w:r>
              <w:rPr>
                <w:rFonts w:ascii="Calibri" w:hAnsi="Calibri"/>
                <w:sz w:val="18"/>
              </w:rPr>
              <w:t xml:space="preserve">ᵢ,ₜ · exp(</w:t>
            </w: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Explanations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SHAP vector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φ</w:t>
            </w:r>
            <w:r>
              <w:rPr>
                <w:rFonts w:ascii="Calibri" w:hAnsi="Calibri"/>
                <w:sz w:val="18"/>
              </w:rPr>
              <w:t xml:space="preserve">ᵢ,ₜ ∈ ℝ³² and a LIME weight vector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λ</w:t>
            </w:r>
            <w:r>
              <w:rPr>
                <w:rFonts w:ascii="Calibri" w:hAnsi="Calibri"/>
                <w:sz w:val="18"/>
              </w:rPr>
              <w:t xml:space="preserve">ᵢ,ₜ ∈ ℝ³² for every explained forecast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Evaluation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Primary: return-space skill (R² against a zero-return and a drift forecast, IC, direction accuracy, decile portfolio) tested against naive persistence with a Diebold–Mariano test. Secondary: price-space accuracy, reported for comparability with the literature. Plus a reliability audit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φ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λ</w:t>
            </w:r>
            <w:r>
              <w:rPr>
                <w:rFonts w:ascii="Calibri" w:hAnsi="Calibri"/>
                <w:sz w:val="18"/>
              </w:rPr>
              <w:t xml:space="preserve">: faithfulness, stability, agreement, sanity, regime and sector drift</w:t>
            </w:r>
          </w:p>
        </w:tc>
      </w:tr>
    </w:tbl>
    <w:bookmarkEnd w:id="22"/>
    <w:bookmarkStart w:id="23" w:name="problem-statement-1"/>
    <w:p>
      <w:pPr>
        <w:pStyle w:val="Heading2"/>
      </w:pPr>
      <w:r>
        <w:t xml:space="preserve">1.4 Problem statement</w:t>
      </w:r>
    </w:p>
    <w:p>
      <w:pPr>
        <w:pStyle w:val="BlockText"/>
      </w:pPr>
      <w:r>
        <w:rPr>
          <w:bCs/>
          <w:b/>
        </w:rPr>
        <w:t xml:space="preserve">Given daily price and volume data for 474 S&amp;P 500 stocks (2012–2022), this project</w:t>
      </w:r>
      <w:r>
        <w:rPr>
          <w:bCs/>
          <w:b/>
        </w:rPr>
        <w:t xml:space="preserve"> </w:t>
      </w:r>
      <w:r>
        <w:rPr>
          <w:bCs/>
          <w:b/>
        </w:rPr>
        <w:t xml:space="preserve">builds a Random Forest that forecasts each stock’s next-day closing price, measures its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against naive and learned baselines with significance tests, and explains every</w:t>
      </w:r>
      <w:r>
        <w:rPr>
          <w:bCs/>
          <w:b/>
        </w:rPr>
        <w:t xml:space="preserve"> </w:t>
      </w:r>
      <w:r>
        <w:rPr>
          <w:bCs/>
          <w:b/>
        </w:rPr>
        <w:t xml:space="preserve">forecast with SHAP and LIME. It then determines whether those explanations can be</w:t>
      </w:r>
      <w:r>
        <w:rPr>
          <w:bCs/>
          <w:b/>
        </w:rPr>
        <w:t xml:space="preserve"> </w:t>
      </w:r>
      <w:r>
        <w:rPr>
          <w:bCs/>
          <w:b/>
        </w:rPr>
        <w:t xml:space="preserve">trusted, that is, whether they are faithful to the model, stable across random seeds and</w:t>
      </w:r>
      <w:r>
        <w:rPr>
          <w:bCs/>
          <w:b/>
        </w:rPr>
        <w:t xml:space="preserve"> </w:t>
      </w:r>
      <w:r>
        <w:rPr>
          <w:bCs/>
          <w:b/>
        </w:rPr>
        <w:t xml:space="preserve">yearly retraining, consistent with each other and with importance-based explainers,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from the explanations of a model with no real signal, and consistent across</w:t>
      </w:r>
      <w:r>
        <w:rPr>
          <w:bCs/>
          <w:b/>
        </w:rPr>
        <w:t xml:space="preserve"> </w:t>
      </w:r>
      <w:r>
        <w:rPr>
          <w:bCs/>
          <w:b/>
        </w:rPr>
        <w:t xml:space="preserve">market regimes (pre-COVID bull, COVID crash, recovery, 2022 bear) and GICS sectors.</w:t>
      </w:r>
    </w:p>
    <w:bookmarkEnd w:id="23"/>
    <w:bookmarkStart w:id="24" w:name="research-questions"/>
    <w:p>
      <w:pPr>
        <w:pStyle w:val="Heading2"/>
      </w:pPr>
      <w:r>
        <w:t xml:space="preserve">1.5 Research questions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Research question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RQ1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much skill does the Random Forest have on the quantity it predicts — the next-day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return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(Jan 2019 – May 2022) — and how much of its apparent price-level accuracy survives once it is scored in return space against naive persistence?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RQ2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Which features and feature families drive the forecasts, globally and for individual stock-days?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RQ3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Are the SHAP explanations faithful to the model, and stable across random seeds and yearly retraining?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RQ4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 explanations change significantly across market regimes and GICS sectors?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RQ5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 explanations differ from those of models trained on shuffled (signal-free) labels?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RQ6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SHAP and LIME agree, and which is more stable and faithful for this model?</w:t>
            </w:r>
          </w:p>
        </w:tc>
      </w:tr>
    </w:tbl>
    <w:bookmarkEnd w:id="24"/>
    <w:bookmarkStart w:id="25" w:name="objectives"/>
    <w:p>
      <w:pPr>
        <w:pStyle w:val="Heading2"/>
      </w:pPr>
      <w:r>
        <w:t xml:space="preserve">1.6 Objectives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Forecaster.</w:t>
      </w:r>
      <w:r>
        <w:t xml:space="preserve"> </w:t>
      </w:r>
      <w:r>
        <w:t xml:space="preserve">Build a leakage-free, walk-forward Random Forest next-day price</w:t>
      </w:r>
      <w:r>
        <w:t xml:space="preserve"> </w:t>
      </w:r>
      <w:r>
        <w:t xml:space="preserve">forecaster for 474 stocks.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Honest accuracy.</w:t>
      </w:r>
      <w:r>
        <w:t xml:space="preserve"> </w:t>
      </w:r>
      <w:r>
        <w:t xml:space="preserve">Score it in</w:t>
      </w:r>
      <w:r>
        <w:t xml:space="preserve"> </w:t>
      </w:r>
      <w:r>
        <w:rPr>
          <w:bCs/>
          <w:b/>
        </w:rPr>
        <w:t xml:space="preserve">return space</w:t>
      </w:r>
      <w:r>
        <w:t xml:space="preserve"> </w:t>
      </w:r>
      <w:r>
        <w:t xml:space="preserve">first — out-of-sample R² against a</w:t>
      </w:r>
      <w:r>
        <w:t xml:space="preserve"> </w:t>
      </w:r>
      <w:r>
        <w:t xml:space="preserve">zero-return and a drift forecast, information coefficient, direction accuracy and a decile</w:t>
      </w:r>
      <w:r>
        <w:t xml:space="preserve"> </w:t>
      </w:r>
      <w:r>
        <w:t xml:space="preserve">portfolio — and benchmark it against naive persistence, historical drift, Ridge regression</w:t>
      </w:r>
      <w:r>
        <w:t xml:space="preserve"> </w:t>
      </w:r>
      <w:r>
        <w:t xml:space="preserve">and a price-level Random Forest with Diebold–Mariano and binomial tests. Report</w:t>
      </w:r>
      <w:r>
        <w:t xml:space="preserve"> </w:t>
      </w:r>
      <w:r>
        <w:t xml:space="preserve">price-space accuracy second, for comparability with the literature.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Explanations.</w:t>
      </w:r>
      <w:r>
        <w:t xml:space="preserve"> </w:t>
      </w:r>
      <w:r>
        <w:t xml:space="preserve">Explain every forecast with TreeSHAP and LIME, and compare four</w:t>
      </w:r>
      <w:r>
        <w:t xml:space="preserve"> </w:t>
      </w:r>
      <w:r>
        <w:t xml:space="preserve">explainers (TreeSHAP, LIME, permutation importance, MDI).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Reliability audit.</w:t>
      </w:r>
      <w:r>
        <w:t xml:space="preserve"> </w:t>
      </w:r>
      <w:r>
        <w:t xml:space="preserve">Test the explanations for faithfulness, stability and sanity</w:t>
      </w:r>
      <w:r>
        <w:t xml:space="preserve"> </w:t>
      </w:r>
      <w:r>
        <w:t xml:space="preserve">against shuffled-label models.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Drift tests.</w:t>
      </w:r>
      <w:r>
        <w:t xml:space="preserve"> </w:t>
      </w:r>
      <w:r>
        <w:t xml:space="preserve">Test explanation drift across regimes and sectors with permutation</w:t>
      </w:r>
      <w:r>
        <w:t xml:space="preserve"> </w:t>
      </w:r>
      <w:r>
        <w:t xml:space="preserve">tests.</w:t>
      </w:r>
    </w:p>
    <w:bookmarkEnd w:id="25"/>
    <w:bookmarkStart w:id="26" w:name="scope"/>
    <w:p>
      <w:pPr>
        <w:pStyle w:val="Heading2"/>
      </w:pPr>
      <w:r>
        <w:t xml:space="preserve">1.7 Scope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 scope:</w:t>
      </w:r>
    </w:p>
    <w:p>
      <w:pPr>
        <w:numPr>
          <w:ilvl w:val="1"/>
          <w:numId w:val="1006"/>
        </w:numPr>
        <w:pStyle w:val="Compact"/>
      </w:pPr>
      <w:r>
        <w:t xml:space="preserve">daily data;</w:t>
      </w:r>
    </w:p>
    <w:p>
      <w:pPr>
        <w:numPr>
          <w:ilvl w:val="1"/>
          <w:numId w:val="1006"/>
        </w:numPr>
        <w:pStyle w:val="Compact"/>
      </w:pPr>
      <w:r>
        <w:t xml:space="preserve">price and volume features only;</w:t>
      </w:r>
    </w:p>
    <w:p>
      <w:pPr>
        <w:numPr>
          <w:ilvl w:val="1"/>
          <w:numId w:val="1006"/>
        </w:numPr>
        <w:pStyle w:val="Compact"/>
      </w:pPr>
      <w:r>
        <w:t xml:space="preserve">one-day-ahead forecasts;</w:t>
      </w:r>
    </w:p>
    <w:p>
      <w:pPr>
        <w:numPr>
          <w:ilvl w:val="1"/>
          <w:numId w:val="1006"/>
        </w:numPr>
        <w:pStyle w:val="Compact"/>
      </w:pPr>
      <w:r>
        <w:t xml:space="preserve">S&amp;P 500 constituents;</w:t>
      </w:r>
    </w:p>
    <w:p>
      <w:pPr>
        <w:numPr>
          <w:ilvl w:val="1"/>
          <w:numId w:val="1006"/>
        </w:numPr>
        <w:pStyle w:val="Compact"/>
      </w:pPr>
      <w:r>
        <w:t xml:space="preserve">post-hoc explanations (SHAP, LIME).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 of scope:</w:t>
      </w:r>
    </w:p>
    <w:p>
      <w:pPr>
        <w:numPr>
          <w:ilvl w:val="1"/>
          <w:numId w:val="1007"/>
        </w:numPr>
        <w:pStyle w:val="Compact"/>
      </w:pPr>
      <w:r>
        <w:t xml:space="preserve">news or sentiment data;</w:t>
      </w:r>
    </w:p>
    <w:p>
      <w:pPr>
        <w:numPr>
          <w:ilvl w:val="1"/>
          <w:numId w:val="1007"/>
        </w:numPr>
        <w:pStyle w:val="Compact"/>
      </w:pPr>
      <w:r>
        <w:t xml:space="preserve">fundamentals;</w:t>
      </w:r>
    </w:p>
    <w:p>
      <w:pPr>
        <w:numPr>
          <w:ilvl w:val="1"/>
          <w:numId w:val="1007"/>
        </w:numPr>
        <w:pStyle w:val="Compact"/>
      </w:pPr>
      <w:r>
        <w:t xml:space="preserve">intraday data;</w:t>
      </w:r>
    </w:p>
    <w:p>
      <w:pPr>
        <w:numPr>
          <w:ilvl w:val="1"/>
          <w:numId w:val="1007"/>
        </w:numPr>
        <w:pStyle w:val="Compact"/>
      </w:pPr>
      <w:r>
        <w:t xml:space="preserve">realistic execution modelling (a single flat 10 bp round-trip cost is applied to the</w:t>
      </w:r>
      <w:r>
        <w:t xml:space="preserve"> </w:t>
      </w:r>
      <w:r>
        <w:t xml:space="preserve">decile portfolio as a sanity check, but slippage, market impact and borrow costs are not</w:t>
      </w:r>
      <w:r>
        <w:t xml:space="preserve"> </w:t>
      </w:r>
      <w:r>
        <w:t xml:space="preserve">modelled);</w:t>
      </w:r>
    </w:p>
    <w:p>
      <w:pPr>
        <w:numPr>
          <w:ilvl w:val="1"/>
          <w:numId w:val="1007"/>
        </w:numPr>
        <w:pStyle w:val="Compact"/>
      </w:pPr>
      <w:r>
        <w:t xml:space="preserve">portfolio optimisation;</w:t>
      </w:r>
    </w:p>
    <w:p>
      <w:pPr>
        <w:numPr>
          <w:ilvl w:val="1"/>
          <w:numId w:val="1007"/>
        </w:numPr>
        <w:pStyle w:val="Compact"/>
      </w:pPr>
      <w:r>
        <w:t xml:space="preserve">deep-learning models.</w:t>
      </w:r>
    </w:p>
    <w:bookmarkEnd w:id="26"/>
    <w:bookmarkStart w:id="27" w:name="contributions"/>
    <w:p>
      <w:pPr>
        <w:pStyle w:val="Heading2"/>
      </w:pPr>
      <w:r>
        <w:t xml:space="preserve">1.8 Contributions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Benchmarked accuracy, in the right units.</w:t>
      </w:r>
      <w:r>
        <w:t xml:space="preserve"> </w:t>
      </w:r>
      <w:r>
        <w:t xml:space="preserve">Shows that one set of Random Forest</w:t>
      </w:r>
      <w:r>
        <w:t xml:space="preserve"> </w:t>
      </w:r>
      <w:r>
        <w:t xml:space="preserve">forecasts scores R² 0.9994 on the price level and +0.00013 on the return, that its 98.4%</w:t>
      </w:r>
      <w:r>
        <w:t xml:space="preserve"> </w:t>
      </w:r>
      <w:r>
        <w:t xml:space="preserve">“</w:t>
      </w:r>
      <w:r>
        <w:t xml:space="preserve">price accuracy</w:t>
      </w:r>
      <w:r>
        <w:t xml:space="preserve">”</w:t>
      </w:r>
      <w:r>
        <w:t xml:space="preserve"> </w:t>
      </w:r>
      <w:r>
        <w:t xml:space="preserve">is matched exactly by naive persistence, and that a price-level Random</w:t>
      </w:r>
      <w:r>
        <w:t xml:space="preserve"> </w:t>
      </w:r>
      <w:r>
        <w:t xml:space="preserve">Forest is significantly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naive despite R² = 0.993.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five-part reliability audit of SHAP and LIME</w:t>
      </w:r>
      <w:r>
        <w:t xml:space="preserve"> </w:t>
      </w:r>
      <w:r>
        <w:t xml:space="preserve">for stock forecasting: faithfulness,</w:t>
      </w:r>
      <w:r>
        <w:t xml:space="preserve"> </w:t>
      </w:r>
      <w:r>
        <w:t xml:space="preserve">stability, explainer agreement, sanity, and regime and sector drift.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direct SHAP-vs-LIME comparison</w:t>
      </w:r>
      <w:r>
        <w:t xml:space="preserve"> </w:t>
      </w:r>
      <w:r>
        <w:t xml:space="preserve">on the same forecasts: agreement, run-to-run</w:t>
      </w:r>
      <w:r>
        <w:t xml:space="preserve"> </w:t>
      </w:r>
      <w:r>
        <w:t xml:space="preserve">stability, local fidelity and faithfulness.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Statistical tests</w:t>
      </w:r>
      <w:r>
        <w:t xml:space="preserve"> </w:t>
      </w:r>
      <w:r>
        <w:t xml:space="preserve">of explanation drift across four market regimes and 11 sectors,</w:t>
      </w:r>
      <w:r>
        <w:t xml:space="preserve"> </w:t>
      </w:r>
      <w:r>
        <w:t xml:space="preserve">on a 474-stock universe.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reproducibility defect in the common LIME usage pattern</w:t>
      </w:r>
      <w:r>
        <w:t xml:space="preserve">, found, measured and fixed</w:t>
      </w:r>
      <w:r>
        <w:t xml:space="preserve"> </w:t>
      </w:r>
      <w:r>
        <w:t xml:space="preserve">(§6.4). Before the fix the global SHAP–LIME agreement read τ 0.73; after it, τ 0.58. The</w:t>
      </w:r>
      <w:r>
        <w:t xml:space="preserve"> </w:t>
      </w:r>
      <w:r>
        <w:t xml:space="preserve">higher figure was an artefact of LIME not being reproducible across repeats that were</w:t>
      </w:r>
      <w:r>
        <w:t xml:space="preserve"> </w:t>
      </w:r>
      <w:r>
        <w:t xml:space="preserve">intended to be identical.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working forecast-and-audit system</w:t>
      </w:r>
      <w:r>
        <w:t xml:space="preserve"> </w:t>
      </w:r>
      <w:r>
        <w:t xml:space="preserve">(§8): next-session forecasts for 431 currently</w:t>
      </w:r>
      <w:r>
        <w:t xml:space="preserve"> </w:t>
      </w:r>
      <w:r>
        <w:t xml:space="preserve">traded stocks, each explained by TreeSHAP and five LIME runs and audited live, served by</w:t>
      </w:r>
      <w:r>
        <w:t xml:space="preserve"> </w:t>
      </w:r>
      <w:r>
        <w:t xml:space="preserve">code that imports the study’s own explanation functions rather than reimplementing them.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ch-stack"/>
    <w:p>
      <w:pPr>
        <w:pStyle w:val="Heading1"/>
      </w:pPr>
      <w:r>
        <w:t xml:space="preserve">2. Tech stack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270"/>
        <w:gridCol w:w="3885"/>
        <w:gridCol w:w="4482"/>
      </w:tblGrid>
      <w:tr>
        <w:tc>
          <w:tcPr>
            <w:tcW w:type="dxa" w:w="127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Layer</w:t>
            </w:r>
          </w:p>
        </w:tc>
        <w:tc>
          <w:tcPr>
            <w:tcW w:type="dxa" w:w="388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Tool (version)</w:t>
            </w:r>
          </w:p>
        </w:tc>
        <w:tc>
          <w:tcPr>
            <w:tcW w:type="dxa" w:w="448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Used for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Language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Python 3.11.13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All code (11 Python modules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src/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Environment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venv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Isolated, reproducible dependencies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Data handling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pandas 3.0.5, NumPy 2.1.3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Cleaning the panel, feature engineering (wide date × ticker tables), results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Machine learning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scikit-learn 1.9.1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RandomForestRegressor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(main model),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RandomForestClassifier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(direction),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RidgeCV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(baseline),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permutation_importance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XAI: SHAP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0.51.0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TreeExplainer</w:t>
            </w:r>
            <w:r>
              <w:rPr>
                <w:rFonts w:ascii="Calibri" w:hAnsi="Calibri"/>
                <w:sz w:val="18"/>
              </w:rPr>
              <w:t xml:space="preserve">: exact TreeSHAP values, local and global explanations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XAI: LIME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lime 0.2.0.1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LimeTabularExplainer</w:t>
            </w:r>
            <w:r>
              <w:rPr>
                <w:rFonts w:ascii="Calibri" w:hAnsi="Calibri"/>
                <w:sz w:val="18"/>
              </w:rPr>
              <w:t xml:space="preserve">: local surrogate explanations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Statistics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SciPy 1.17.1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Kendall τ, Spearman ρ, binomial test, normal distribution for the Diebold–Mariano test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Visualisation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Matplotlib 3.11.2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All 15 figures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Model storage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joblib 1.6.0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Saved yearly Random Forest models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Live prices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yfinance 0.2.x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Downloading current prices for the next-session forecast (§8.2)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Demonstration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Python standard library (</w:t>
            </w:r>
            <w:r>
              <w:rPr>
                <w:rStyle w:val="VerbatimChar"/>
                <w:rFonts w:ascii="Calibri" w:hAnsi="Calibri"/>
                <w:sz w:val="18"/>
              </w:rPr>
              <w:t xml:space="preserve">http.server</w:t>
            </w:r>
            <w:r>
              <w:rPr>
                <w:rFonts w:ascii="Calibri" w:hAnsi="Calibri"/>
                <w:sz w:val="18"/>
              </w:rPr>
              <w:t xml:space="preserve">), inline SVG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interactive page (§8.3); no web framework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Supporting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numba 0.67.0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Required by shap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Result formats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JSON, CSV, pickle, PNG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Metrics, importances, explanation samples, figures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Hardware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Apple M3 Pro (12 cores), 18 GB RAM, macOS 14.4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Full pipeline runs in about 30 minutes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Data source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ESTIMATE S&amp;P 500 benchmark (Huynh et al., WSDM 2023)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474 stocks, daily OHLCV and GICS sectors</w:t>
            </w:r>
          </w:p>
        </w:tc>
      </w:tr>
      <w:tr>
        <w:tc>
          <w:tcPr>
            <w:tcW w:type="dxa" w:w="127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Literature search</w:t>
            </w:r>
          </w:p>
        </w:tc>
        <w:tc>
          <w:tcPr>
            <w:tcW w:type="dxa" w:w="388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OpenAlex API, arXiv, publisher websites</w:t>
            </w:r>
          </w:p>
        </w:tc>
        <w:tc>
          <w:tcPr>
            <w:tcW w:type="dxa" w:w="44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Finding and verifying the 5 reviewed papers (2025–2026)</w:t>
            </w:r>
          </w:p>
        </w:tc>
      </w:tr>
    </w:tbl>
    <w:p>
      <w:pPr>
        <w:pStyle w:val="BodyText"/>
      </w:pPr>
      <w:r>
        <w:rPr>
          <w:bCs/>
          <w:b/>
        </w:rPr>
        <w:t xml:space="preserve">Pipeline.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214"/>
        <w:gridCol w:w="1214"/>
        <w:gridCol w:w="4097"/>
        <w:gridCol w:w="3111"/>
      </w:tblGrid>
      <w:tr>
        <w:tc>
          <w:tcPr>
            <w:tcW w:type="dxa" w:w="121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Step</w:t>
            </w:r>
          </w:p>
        </w:tc>
        <w:tc>
          <w:tcPr>
            <w:tcW w:type="dxa" w:w="121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Script</w:t>
            </w:r>
          </w:p>
        </w:tc>
        <w:tc>
          <w:tcPr>
            <w:tcW w:type="dxa" w:w="409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Does</w:t>
            </w:r>
          </w:p>
        </w:tc>
        <w:tc>
          <w:tcPr>
            <w:tcW w:type="dxa" w:w="311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Output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data.py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Clean the raw panel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data/panel_clean.pkl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features.py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32 features and next-day targets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data/features.pkl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tune.py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Hyperparameters on 2017–2018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results/tuning.json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train.py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Walk-forward forecasts, 2019–2022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results/predictions.pkl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models/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evaluate.py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Accuracy and significance tests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results/metrics.json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explain.py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explanations and reliability audit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results/xai.json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lime_explain.py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LIME explanations and SHAP-vs-LIME audit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results/lime.json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plots.py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All figures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results/figures/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live.py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Retrain to the latest close, forecast the next session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results/live_forecast.pkl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live_meta.json</w:t>
            </w:r>
          </w:p>
        </w:tc>
      </w:tr>
      <w:tr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type="dxa" w:w="121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app.py</w:t>
            </w:r>
          </w:p>
        </w:tc>
        <w:tc>
          <w:tcPr>
            <w:tcW w:type="dxa" w:w="40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Serve the interactive forecast-and-audit page</w:t>
            </w:r>
          </w:p>
        </w:tc>
        <w:tc>
          <w:tcPr>
            <w:tcW w:type="dxa" w:w="3111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http://127.0.0.1:8000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(paths, periods, regimes, seed) and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 </w:t>
      </w:r>
      <w:r>
        <w:t xml:space="preserve">are imported rather than run</w:t>
      </w:r>
      <w:r>
        <w:t xml:space="preserve"> </w:t>
      </w:r>
      <w:r>
        <w:t xml:space="preserve">on their own;</w:t>
      </w:r>
      <w:r>
        <w:t xml:space="preserve"> </w:t>
      </w:r>
      <w:r>
        <w:rPr>
          <w:rStyle w:val="VerbatimChar"/>
        </w:rPr>
        <w:t xml:space="preserve">features.build()</w:t>
      </w:r>
      <w:r>
        <w:t xml:space="preserve"> </w:t>
      </w:r>
      <w:r>
        <w:t xml:space="preserve">is called by both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live.py</w:t>
      </w:r>
      <w:r>
        <w:t xml:space="preserve">, so the live</w:t>
      </w:r>
      <w:r>
        <w:t xml:space="preserve"> </w:t>
      </w:r>
      <w:r>
        <w:t xml:space="preserve">forecast is constructed from exactly the same 32 features as the study.</w:t>
      </w:r>
    </w:p>
    <w:p>
      <w:r>
        <w:pict>
          <v:rect style="width:0;height:1.5pt" o:hralign="center" o:hrstd="t" o:hr="t"/>
        </w:pict>
      </w:r>
    </w:p>
    <w:bookmarkEnd w:id="29"/>
    <w:bookmarkStart w:id="30" w:name="literature-review"/>
    <w:p>
      <w:pPr>
        <w:pStyle w:val="Heading1"/>
      </w:pPr>
      <w:r>
        <w:t xml:space="preserve">3. Literature review</w:t>
      </w:r>
    </w:p>
    <w:p>
      <w:pPr>
        <w:pStyle w:val="FirstParagraph"/>
      </w:pPr>
      <w:r>
        <w:t xml:space="preserve">Five recent papers (2025–2026) closest to this project: stock prediction with Random Forest</w:t>
      </w:r>
      <w:r>
        <w:t xml:space="preserve"> </w:t>
      </w:r>
      <w:r>
        <w:t xml:space="preserve">or tree-based models, explained with SHAP or LIME, or tested for explanation stability.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602"/>
        <w:gridCol w:w="2258"/>
        <w:gridCol w:w="2258"/>
        <w:gridCol w:w="2258"/>
        <w:gridCol w:w="2258"/>
      </w:tblGrid>
      <w:tr>
        <w:tc>
          <w:tcPr>
            <w:tcW w:type="dxa" w:w="60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225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Paper</w:t>
            </w:r>
          </w:p>
        </w:tc>
        <w:tc>
          <w:tcPr>
            <w:tcW w:type="dxa" w:w="225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Authors</w:t>
            </w:r>
          </w:p>
        </w:tc>
        <w:tc>
          <w:tcPr>
            <w:tcW w:type="dxa" w:w="225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Methodology</w:t>
            </w:r>
          </w:p>
        </w:tc>
        <w:tc>
          <w:tcPr>
            <w:tcW w:type="dxa" w:w="225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Research gap</w:t>
            </w:r>
          </w:p>
        </w:tc>
      </w:tr>
      <w:tr>
        <w:tc>
          <w:tcPr>
            <w:tcW w:type="dxa" w:w="60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Stock Return Prediction on the LQ45 Market Index in the Indonesia Stock Exchange Using a Machine Learning Algorithm Based on Technical Indicators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Journal of Risk and Financial Management, 2025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S. Indra, Sudradjat Supian, Sukono, Riaman Riaman, Moch Panji Agung Saputra, Astrid Sulistya Azahra, Dede Irman Pirdaus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Forest, XGBoost, Linear and Ridge regression on technical indicators for 6 Indonesian stocks (5- and 21-day returns); SHAP to find the most important features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Only 6 stocks. SHAP results are reported but never checked to see if they are correct or stable.</w:t>
            </w:r>
          </w:p>
        </w:tc>
      </w:tr>
      <w:tr>
        <w:tc>
          <w:tcPr>
            <w:tcW w:type="dxa" w:w="60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Comparing model-specific and model-agnostic features importance methods using machine learning with technical indicators: A NASDAQ sector-based study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Machine Learning with Applications, 2025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Jeonghoe Lee, Lin Cai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 and neural networks on NASDAQ’s 11 sectors; compares different feature-importance methods for choosing technical indicators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Uses importance methods only to pick features. Does not test whether the explanations are trustworthy or change over time.</w:t>
            </w:r>
          </w:p>
        </w:tc>
      </w:tr>
      <w:tr>
        <w:tc>
          <w:tcPr>
            <w:tcW w:type="dxa" w:w="60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An Explainable AI for Stock Market Prediction: A Machine Learning Approach with XAI and Deep Neural Networks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Journal of Computational and Cognitive Engineering, 2025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Kangana Wallapure Manikrao, Shridhar Allagi, Wai Yie Leong, Mahantesh Laddi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LSTM with attention using sentiment and technical indicators; compared with Random Forest and XGBoost; SHAP and LIME for explanations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Uses SHAP and LIME side by side but does not check if they agree, or if LIME gives the same answer when run again.</w:t>
            </w:r>
          </w:p>
        </w:tc>
      </w:tr>
      <w:tr>
        <w:tc>
          <w:tcPr>
            <w:tcW w:type="dxa" w:w="60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Regime-Aware LightGBM for Stock Market Forecasting: A Validated Walk-Forward Framework with Statistical Rigor and Explainable AI Analysis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Electronics, 2026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A. Pagliaro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Tree model (LightGBM) on 51 NASDAQ-100 stocks, adjusted for bull and bear markets; explanations show the model behaves differently in each market phase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Says explanations change across market phases but does not test this statistically, and only covers 51 stocks.</w:t>
            </w:r>
          </w:p>
        </w:tc>
      </w:tr>
      <w:tr>
        <w:tc>
          <w:tcPr>
            <w:tcW w:type="dxa" w:w="60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rFonts w:ascii="Calibri" w:hAnsi="Calibri"/>
                <w:i/>
                <w:sz w:val="18"/>
              </w:rPr>
              <w:t xml:space="preserve">Attention Integration Strategies in MLP-Based Stock Movement Prediction: Effects on Performance, Stability, and Interpretability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Electronics, 2026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Yoojeong Song, Woojin Cho, Sang Ik Han, Juhan Yoo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Neural network models trained 1,600 times with different random seeds on 20 stocks (10 CSI 300, 10 S&amp;P 500)</w:t>
            </w:r>
          </w:p>
        </w:tc>
        <w:tc>
          <w:tcPr>
            <w:tcW w:type="dxa" w:w="225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Found that explanations change with the random seed, but only tested neural networks, not Random Forest with SHAP or LIME.</w:t>
            </w:r>
          </w:p>
        </w:tc>
      </w:tr>
    </w:tbl>
    <w:p>
      <w:pPr>
        <w:pStyle w:val="BodyText"/>
      </w:pPr>
      <w:r>
        <w:rPr>
          <w:iCs/>
          <w:i/>
        </w:rPr>
        <w:t xml:space="preserve">Methods and gaps are based on each paper’s abstract and publicly available details;</w:t>
      </w:r>
      <w:r>
        <w:rPr>
          <w:iCs/>
          <w:i/>
        </w:rPr>
        <w:t xml:space="preserve"> </w:t>
      </w:r>
      <w:r>
        <w:rPr>
          <w:iCs/>
          <w:i/>
        </w:rPr>
        <w:t xml:space="preserve">confirm them against the full texts before submission.</w:t>
      </w:r>
    </w:p>
    <w:p>
      <w:r>
        <w:pict>
          <v:rect style="width:0;height:1.5pt" o:hralign="center" o:hrstd="t" o:hr="t"/>
        </w:pict>
      </w:r>
    </w:p>
    <w:bookmarkEnd w:id="30"/>
    <w:bookmarkStart w:id="33" w:name="research-gap"/>
    <w:p>
      <w:pPr>
        <w:pStyle w:val="Heading1"/>
      </w:pPr>
      <w:r>
        <w:t xml:space="preserve">4. Research gap</w:t>
      </w:r>
    </w:p>
    <w:bookmarkStart w:id="31" w:name="what-is-missing"/>
    <w:p>
      <w:pPr>
        <w:pStyle w:val="Heading2"/>
      </w:pPr>
      <w:r>
        <w:t xml:space="preserve">4.1 What is missing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907"/>
        <w:gridCol w:w="1823"/>
        <w:gridCol w:w="3907"/>
      </w:tblGrid>
      <w:tr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What is missing</w:t>
            </w:r>
          </w:p>
        </w:tc>
        <w:tc>
          <w:tcPr>
            <w:tcW w:type="dxa" w:w="182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Seen in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How this project addresses it</w:t>
            </w:r>
          </w:p>
        </w:tc>
      </w:tr>
      <w:tr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Correctness (faithfulness)</w:t>
            </w:r>
            <w:r>
              <w:rPr>
                <w:rFonts w:ascii="Calibri" w:hAnsi="Calibri"/>
                <w:sz w:val="18"/>
              </w:rPr>
              <w:t xml:space="preserve">: checking that SHAP or LIME point to features the model really uses</w:t>
            </w:r>
          </w:p>
        </w:tc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Papers 1, 3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Deletion tests: removing top-ranked features must change the forecast more than removing random ones</w:t>
            </w:r>
          </w:p>
        </w:tc>
      </w:tr>
      <w:tr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Stability</w:t>
            </w:r>
            <w:r>
              <w:rPr>
                <w:rFonts w:ascii="Calibri" w:hAnsi="Calibri"/>
                <w:sz w:val="18"/>
              </w:rPr>
              <w:t xml:space="preserve">: same explanation when the model is re-seeded or retrained, or LIME is re-run</w:t>
            </w:r>
          </w:p>
        </w:tc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Papers 1, 3, 5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 random seeds, yearly retraining, and 5 LIME runs per forecast</w:t>
            </w:r>
          </w:p>
        </w:tc>
      </w:tr>
      <w:tr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Agreement between explainers</w:t>
            </w:r>
          </w:p>
        </w:tc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Papers 2, 3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vs LIME vs permutation importance vs MDI</w:t>
            </w:r>
          </w:p>
        </w:tc>
      </w:tr>
      <w:tr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Tested changes across market phases and sectors</w:t>
            </w:r>
          </w:p>
        </w:tc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Papers 2, 4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Permutation tests across 4 market regimes and 11 sectors</w:t>
            </w:r>
          </w:p>
        </w:tc>
      </w:tr>
      <w:tr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Broad stock universe</w:t>
            </w:r>
          </w:p>
        </w:tc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Papers 1, 4, 5 (6–51 stocks)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474 S&amp;P 500 stocks</w:t>
            </w:r>
          </w:p>
        </w:tc>
      </w:tr>
    </w:tbl>
    <w:bookmarkEnd w:id="31"/>
    <w:bookmarkStart w:id="32" w:name="overall-research-gap"/>
    <w:p>
      <w:pPr>
        <w:pStyle w:val="Heading2"/>
      </w:pPr>
      <w:r>
        <w:t xml:space="preserve">4.2 Overall research gap</w:t>
      </w:r>
    </w:p>
    <w:p>
      <w:pPr>
        <w:pStyle w:val="BlockText"/>
      </w:pPr>
      <w:r>
        <w:rPr>
          <w:bCs/>
          <w:b/>
        </w:rPr>
        <w:t xml:space="preserve">These papers either use SHAP or LIME without checking whether the explanations can be</w:t>
      </w:r>
      <w:r>
        <w:rPr>
          <w:bCs/>
          <w:b/>
        </w:rPr>
        <w:t xml:space="preserve"> </w:t>
      </w:r>
      <w:r>
        <w:rPr>
          <w:bCs/>
          <w:b/>
        </w:rPr>
        <w:t xml:space="preserve">trusted, or check only one aspect on a small number of stocks. No paper tests, for a</w:t>
      </w:r>
      <w:r>
        <w:rPr>
          <w:bCs/>
          <w:b/>
        </w:rPr>
        <w:t xml:space="preserve"> </w:t>
      </w:r>
      <w:r>
        <w:rPr>
          <w:bCs/>
          <w:b/>
        </w:rPr>
        <w:t xml:space="preserve">Random Forest stock price model, whether SHAP and LIME explanations are (1) correct</w:t>
      </w:r>
      <w:r>
        <w:rPr>
          <w:bCs/>
          <w:b/>
        </w:rPr>
        <w:t xml:space="preserve"> </w:t>
      </w:r>
      <w:r>
        <w:rPr>
          <w:bCs/>
          <w:b/>
        </w:rPr>
        <w:t xml:space="preserve">(faithful to the model), (2) stable when the model or LIME is re-run, (3) in agreement</w:t>
      </w:r>
      <w:r>
        <w:rPr>
          <w:bCs/>
          <w:b/>
        </w:rPr>
        <w:t xml:space="preserve"> </w:t>
      </w:r>
      <w:r>
        <w:rPr>
          <w:bCs/>
          <w:b/>
        </w:rPr>
        <w:t xml:space="preserve">with each other, and (4) consistent across market phases such as the COVID crash and</w:t>
      </w:r>
      <w:r>
        <w:rPr>
          <w:bCs/>
          <w:b/>
        </w:rPr>
        <w:t xml:space="preserve"> </w:t>
      </w:r>
      <w:r>
        <w:rPr>
          <w:bCs/>
          <w:b/>
        </w:rPr>
        <w:t xml:space="preserve">across sectors. This project fills that gap on 474 S&amp;P 500 stocks, with price accuracy</w:t>
      </w:r>
      <w:r>
        <w:rPr>
          <w:bCs/>
          <w:b/>
        </w:rPr>
        <w:t xml:space="preserve"> </w:t>
      </w:r>
      <w:r>
        <w:rPr>
          <w:bCs/>
          <w:b/>
        </w:rPr>
        <w:t xml:space="preserve">benchmarked against a naive forecast.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"/>
    <w:p>
      <w:pPr>
        <w:pStyle w:val="Heading1"/>
      </w:pPr>
      <w:r>
        <w:t xml:space="preserve">5. Data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127"/>
        <w:gridCol w:w="7509"/>
      </w:tblGrid>
      <w:tr>
        <w:tc>
          <w:tcPr>
            <w:tcW w:type="dxa" w:w="212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Item</w:t>
            </w:r>
          </w:p>
        </w:tc>
        <w:tc>
          <w:tcPr>
            <w:tcW w:type="dxa" w:w="751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Detail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Source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Public S&amp;P 500 benchmark released with ESTIMATE (Huynh et al., WSDM 2023), also used by StockMixer (Fan &amp; Shen, AAAI 2024)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Universe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474 S&amp;P 500 constituents, 11 GICS sectors (21–67 stocks each)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Fields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Daily open, high, low, close, adjusted close, volume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Period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14 May 2012 – 25 May 2022 (2,526 trading days), including the COVID crash and the 2022 bear market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Usable stock-days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1,097,165 (after a 200-day feature warm-up and cleaning)</w:t>
            </w:r>
          </w:p>
        </w:tc>
      </w:tr>
      <w:tr>
        <w:tc>
          <w:tcPr>
            <w:tcW w:type="dxa" w:w="212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Test stock-days</w:t>
            </w:r>
          </w:p>
        </w:tc>
        <w:tc>
          <w:tcPr>
            <w:tcW w:type="dxa" w:w="751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405,545 (856 trading days, Jan 2019 – May 2022)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Cleaning (</w:t>
      </w:r>
      <w:r>
        <w:rPr>
          <w:rStyle w:val="VerbatimChar"/>
          <w:bCs/>
          <w:b/>
        </w:rPr>
        <w:t xml:space="preserve">data.py</w:t>
      </w:r>
      <w:r>
        <w:rPr>
          <w:bCs/>
          <w:b/>
        </w:rPr>
        <w:t xml:space="preserve">).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4251"/>
        <w:gridCol w:w="1133"/>
        <w:gridCol w:w="4251"/>
      </w:tblGrid>
      <w:tr>
        <w:tc>
          <w:tcPr>
            <w:tcW w:type="dxa" w:w="42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Issue found</w:t>
            </w:r>
          </w:p>
        </w:tc>
        <w:tc>
          <w:tcPr>
            <w:tcW w:type="dxa" w:w="11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Rows affected</w:t>
            </w:r>
          </w:p>
        </w:tc>
        <w:tc>
          <w:tcPr>
            <w:tcW w:type="dxa" w:w="42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Fix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Adjusted close missing before a stock was listed (e.g. PAYC, HLT)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3,450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Dropped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For 12 tickers, open/high/low were already dividend-adjusted while close was not, so high/low didn’t bracket the close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~27,000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Convention detected per ticker; OHLC put on one adjusted basis</w:t>
            </w:r>
          </w:p>
        </w:tc>
      </w:tr>
      <w:tr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GOOG before 27 March 2014: a different, unadjusted share-class series (a −300% jump)</w:t>
            </w:r>
          </w:p>
        </w:tc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470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Dropped</w:t>
            </w:r>
          </w:p>
        </w:tc>
      </w:tr>
    </w:tbl>
    <w:p>
      <w:pPr>
        <w:pStyle w:val="BodyText"/>
      </w:pPr>
      <w:r>
        <w:t xml:space="preserve">Real extreme moves are kept, e.g. the 9 March 2020 oil crash (APA −54%).</w:t>
      </w:r>
    </w:p>
    <w:p>
      <w:r>
        <w:pict>
          <v:rect style="width:0;height:1.5pt" o:hralign="center" o:hrstd="t" o:hr="t"/>
        </w:pict>
      </w:r>
    </w:p>
    <w:bookmarkEnd w:id="34"/>
    <w:bookmarkStart w:id="40" w:name="methodology"/>
    <w:p>
      <w:pPr>
        <w:pStyle w:val="Heading1"/>
      </w:pPr>
      <w:r>
        <w:t xml:space="preserve">6. Methodology</w:t>
      </w:r>
    </w:p>
    <w:bookmarkStart w:id="35" w:name="target-and-model"/>
    <w:p>
      <w:pPr>
        <w:pStyle w:val="Heading2"/>
      </w:pPr>
      <w:r>
        <w:t xml:space="preserve">6.1 Target and model</w:t>
      </w:r>
    </w:p>
    <w:p>
      <w:pPr>
        <w:pStyle w:val="FirstParagraph"/>
      </w:pPr>
      <w:r>
        <w:rPr>
          <w:bCs/>
          <w:b/>
        </w:rPr>
        <w:t xml:space="preserve">Target.</w:t>
      </w:r>
      <w:r>
        <w:t xml:space="preserve"> </w:t>
      </w:r>
      <w:r>
        <w:t xml:space="preserve">For stock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on day</w:t>
      </w:r>
      <w:r>
        <w:t xml:space="preserve"> </w:t>
      </w:r>
      <w:r>
        <w:rPr>
          <w:iCs/>
          <w:i/>
        </w:rPr>
        <w:t xml:space="preserve">t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the model predicts the next-day log return</w:t>
      </w:r>
      <w:r>
        <w:t xml:space="preserve"> </w:t>
      </w:r>
      <w:r>
        <w:rPr>
          <w:iCs/>
          <w:i/>
        </w:rPr>
        <w:t xml:space="preserve">r̂</w:t>
      </w:r>
      <w:r>
        <w:t xml:space="preserve">ᵢ,ₜ₊₁;</w:t>
      </w:r>
    </w:p>
    <w:p>
      <w:pPr>
        <w:numPr>
          <w:ilvl w:val="0"/>
          <w:numId w:val="1009"/>
        </w:numPr>
        <w:pStyle w:val="Compact"/>
      </w:pPr>
      <w:r>
        <w:t xml:space="preserve">the price forecast is</w:t>
      </w:r>
      <w:r>
        <w:t xml:space="preserve"> </w:t>
      </w:r>
      <w:r>
        <w:rPr>
          <w:iCs/>
          <w:i/>
        </w:rPr>
        <w:t xml:space="preserve">P̂</w:t>
      </w:r>
      <w:r>
        <w:t xml:space="preserve">ᵢ,ₜ₊₁ =</w:t>
      </w:r>
      <w:r>
        <w:t xml:space="preserve"> </w:t>
      </w:r>
      <w:r>
        <w:rPr>
          <w:iCs/>
          <w:i/>
        </w:rPr>
        <w:t xml:space="preserve">P</w:t>
      </w:r>
      <w:r>
        <w:t xml:space="preserve">ᵢ,ₜ · exp(</w:t>
      </w:r>
      <w:r>
        <w:rPr>
          <w:iCs/>
          <w:i/>
        </w:rPr>
        <w:t xml:space="preserve">r̂</w:t>
      </w:r>
      <w:r>
        <w:t xml:space="preserve">ᵢ,ₜ₊₁).</w:t>
      </w:r>
    </w:p>
    <w:p>
      <w:pPr>
        <w:pStyle w:val="FirstParagraph"/>
      </w:pPr>
      <w:r>
        <w:t xml:space="preserve">Forecasting returns rather than price levels lets one model serve stocks priced from $10</w:t>
      </w:r>
      <w:r>
        <w:t xml:space="preserve"> </w:t>
      </w:r>
      <w:r>
        <w:t xml:space="preserve">to $3,000, and avoids a tree’s inability to predict beyond the price range seen in training</w:t>
      </w:r>
      <w:r>
        <w:t xml:space="preserve"> </w:t>
      </w:r>
      <w:r>
        <w:t xml:space="preserve">(§7.1).</w:t>
      </w:r>
    </w:p>
    <w:p>
      <w:pPr>
        <w:pStyle w:val="BodyText"/>
      </w:pPr>
      <w:r>
        <w:rPr>
          <w:bCs/>
          <w:b/>
        </w:rPr>
        <w:t xml:space="preserve">Random Forest (scikit-learn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RandomForestRegressor</w:t>
      </w:r>
      <w:r>
        <w:rPr>
          <w:bCs/>
          <w:b/>
        </w:rP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Fixed settings:</w:t>
      </w:r>
      <w:r>
        <w:t xml:space="preserve"> </w:t>
      </w:r>
      <w:r>
        <w:t xml:space="preserve">300 trees, each on a 25% bootstrap sample.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Tuned settings: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∈ {200, 1000, 5000},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∈ {0.3, 0.6}.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Tuning:</w:t>
      </w:r>
      <w:r>
        <w:t xml:space="preserve"> </w:t>
      </w:r>
      <w:r>
        <w:t xml:space="preserve">by validation MSE averaged over 2017 and 2018, each validated with a model</w:t>
      </w:r>
      <w:r>
        <w:t xml:space="preserve"> </w:t>
      </w:r>
      <w:r>
        <w:t xml:space="preserve">trained on all earlier data.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Selected:</w:t>
      </w:r>
      <w:r>
        <w:t xml:space="preserve"> </w:t>
      </w:r>
      <w:r>
        <w:rPr>
          <w:rStyle w:val="VerbatimChar"/>
        </w:rPr>
        <w:t xml:space="preserve">min_samples_leaf =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 = 0.3</w:t>
      </w:r>
      <w:r>
        <w:t xml:space="preserve">, the most regularised</w:t>
      </w:r>
      <w:r>
        <w:t xml:space="preserve"> </w:t>
      </w:r>
      <w:r>
        <w:t xml:space="preserve">option. That is itself a sign of a low signal-to-noise problem.</w:t>
      </w:r>
    </w:p>
    <w:bookmarkEnd w:id="35"/>
    <w:bookmarkStart w:id="36" w:name="features"/>
    <w:p>
      <w:pPr>
        <w:pStyle w:val="Heading2"/>
      </w:pPr>
      <w:r>
        <w:t xml:space="preserve">6.2 Features</w:t>
      </w:r>
    </w:p>
    <w:p>
      <w:pPr>
        <w:pStyle w:val="FirstParagraph"/>
      </w:pPr>
      <w:r>
        <w:t xml:space="preserve">32 features, each computed only from data up to day</w:t>
      </w:r>
      <w:r>
        <w:t xml:space="preserve"> </w:t>
      </w:r>
      <w:r>
        <w:rPr>
          <w:iCs/>
          <w:i/>
        </w:rPr>
        <w:t xml:space="preserve">t</w:t>
      </w:r>
      <w:r>
        <w:t xml:space="preserve">’s close: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Family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Features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Past returns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Log returns over 1, 2, 5, 10, 20, 60 days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Trend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Distance from 5/20/50/200-day moving average; MACD histogram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Oscillators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RSI(14), stochastic %K(14), Bollinger %B(20)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Volatility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Realised volatility (5, 20, 60 days), ATR(14), day range, Bollinger width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 vs 20-day average, 5 vs 20-day volume trend, log dollar volume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Candle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Overnight gap, open-to-close body, close position in the day range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Equal-weighted market return (1 day, 5 days) and 20-day volatility, sector 5-day return, 20-day relative strength, 60-day beta</w:t>
            </w:r>
          </w:p>
        </w:tc>
      </w:tr>
    </w:tbl>
    <w:bookmarkEnd w:id="36"/>
    <w:bookmarkStart w:id="37" w:name="evaluation-design"/>
    <w:p>
      <w:pPr>
        <w:pStyle w:val="Heading2"/>
      </w:pPr>
      <w:r>
        <w:t xml:space="preserve">6.3 Evaluation design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Walk-forward test.</w:t>
      </w:r>
      <w:r>
        <w:t xml:space="preserve"> </w:t>
      </w:r>
      <w:r>
        <w:t xml:space="preserve">At the start of 2019, 2020, 2021 and 2022, the model is retrained</w:t>
      </w:r>
      <w:r>
        <w:t xml:space="preserve"> </w:t>
      </w:r>
      <w:r>
        <w:t xml:space="preserve">on all stock-days from March 2013 up to the previous 31 December, then forecasts every</w:t>
      </w:r>
      <w:r>
        <w:t xml:space="preserve"> </w:t>
      </w:r>
      <w:r>
        <w:t xml:space="preserve">stock-day of that year. The test period is never used for tuning or design.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Baselines:</w:t>
      </w:r>
    </w:p>
    <w:p>
      <w:pPr>
        <w:numPr>
          <w:ilvl w:val="1"/>
          <w:numId w:val="1012"/>
        </w:numPr>
        <w:pStyle w:val="Compact"/>
      </w:pPr>
      <w:r>
        <w:t xml:space="preserve">naive persistence (</w:t>
      </w:r>
      <w:r>
        <w:rPr>
          <w:iCs/>
          <w:i/>
        </w:rPr>
        <w:t xml:space="preserve">P̂</w:t>
      </w:r>
      <w:r>
        <w:t xml:space="preserve">ₜ₊₁ =</w:t>
      </w:r>
      <w:r>
        <w:t xml:space="preserve"> </w:t>
      </w:r>
      <w:r>
        <w:rPr>
          <w:iCs/>
          <w:i/>
        </w:rPr>
        <w:t xml:space="preserve">P</w:t>
      </w:r>
      <w:r>
        <w:t xml:space="preserve">ₜ);</w:t>
      </w:r>
    </w:p>
    <w:p>
      <w:pPr>
        <w:numPr>
          <w:ilvl w:val="1"/>
          <w:numId w:val="1012"/>
        </w:numPr>
        <w:pStyle w:val="Compact"/>
      </w:pPr>
      <w:r>
        <w:t xml:space="preserve">historical drift (mean training return);</w:t>
      </w:r>
    </w:p>
    <w:p>
      <w:pPr>
        <w:numPr>
          <w:ilvl w:val="1"/>
          <w:numId w:val="1012"/>
        </w:numPr>
        <w:pStyle w:val="Compact"/>
      </w:pPr>
      <w:r>
        <w:t xml:space="preserve">Ridge regression on the same features;</w:t>
      </w:r>
    </w:p>
    <w:p>
      <w:pPr>
        <w:numPr>
          <w:ilvl w:val="1"/>
          <w:numId w:val="1012"/>
        </w:numPr>
        <w:pStyle w:val="Compact"/>
      </w:pPr>
      <w:r>
        <w:t xml:space="preserve">RF on raw price levels (close, 4 lags, open/high/low, moving averages in $);</w:t>
      </w:r>
    </w:p>
    <w:p>
      <w:pPr>
        <w:numPr>
          <w:ilvl w:val="1"/>
          <w:numId w:val="1012"/>
        </w:numPr>
        <w:pStyle w:val="Compact"/>
      </w:pPr>
      <w:r>
        <w:t xml:space="preserve">RF classifier for next-day direction.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Metrics.</w:t>
      </w:r>
      <w:r>
        <w:t xml:space="preserve"> </w:t>
      </w:r>
      <w:r>
        <w:t xml:space="preserve">Every model produces one forecast, which is then scored twice: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return skill (primary)</w:t>
      </w:r>
      <w:r>
        <w:t xml:space="preserve"> </w:t>
      </w:r>
      <w:r>
        <w:t xml:space="preserve">— MAE and RMSE in basis points, out-of-sample R² against a</w:t>
      </w:r>
      <w:r>
        <w:t xml:space="preserve"> </w:t>
      </w:r>
      <w:r>
        <w:t xml:space="preserve">zero-return forecast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against the historical drift, daily IC, Rank IC, ICIR,</w:t>
      </w:r>
      <w:r>
        <w:t xml:space="preserve"> </w:t>
      </w:r>
      <w:r>
        <w:t xml:space="preserve">directional accuracy, AUC (classifier), and the standard deviation of the forecasts</w:t>
      </w:r>
      <w:r>
        <w:t xml:space="preserve"> </w:t>
      </w:r>
      <w:r>
        <w:t xml:space="preserve">themselves against the realised 245 bp;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price accuracy (secondary, for comparability)</w:t>
      </w:r>
      <w:r>
        <w:t xml:space="preserve"> </w:t>
      </w:r>
      <w:r>
        <w:t xml:space="preserve">— MAE, RMSE, MAPE, R², share within</w:t>
      </w:r>
      <w:r>
        <w:t xml:space="preserve"> </w:t>
      </w:r>
      <w:r>
        <w:t xml:space="preserve">1% and 2%;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economic</w:t>
      </w:r>
      <w:r>
        <w:t xml:space="preserve"> </w:t>
      </w:r>
      <w:r>
        <w:t xml:space="preserve">— mean next-day return of each decile of the predicted return, the</w:t>
      </w:r>
      <w:r>
        <w:t xml:space="preserve"> </w:t>
      </w:r>
      <w:r>
        <w:t xml:space="preserve">long-short decile spread, its t-statistic and annualised Sharpe ratio, and its value net</w:t>
      </w:r>
      <w:r>
        <w:t xml:space="preserve"> </w:t>
      </w:r>
      <w:r>
        <w:t xml:space="preserve">of an assumed 10 bp round-trip transaction cost.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Significance tests:</w:t>
      </w:r>
    </w:p>
    <w:p>
      <w:pPr>
        <w:numPr>
          <w:ilvl w:val="1"/>
          <w:numId w:val="1014"/>
        </w:numPr>
        <w:pStyle w:val="Compact"/>
      </w:pPr>
      <w:r>
        <w:t xml:space="preserve">Diebold–Mariano test (Newey–West, 5 lags) on the daily mean squared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error vs a</w:t>
      </w:r>
      <w:r>
        <w:t xml:space="preserve"> </w:t>
      </w:r>
      <w:r>
        <w:t xml:space="preserve">zero-return forecast, and on the daily mean squared percentage</w:t>
      </w:r>
      <w:r>
        <w:t xml:space="preserve"> </w:t>
      </w:r>
      <w:r>
        <w:rPr>
          <w:bCs/>
          <w:b/>
        </w:rPr>
        <w:t xml:space="preserve">price</w:t>
      </w:r>
      <w:r>
        <w:t xml:space="preserve"> </w:t>
      </w:r>
      <w:r>
        <w:t xml:space="preserve">error vs naive</w:t>
      </w:r>
      <w:r>
        <w:t xml:space="preserve"> </w:t>
      </w:r>
      <w:r>
        <w:t xml:space="preserve">persistence;</w:t>
      </w:r>
    </w:p>
    <w:p>
      <w:pPr>
        <w:numPr>
          <w:ilvl w:val="1"/>
          <w:numId w:val="1014"/>
        </w:numPr>
        <w:pStyle w:val="Compact"/>
      </w:pPr>
      <w:r>
        <w:t xml:space="preserve">binomial test of directional accuracy vs</w:t>
      </w:r>
      <w:r>
        <w:t xml:space="preserve"> </w:t>
      </w:r>
      <w:r>
        <w:t xml:space="preserve">“</w:t>
      </w:r>
      <w:r>
        <w:t xml:space="preserve">always predict the majority direction</w:t>
      </w:r>
      <w:r>
        <w:t xml:space="preserve">”</w:t>
      </w:r>
      <w:r>
        <w:t xml:space="preserve">.</w:t>
      </w:r>
    </w:p>
    <w:bookmarkEnd w:id="37"/>
    <w:bookmarkStart w:id="38" w:name="explanation-methods"/>
    <w:p>
      <w:pPr>
        <w:pStyle w:val="Heading2"/>
      </w:pPr>
      <w:r>
        <w:t xml:space="preserve">6.4 Explanation methods</w:t>
      </w:r>
    </w:p>
    <w:p>
      <w:pPr>
        <w:pStyle w:val="FirstParagraph"/>
      </w:pPr>
      <w:r>
        <w:rPr>
          <w:bCs/>
          <w:b/>
        </w:rPr>
        <w:t xml:space="preserve">TreeSHAP (</w:t>
      </w:r>
      <w:r>
        <w:rPr>
          <w:rStyle w:val="VerbatimChar"/>
          <w:bCs/>
          <w:b/>
        </w:rPr>
        <w:t xml:space="preserve">shap.TreeExplainer</w:t>
      </w:r>
      <w:r>
        <w:rPr>
          <w:bCs/>
          <w:b/>
        </w:rP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it computes:</w:t>
      </w:r>
      <w:r>
        <w:t xml:space="preserve"> </w:t>
      </w:r>
      <w:r>
        <w:t xml:space="preserve">exact Shapley values for tree ensembles. For every forecast,</w:t>
      </w:r>
      <w:r>
        <w:t xml:space="preserve"> </w:t>
      </w:r>
      <w:r>
        <w:rPr>
          <w:iCs/>
          <w:i/>
        </w:rPr>
        <w:t xml:space="preserve">base value</w:t>
      </w:r>
      <w:r>
        <w:t xml:space="preserve"> </w:t>
      </w:r>
      <w:r>
        <w:t xml:space="preserve">+ Σ SHAP = prediction (verified: additivity error &lt; 3×10⁻¹⁷).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Sample:</w:t>
      </w:r>
      <w:r>
        <w:t xml:space="preserve"> </w:t>
      </w:r>
      <w:r>
        <w:t xml:space="preserve">40 random stocks per test day plus AAPL, MSFT, JPM, XOM and PFE on every</w:t>
      </w:r>
      <w:r>
        <w:t xml:space="preserve"> </w:t>
      </w:r>
      <w:r>
        <w:t xml:space="preserve">day, giving</w:t>
      </w:r>
      <w:r>
        <w:t xml:space="preserve"> </w:t>
      </w:r>
      <w:r>
        <w:rPr>
          <w:bCs/>
          <w:b/>
        </w:rPr>
        <w:t xml:space="preserve">38,183 stock-days</w:t>
      </w:r>
      <w:r>
        <w:t xml:space="preserve">, each explained by its own year’s model.</w:t>
      </w:r>
    </w:p>
    <w:p>
      <w:pPr>
        <w:pStyle w:val="FirstParagraph"/>
      </w:pPr>
      <w:r>
        <w:rPr>
          <w:bCs/>
          <w:b/>
        </w:rPr>
        <w:t xml:space="preserve">LIME (</w:t>
      </w:r>
      <w:r>
        <w:rPr>
          <w:rStyle w:val="VerbatimChar"/>
          <w:bCs/>
          <w:b/>
        </w:rPr>
        <w:t xml:space="preserve">lime.lime_tabular.LimeTabularExplainer</w:t>
      </w:r>
      <w:r>
        <w:rPr>
          <w:bCs/>
          <w:b/>
        </w:rP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for one forecast, it samples 5,000 perturbed inputs, weights them by</w:t>
      </w:r>
      <w:r>
        <w:t xml:space="preserve"> </w:t>
      </w:r>
      <w:r>
        <w:t xml:space="preserve">proximity, and fits a linear surrogate model whose weights form the explanation.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Settings:</w:t>
      </w:r>
      <w:r>
        <w:t xml:space="preserve"> </w:t>
      </w:r>
      <w:r>
        <w:t xml:space="preserve">default quartile discretisation; 5,000 training rows as the reference</w:t>
      </w:r>
      <w:r>
        <w:t xml:space="preserve"> </w:t>
      </w:r>
      <w:r>
        <w:t xml:space="preserve">distribution.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Seeding.</w:t>
      </w:r>
      <w:r>
        <w:t xml:space="preserve"> </w:t>
      </w:r>
      <w:r>
        <w:t xml:space="preserve">A fresh</w:t>
      </w:r>
      <w:r>
        <w:t xml:space="preserve"> </w:t>
      </w:r>
      <w:r>
        <w:rPr>
          <w:rStyle w:val="VerbatimChar"/>
        </w:rPr>
        <w:t xml:space="preserve">LimeTabularExplainer</w:t>
      </w:r>
      <w:r>
        <w:t xml:space="preserve"> </w:t>
      </w:r>
      <w:r>
        <w:t xml:space="preserve">is constructed for every explanation, with the</w:t>
      </w:r>
      <w:r>
        <w:t xml:space="preserve"> </w:t>
      </w:r>
      <w:r>
        <w:t xml:space="preserve">seed that explanation will use. This matters: the class binds its</w:t>
      </w:r>
      <w:r>
        <w:t xml:space="preserve"> </w:t>
      </w:r>
      <w:r>
        <w:rPr>
          <w:rStyle w:val="VerbatimChar"/>
        </w:rPr>
        <w:t xml:space="preserve">RandomState</w:t>
      </w:r>
      <w:r>
        <w:t xml:space="preserve"> </w:t>
      </w:r>
      <w:r>
        <w:t xml:space="preserve">into the</w:t>
      </w:r>
      <w:r>
        <w:t xml:space="preserve"> </w:t>
      </w:r>
      <w:r>
        <w:t xml:space="preserve">discretiser and the surrogate solver at construction, so reassigning</w:t>
      </w:r>
      <w:r>
        <w:t xml:space="preserve"> </w:t>
      </w:r>
      <w:r>
        <w:rPr>
          <w:rStyle w:val="VerbatimChar"/>
        </w:rPr>
        <w:t xml:space="preserve">.random_state</w:t>
      </w:r>
      <w:r>
        <w:t xml:space="preserve"> </w:t>
      </w:r>
      <w:r>
        <w:t xml:space="preserve">on a</w:t>
      </w:r>
      <w:r>
        <w:t xml:space="preserve"> </w:t>
      </w:r>
      <w:r>
        <w:t xml:space="preserve">reused explainer controls only part of the sampling, and the same seed then returns a</w:t>
      </w:r>
      <w:r>
        <w:t xml:space="preserve"> </w:t>
      </w:r>
      <w:r>
        <w:t xml:space="preserve">different explanation on every call (measured here: Spearman 0.46–0.53 between repeats that</w:t>
      </w:r>
      <w:r>
        <w:t xml:space="preserve"> </w:t>
      </w:r>
      <w:r>
        <w:t xml:space="preserve">should have been identical). Building the explainer per seed costs 18 ms and makes each run</w:t>
      </w:r>
      <w:r>
        <w:t xml:space="preserve"> </w:t>
      </w:r>
      <w:r>
        <w:t xml:space="preserve">exactly reproducible, so the run-to-run figures below measure LIME’s own sampling</w:t>
      </w:r>
      <w:r>
        <w:t xml:space="preserve"> </w:t>
      </w:r>
      <w:r>
        <w:t xml:space="preserve">variability rather than leaked state.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Sample:</w:t>
      </w:r>
      <w:r>
        <w:t xml:space="preserve"> </w:t>
      </w:r>
      <w:r>
        <w:rPr>
          <w:bCs/>
          <w:b/>
        </w:rPr>
        <w:t xml:space="preserve">804 stock-days</w:t>
      </w:r>
      <w:r>
        <w:t xml:space="preserve"> </w:t>
      </w:r>
      <w:r>
        <w:t xml:space="preserve">(200 per test year plus the local cases), each explained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5 different random seeds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Comparison explainers.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Permutation importance:</w:t>
      </w:r>
      <w:r>
        <w:t xml:space="preserve"> </w:t>
      </w:r>
      <w:r>
        <w:t xml:space="preserve">increase in test MSE when a feature is shuffled; 3 repeats.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MDI:</w:t>
      </w:r>
      <w:r>
        <w:t xml:space="preserve"> </w:t>
      </w:r>
      <w:r>
        <w:t xml:space="preserve">the Random Forest’s built-in impurity importance.</w:t>
      </w:r>
    </w:p>
    <w:p>
      <w:pPr>
        <w:pStyle w:val="FirstParagraph"/>
      </w:pPr>
      <w:r>
        <w:rPr>
          <w:bCs/>
          <w:b/>
        </w:rPr>
        <w:t xml:space="preserve">Derived explanations.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Global:</w:t>
      </w:r>
      <w:r>
        <w:t xml:space="preserve"> </w:t>
      </w:r>
      <w:r>
        <w:t xml:space="preserve">mean |SHAP| and mean |LIME weight| per feature.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Feature-family shares:</w:t>
      </w:r>
      <w:r>
        <w:t xml:space="preserve"> </w:t>
      </w:r>
      <w:r>
        <w:t xml:space="preserve">each family’s share of total |SHAP|.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Local, in basis points:</w:t>
      </w:r>
      <w:r>
        <w:t xml:space="preserve"> </w:t>
      </w:r>
      <w:r>
        <w:t xml:space="preserve">each feature’s contribution to the forecast next-day return,</w:t>
      </w:r>
      <w:r>
        <w:t xml:space="preserve"> </w:t>
      </w:r>
      <w:r>
        <w:t xml:space="preserve">in the model’s own unit (the dollar equivalent, attribution × close price, is reported</w:t>
      </w:r>
      <w:r>
        <w:t xml:space="preserve"> </w:t>
      </w:r>
      <w:r>
        <w:t xml:space="preserve">alongside).</w:t>
      </w:r>
    </w:p>
    <w:bookmarkEnd w:id="38"/>
    <w:bookmarkStart w:id="39" w:name="reliability-audit"/>
    <w:p>
      <w:pPr>
        <w:pStyle w:val="Heading2"/>
      </w:pPr>
      <w:r>
        <w:t xml:space="preserve">6.5 Reliability audit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770"/>
        <w:gridCol w:w="3933"/>
        <w:gridCol w:w="3933"/>
      </w:tblGrid>
      <w:tr>
        <w:tc>
          <w:tcPr>
            <w:tcW w:type="dxa" w:w="177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Check</w:t>
            </w:r>
          </w:p>
        </w:tc>
        <w:tc>
          <w:tcPr>
            <w:tcW w:type="dxa" w:w="39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SHAP</w:t>
            </w:r>
          </w:p>
        </w:tc>
        <w:tc>
          <w:tcPr>
            <w:tcW w:type="dxa" w:w="39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LIME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Faithfulness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Replace the top-</w:t>
            </w:r>
            <w:r>
              <w:rPr>
                <w:iCs/>
                <w:rFonts w:ascii="Calibri" w:hAnsi="Calibri"/>
                <w:i/>
                <w:sz w:val="18"/>
              </w:rPr>
              <w:t xml:space="preserve">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features (by |SHAP|) with values from 32 random training rows,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∈ {1, 2, 4, 8, 16, 32}; compare with random order; AOPC; fidelity = corr(SHAP mass removed, actual change)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Same deletion test, ordered by |LIME weight|, on the LIME sample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Stability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 random seeds on identical 2013–2019 data (4,000 stock-days from 2020); consecutive yearly retrains (4,000 stock-days from 2022); global Kendall τ and per-row Spearman ρ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Same stock-day explained with 5 LIME seeds: median ρ, top-5 overlap, identical top feature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Local fit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Exact by construction (additivity)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R² of LIME’s surrogate model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Agreement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Global Kendall τ among TreeSHAP, LIME, permutation and MDI; per-row SHAP vs LIME: Spearman ρ, top-5 overlap, same top feature, sign agreement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(same)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Sanity (data randomisation)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RFs trained on fully shuffled labels (no signal) and on labels shuffled within each day (keeps market-wide timing only)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77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Regime and sector drift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Mean pairwise total-variation distance (TVD) between family-share vectors; null distribution from 1,000 permutations that shuffle whole days (regimes) or whole stocks (sectors)</w:t>
            </w:r>
          </w:p>
        </w:tc>
        <w:tc>
          <w:tcPr>
            <w:tcW w:type="dxa" w:w="3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Regimes</w:t>
      </w:r>
      <w:r>
        <w:t xml:space="preserve"> </w:t>
      </w:r>
      <w:r>
        <w:t xml:space="preserve">(fixed in advance from market events):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Pre-COVID bull:</w:t>
      </w:r>
      <w:r>
        <w:t xml:space="preserve"> </w:t>
      </w:r>
      <w:r>
        <w:t xml:space="preserve">2019-01-01 → 2020-02-19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COVID crash:</w:t>
      </w:r>
      <w:r>
        <w:t xml:space="preserve"> </w:t>
      </w:r>
      <w:r>
        <w:t xml:space="preserve">2020-02-20 → 2020-03-23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Recovery:</w:t>
      </w:r>
      <w:r>
        <w:t xml:space="preserve"> </w:t>
      </w:r>
      <w:r>
        <w:t xml:space="preserve">2020-03-24 → 2021-12-31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2022 bear:</w:t>
      </w:r>
      <w:r>
        <w:t xml:space="preserve"> </w:t>
      </w:r>
      <w:r>
        <w:t xml:space="preserve">2022-01-01 → 2022-05-24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6" w:name="results"/>
    <w:p>
      <w:pPr>
        <w:pStyle w:val="Heading1"/>
      </w:pPr>
      <w:r>
        <w:t xml:space="preserve">7. Results</w:t>
      </w:r>
    </w:p>
    <w:bookmarkStart w:id="50" w:name="rq1-forecast-skill"/>
    <w:p>
      <w:pPr>
        <w:pStyle w:val="Heading2"/>
      </w:pPr>
      <w:r>
        <w:t xml:space="preserve">7.1 RQ1: forecast skill</w:t>
      </w:r>
    </w:p>
    <w:p>
      <w:pPr>
        <w:pStyle w:val="FirstParagraph"/>
      </w:pPr>
      <w:r>
        <w:t xml:space="preserve">The model predicts a</w:t>
      </w:r>
      <w:r>
        <w:t xml:space="preserve"> </w:t>
      </w:r>
      <w:r>
        <w:rPr>
          <w:bCs/>
          <w:b/>
        </w:rPr>
        <w:t xml:space="preserve">next-day log return</w:t>
      </w:r>
      <w:r>
        <w:t xml:space="preserve">; the price forecast is only that return applied</w:t>
      </w:r>
      <w:r>
        <w:t xml:space="preserve"> </w:t>
      </w:r>
      <w:r>
        <w:t xml:space="preserve">to today’s close. Skill is therefore measured on returns first. Price-space accuracy follows,</w:t>
      </w:r>
      <w:r>
        <w:t xml:space="preserve"> </w:t>
      </w:r>
      <w:r>
        <w:t xml:space="preserve">because that is what the literature quotes — and the distance between the two verdicts is</w:t>
      </w:r>
      <w:r>
        <w:t xml:space="preserve"> </w:t>
      </w:r>
      <w:r>
        <w:t xml:space="preserve">itself the first result of this project.</w:t>
      </w:r>
    </w:p>
    <w:bookmarkStart w:id="41" w:name="Xbe8f4243438c59e31ad69780972833b53405109"/>
    <w:p>
      <w:pPr>
        <w:pStyle w:val="Heading3"/>
      </w:pPr>
      <w:r>
        <w:t xml:space="preserve">7.1.1 Return space (the quantity the model predicts)</w:t>
      </w:r>
    </w:p>
    <w:p>
      <w:pPr>
        <w:pStyle w:val="FirstParagraph"/>
      </w:pPr>
      <w:r>
        <w:t xml:space="preserve">405,545 stock-days, Jan 2019 – May 2022. The realised next-day return has a standard</w:t>
      </w:r>
      <w:r>
        <w:t xml:space="preserve"> </w:t>
      </w:r>
      <w:r>
        <w:t xml:space="preserve">deviation of</w:t>
      </w:r>
      <w:r>
        <w:t xml:space="preserve"> </w:t>
      </w:r>
      <w:r>
        <w:rPr>
          <w:bCs/>
          <w:b/>
        </w:rPr>
        <w:t xml:space="preserve">245 bp</w:t>
      </w:r>
      <w:r>
        <w:t xml:space="preserve"> </w:t>
      </w:r>
      <w:r>
        <w:t xml:space="preserve">(1 bp = 0.01%).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565"/>
        <w:gridCol w:w="1109"/>
        <w:gridCol w:w="1178"/>
        <w:gridCol w:w="1109"/>
        <w:gridCol w:w="1109"/>
        <w:gridCol w:w="1109"/>
        <w:gridCol w:w="1456"/>
      </w:tblGrid>
      <w:tr>
        <w:tc>
          <w:tcPr>
            <w:tcW w:type="dxa" w:w="256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tcW w:type="dxa" w:w="11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RMSE (bp)</w:t>
            </w:r>
          </w:p>
        </w:tc>
        <w:tc>
          <w:tcPr>
            <w:tcW w:type="dxa" w:w="117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vs zero-return</w:t>
            </w:r>
          </w:p>
        </w:tc>
        <w:tc>
          <w:tcPr>
            <w:tcW w:type="dxa" w:w="11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vs drift</w:t>
            </w:r>
          </w:p>
        </w:tc>
        <w:tc>
          <w:tcPr>
            <w:tcW w:type="dxa" w:w="11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Daily IC (t)</w:t>
            </w:r>
          </w:p>
        </w:tc>
        <w:tc>
          <w:tcPr>
            <w:tcW w:type="dxa" w:w="11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Direction</w:t>
            </w:r>
          </w:p>
        </w:tc>
        <w:tc>
          <w:tcPr>
            <w:tcW w:type="dxa" w:w="145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DM vs zero-return (p)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Naive (tomorrow = today, i.e. </w:t>
            </w:r>
            <w:r>
              <w:rPr>
                <w:iCs/>
                <w:rFonts w:ascii="Calibri" w:hAnsi="Calibri"/>
                <w:i/>
                <w:sz w:val="18"/>
              </w:rPr>
              <w:t xml:space="preserve">r̂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 0)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245.5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0.00000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−0.00043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47.2%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Historical drift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245.5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+0.00043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0.00000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52.8%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0.64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Ridge regression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246.9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−0.01076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−0.01120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+0.0019 (0.30)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51.7%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0.39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price levels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250.4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−0.03972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−0.04016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+0.0063 (2.24)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50.8%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&lt; 0.001 (worse)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Random Forest (proposed)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245.5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+0.00013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−0.00030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+0.0090 (1.39)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51.8%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0.97</w:t>
            </w:r>
          </w:p>
        </w:tc>
      </w:tr>
      <w:tr>
        <w:tc>
          <w:tcPr>
            <w:tcW w:type="dxa" w:w="256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Majority-direction rule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0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52.8%</w:t>
            </w:r>
          </w:p>
        </w:tc>
        <w:tc>
          <w:tcPr>
            <w:tcW w:type="dxa" w:w="14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shows.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Essentially no return skill.</w:t>
      </w:r>
      <w:r>
        <w:t xml:space="preserve"> </w:t>
      </w:r>
      <w:r>
        <w:t xml:space="preserve">The proposed model explains</w:t>
      </w:r>
      <w:r>
        <w:t xml:space="preserve"> </w:t>
      </w:r>
      <w:r>
        <w:rPr>
          <w:bCs/>
          <w:b/>
        </w:rPr>
        <w:t xml:space="preserve">0.013%</w:t>
      </w:r>
      <w:r>
        <w:t xml:space="preserve"> </w:t>
      </w:r>
      <w:r>
        <w:t xml:space="preserve">of next-day return</w:t>
      </w:r>
      <w:r>
        <w:t xml:space="preserve"> </w:t>
      </w:r>
      <w:r>
        <w:t xml:space="preserve">variance, and the Diebold–Mariano test cannot distinguish it from simply predicting zero</w:t>
      </w:r>
      <w:r>
        <w:t xml:space="preserve"> </w:t>
      </w:r>
      <w:r>
        <w:t xml:space="preserve">(p = 0.97). Against the slightly stronger drift benchmark the sign flips (R² = −0.0003).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model hedges to near-zero.</w:t>
      </w:r>
      <w:r>
        <w:t xml:space="preserve"> </w:t>
      </w:r>
      <w:r>
        <w:t xml:space="preserve">Its forecasts have a standard deviation of</w:t>
      </w:r>
      <w:r>
        <w:t xml:space="preserve"> </w:t>
      </w:r>
      <w:r>
        <w:rPr>
          <w:bCs/>
          <w:b/>
        </w:rPr>
        <w:t xml:space="preserve">10.8 bp</w:t>
      </w:r>
      <w:r>
        <w:t xml:space="preserve"> </w:t>
      </w:r>
      <w:r>
        <w:t xml:space="preserve">against the realised</w:t>
      </w:r>
      <w:r>
        <w:t xml:space="preserve"> </w:t>
      </w:r>
      <w:r>
        <w:rPr>
          <w:bCs/>
          <w:b/>
        </w:rPr>
        <w:t xml:space="preserve">245 bp</w:t>
      </w:r>
      <w:r>
        <w:t xml:space="preserve"> </w:t>
      </w:r>
      <w:r>
        <w:t xml:space="preserve">— a range</w:t>
      </w:r>
      <w:r>
        <w:t xml:space="preserve"> </w:t>
      </w:r>
      <w:r>
        <w:rPr>
          <w:bCs/>
          <w:b/>
        </w:rPr>
        <w:t xml:space="preserve">23× narrower than reality</w:t>
      </w:r>
      <w:r>
        <w:t xml:space="preserve">. That is the</w:t>
      </w:r>
      <w:r>
        <w:t xml:space="preserve"> </w:t>
      </w:r>
      <w:r>
        <w:t xml:space="preserve">statistically correct response to a near-unpredictable target, and it is precisely why the</w:t>
      </w:r>
      <w:r>
        <w:t xml:space="preserve"> </w:t>
      </w:r>
      <w:r>
        <w:t xml:space="preserve">price forecasts in §7.1.2 look so good.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Mean absolute return error 156 bp</w:t>
      </w:r>
      <w:r>
        <w:t xml:space="preserve">, against a realised mean absolute move of the same</w:t>
      </w:r>
      <w:r>
        <w:t xml:space="preserve"> </w:t>
      </w:r>
      <w:r>
        <w:t xml:space="preserve">order: the error is as large as the thing being predicted.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Direction accuracy 51.8%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always predict the majority direction</w:t>
      </w:r>
      <w:r>
        <w:t xml:space="preserve">”</w:t>
      </w:r>
      <w:r>
        <w:t xml:space="preserve"> </w:t>
      </w:r>
      <w:r>
        <w:t xml:space="preserve">rule</w:t>
      </w:r>
      <w:r>
        <w:t xml:space="preserve"> </w:t>
      </w:r>
      <w:r>
        <w:t xml:space="preserve">(52.8%); the binomial test gives p = 1.00.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price-level Random Forest is the only model significantly different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benchmark — in the wrong direction</w:t>
      </w:r>
      <w:r>
        <w:t xml:space="preserve"> </w:t>
      </w:r>
      <w:r>
        <w:t xml:space="preserve">(R² = −0.040, DM p &lt; 0.001). Training a tree on raw</w:t>
      </w:r>
      <w:r>
        <w:t xml:space="preserve"> </w:t>
      </w:r>
      <w:r>
        <w:t xml:space="preserve">price levels actively destroys return information.</w:t>
      </w:r>
    </w:p>
    <w:bookmarkEnd w:id="41"/>
    <w:bookmarkStart w:id="42" w:name="price-space-what-the-literature-reports"/>
    <w:p>
      <w:pPr>
        <w:pStyle w:val="Heading3"/>
      </w:pPr>
      <w:r>
        <w:t xml:space="preserve">7.1.2 Price space (what the literature reports)</w:t>
      </w:r>
    </w:p>
    <w:p>
      <w:pPr>
        <w:pStyle w:val="FirstParagraph"/>
      </w:pPr>
      <w:r>
        <w:t xml:space="preserve">The same forecasts, scored on the next-day closing price: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673"/>
        <w:gridCol w:w="1070"/>
        <w:gridCol w:w="1940"/>
        <w:gridCol w:w="1070"/>
        <w:gridCol w:w="1070"/>
        <w:gridCol w:w="1070"/>
        <w:gridCol w:w="1740"/>
      </w:tblGrid>
      <w:tr>
        <w:tc>
          <w:tcPr>
            <w:tcW w:type="dxa" w:w="167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MAPE</w:t>
            </w:r>
          </w:p>
        </w:tc>
        <w:tc>
          <w:tcPr>
            <w:tcW w:type="dxa" w:w="194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“</w:t>
            </w:r>
            <w:r>
              <w:rPr>
                <w:rFonts w:ascii="Calibri" w:hAnsi="Calibri"/>
                <w:b/>
                <w:sz w:val="18"/>
              </w:rPr>
              <w:t xml:space="preserve">Price accuracy</w:t>
            </w:r>
            <w:r>
              <w:rPr>
                <w:rFonts w:ascii="Calibri" w:hAnsi="Calibri"/>
                <w:b/>
                <w:sz w:val="18"/>
              </w:rPr>
              <w:t xml:space="preserve">”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(100 − MAPE)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RMSE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(price)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Within 2%</w:t>
            </w:r>
          </w:p>
        </w:tc>
        <w:tc>
          <w:tcPr>
            <w:tcW w:type="dxa" w:w="174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DM vs naive (p)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Naive (tomorrow = today)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1.561%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98.44%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$6.25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0.99938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75.3%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Historical drift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1.560%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98.44%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$6.25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0.99938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75.4%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0.25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Ridge regression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1.567%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98.43%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$6.27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0.99937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75.3%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0.17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on price levels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1.583%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98.42%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$21.56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0.99261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75.0%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&lt; 0.001 (worse)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Random Forest (proposed)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1.560%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98.44%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$6.25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0.99938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75.4%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0.30</w:t>
            </w:r>
          </w:p>
        </w:tc>
      </w:tr>
      <w:tr>
        <w:tc>
          <w:tcPr>
            <w:tcW w:type="dxa" w:w="167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 classifier (direction)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9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51.9% accuracy (AUC 0.505)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same model, two verdicts.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Scored 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Reading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price level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0.9994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Near-perfect forecaster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next-day return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+0.00013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Indistinguishable from predicting no change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</w:tbl>
    <w:p>
      <w:pPr>
        <w:pStyle w:val="BodyText"/>
      </w:pPr>
      <w:r>
        <w:t xml:space="preserve">Both numbers come from one set of forecasts. Price-space R² is high because tomorrow’s price</w:t>
      </w:r>
      <w:r>
        <w:t xml:space="preserve"> </w:t>
      </w:r>
      <w:r>
        <w:t xml:space="preserve">is almost today’s price, so the denominator (the variance of the price level across stocks</w:t>
      </w:r>
      <w:r>
        <w:t xml:space="preserve"> </w:t>
      </w:r>
      <w:r>
        <w:t xml:space="preserve">and months) is enormous compared with the one-day error.</w:t>
      </w:r>
      <w:r>
        <w:t xml:space="preserve"> </w:t>
      </w:r>
      <w:r>
        <w:rPr>
          <w:bCs/>
          <w:b/>
        </w:rPr>
        <w:t xml:space="preserve">It measures the price level, not</w:t>
      </w:r>
      <w:r>
        <w:rPr>
          <w:bCs/>
          <w:b/>
        </w:rPr>
        <w:t xml:space="preserve"> </w:t>
      </w:r>
      <w:r>
        <w:rPr>
          <w:bCs/>
          <w:b/>
        </w:rPr>
        <w:t xml:space="preserve">the forecast.</w:t>
      </w:r>
      <w:r>
        <w:t xml:space="preserve"> </w:t>
      </w:r>
      <w:r>
        <w:t xml:space="preserve">“</w:t>
      </w:r>
      <w:r>
        <w:t xml:space="preserve">98.44% accuracy</w:t>
      </w:r>
      <w:r>
        <w:t xml:space="preserve">”</w:t>
      </w:r>
      <w:r>
        <w:t xml:space="preserve"> </w:t>
      </w:r>
      <w:r>
        <w:t xml:space="preserve">is a property of daily stock prices, not an achievement of</w:t>
      </w:r>
      <w:r>
        <w:t xml:space="preserve"> </w:t>
      </w:r>
      <w:r>
        <w:t xml:space="preserve">the model — naive persistence scores the same figure to three decimal places.</w:t>
      </w:r>
    </w:p>
    <w:p>
      <w:pPr>
        <w:pStyle w:val="BodyText"/>
      </w:pPr>
      <w:r>
        <w:rPr>
          <w:bCs/>
          <w:b/>
        </w:rPr>
        <w:t xml:space="preserve">The price-level Random Forest shows the second failure mode.</w:t>
      </w:r>
    </w:p>
    <w:p>
      <w:pPr>
        <w:numPr>
          <w:ilvl w:val="0"/>
          <w:numId w:val="1021"/>
        </w:numPr>
        <w:pStyle w:val="Compact"/>
      </w:pPr>
      <w:r>
        <w:t xml:space="preserve">It reports R² 0.993 and 98.4%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Yet its RMSE is 3.4× naive and it is significantly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naive (DM p &lt; 0.001).</w:t>
      </w:r>
    </w:p>
    <w:p>
      <w:pPr>
        <w:numPr>
          <w:ilvl w:val="0"/>
          <w:numId w:val="1021"/>
        </w:numPr>
        <w:pStyle w:val="Compact"/>
      </w:pPr>
      <w:r>
        <w:t xml:space="preserve">Its RMSE grows from $6 (2019) to $36 (2021) as prices trend to new highs, because a tree</w:t>
      </w:r>
      <w:r>
        <w:t xml:space="preserve"> </w:t>
      </w:r>
      <w:r>
        <w:t xml:space="preserve">cannot predict above the price range it was trained on.</w:t>
      </w:r>
    </w:p>
    <w:bookmarkEnd w:id="42"/>
    <w:bookmarkStart w:id="43" w:name="economic-view"/>
    <w:p>
      <w:pPr>
        <w:pStyle w:val="Heading3"/>
      </w:pPr>
      <w:r>
        <w:t xml:space="preserve">7.1.3 Economic view</w:t>
      </w:r>
    </w:p>
    <w:p>
      <w:pPr>
        <w:pStyle w:val="FirstParagraph"/>
      </w:pPr>
      <w:r>
        <w:t xml:space="preserve">Sorting each day’s 474 stocks by predicted return and measuring what each decile actually</w:t>
      </w:r>
      <w:r>
        <w:t xml:space="preserve"> </w:t>
      </w:r>
      <w:r>
        <w:t xml:space="preserve">returned: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Decile of predicted return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 (lowest)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3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5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6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7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8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9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10 (highest)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Mean actual next-day return (bp)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+1.3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+3.8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+5.2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+4.6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+5.8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+9.5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The ranking is</w:t>
      </w:r>
      <w:r>
        <w:t xml:space="preserve"> </w:t>
      </w:r>
      <w:r>
        <w:rPr>
          <w:bCs/>
          <w:b/>
        </w:rPr>
        <w:t xml:space="preserve">weakly monotone</w:t>
      </w:r>
      <w:r>
        <w:t xml:space="preserve"> </w:t>
      </w:r>
      <w:r>
        <w:t xml:space="preserve">(Spearman ρ = 0.75 across deciles), so the forecasts do</w:t>
      </w:r>
      <w:r>
        <w:t xml:space="preserve"> </w:t>
      </w:r>
      <w:r>
        <w:t xml:space="preserve">carry a little cross-sectional information even though their level is uninformative.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Long-short (decile 10 − decile 1): +8.2 bp/day</w:t>
      </w:r>
      <w:r>
        <w:t xml:space="preserve">, t = 1.53, annualised Sharpe 0.83 — not</w:t>
      </w:r>
      <w:r>
        <w:t xml:space="preserve"> </w:t>
      </w:r>
      <w:r>
        <w:t xml:space="preserve">statistically significant.</w:t>
      </w:r>
    </w:p>
    <w:p>
      <w:pPr>
        <w:numPr>
          <w:ilvl w:val="0"/>
          <w:numId w:val="1022"/>
        </w:numPr>
        <w:pStyle w:val="Compact"/>
      </w:pPr>
      <w:r>
        <w:t xml:space="preserve">At an assumed 10 bp round-trip cost the strategy returns</w:t>
      </w:r>
      <w:r>
        <w:t xml:space="preserve"> </w:t>
      </w:r>
      <w:r>
        <w:rPr>
          <w:bCs/>
          <w:b/>
        </w:rPr>
        <w:t xml:space="preserve">−1.8 bp/day</w:t>
      </w:r>
      <w:r>
        <w:t xml:space="preserve">, i.e. it loses</w:t>
      </w:r>
      <w:r>
        <w:t xml:space="preserve"> </w:t>
      </w:r>
      <w:r>
        <w:t xml:space="preserve">money. This is the honest economic conclusion.</w:t>
      </w:r>
    </w:p>
    <w:bookmarkEnd w:id="43"/>
    <w:bookmarkStart w:id="49" w:name="Xa06514c3e9bace8dafaa28cd30fb814509c4402"/>
    <w:p>
      <w:pPr>
        <w:pStyle w:val="Heading3"/>
      </w:pPr>
      <w:r>
        <w:t xml:space="preserve">7.1.4 Where the little skill there is actually lives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397"/>
      </w:tblGrid>
      <w:tr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Period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RMSE (bp)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R² vs zero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DM p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Daily IC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Direction</w:t>
            </w:r>
          </w:p>
        </w:tc>
        <w:tc>
          <w:tcPr>
            <w:tcW w:type="dxa" w:w="11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Majority rule</w:t>
            </w:r>
          </w:p>
        </w:tc>
        <w:tc>
          <w:tcPr>
            <w:tcW w:type="dxa" w:w="139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Long-short (bp/day)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2019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164.0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+0.00212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+0.014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53.5%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55.3%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2020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348.0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−0.00016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51.0%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51.8%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2021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182.0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+0.00046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0.87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50.4%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53.2%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(Jan–May)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242.5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−0.00113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0.91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52.7%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51.5%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Pre-COVID bull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164.4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+0.00069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0.87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+0.015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53.0%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55.2%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+6.9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COVID crash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766.3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−0.01171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−0.073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34.7%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65.8% (down)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−119.0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Recovery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233.9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+0.00665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0.043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+0.008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51.6%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53.3%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+16.1</w:t>
            </w:r>
          </w:p>
        </w:tc>
      </w:tr>
      <w:tr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2022 bear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242.5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−0.00113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0.91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+0.018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52.7%</w:t>
            </w:r>
          </w:p>
        </w:tc>
        <w:tc>
          <w:tcPr>
            <w:tcW w:type="dxa" w:w="11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51.5%</w:t>
            </w:r>
          </w:p>
        </w:tc>
        <w:tc>
          <w:tcPr>
            <w:tcW w:type="dxa" w:w="139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+5.6</w:t>
            </w:r>
          </w:p>
        </w:tc>
      </w:tr>
    </w:tbl>
    <w:p>
      <w:pPr>
        <w:pStyle w:val="BodyText"/>
      </w:pPr>
      <w:r>
        <w:t xml:space="preserve">Two findings here are visible only in return space: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The recovery is the one period with detectable skill.</w:t>
      </w:r>
      <w:r>
        <w:t xml:space="preserve"> </w:t>
      </w:r>
      <w:r>
        <w:t xml:space="preserve">From March 2020 to December 2021</w:t>
      </w:r>
      <w:r>
        <w:t xml:space="preserve"> </w:t>
      </w:r>
      <w:r>
        <w:t xml:space="preserve">the model beat a zero-return forecast significantly (R² +0.0067, DM p = 0.043) and its</w:t>
      </w:r>
      <w:r>
        <w:t xml:space="preserve"> </w:t>
      </w:r>
      <w:r>
        <w:t xml:space="preserve">long-short spread earned +16.1 bp/day. In price space this period looks no different from</w:t>
      </w:r>
      <w:r>
        <w:t xml:space="preserve"> </w:t>
      </w:r>
      <w:r>
        <w:t xml:space="preserve">any other (MAPE 1.585% vs naive 1.589%).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The crash is where it was actively wrong.</w:t>
      </w:r>
      <w:r>
        <w:t xml:space="preserve"> </w:t>
      </w:r>
      <w:r>
        <w:t xml:space="preserve">During the COVID crash direction accuracy fell</w:t>
      </w:r>
      <w:r>
        <w:t xml:space="preserve"> </w:t>
      </w:r>
      <w:r>
        <w:t xml:space="preserve">to 34.7%, the daily IC turned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(−0.073) and the long-short spread lost 119</w:t>
      </w:r>
      <w:r>
        <w:t xml:space="preserve"> </w:t>
      </w:r>
      <w:r>
        <w:t xml:space="preserve">bp/day, because the model kept forecasting small rebounds while 66% of stock-days fell.</w:t>
      </w:r>
      <w:r>
        <w:t xml:space="preserve"> </w:t>
      </w:r>
      <w:r>
        <w:t xml:space="preserve">A user would have relied on it most at exactly the moment it inverted.</w:t>
      </w:r>
    </w:p>
    <w:p>
      <w:pPr>
        <w:pStyle w:val="FirstParagraph"/>
      </w:pPr>
      <w:r>
        <w:rPr>
          <w:bCs/>
          <w:b/>
        </w:rPr>
        <w:t xml:space="preserve">By sector</w:t>
      </w:r>
      <w:r>
        <w:t xml:space="preserve">, return R² runs from +0.0028 (Information Technology) to −0.0009 (Consumer</w:t>
      </w:r>
      <w:r>
        <w:t xml:space="preserve"> </w:t>
      </w:r>
      <w:r>
        <w:t xml:space="preserve">Discretionary) and daily IC from +0.025 (Energy) to −0.016 (Real Estate) — all within noise,</w:t>
      </w:r>
      <w:r>
        <w:t xml:space="preserve"> </w:t>
      </w:r>
      <w:r>
        <w:t xml:space="preserve">but none of this variation is visible in price space, where MAPE differs by less than 0.004</w:t>
      </w:r>
      <w:r>
        <w:t xml:space="preserve"> </w:t>
      </w:r>
      <w:r>
        <w:t xml:space="preserve">percentage points between the RF and naive in every sector.</w:t>
      </w:r>
    </w:p>
    <w:p>
      <w:pPr>
        <w:pStyle w:val="CaptionedFigure"/>
      </w:pPr>
      <w:r>
        <w:drawing>
          <wp:inline>
            <wp:extent cx="6120000" cy="1991054"/>
            <wp:effectExtent b="0" l="0" r="0" t="0"/>
            <wp:docPr descr="Figure 1. Return-space skill: out-of-sample R² on the next-day return and direction accuracy, by model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return_ski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9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Return-space skill: out-of-sample R² on the next-day return and direction accuracy, by model</w:t>
      </w:r>
    </w:p>
    <w:p>
      <w:pPr>
        <w:pStyle w:val="CaptionedFigure"/>
      </w:pPr>
      <w:r>
        <w:drawing>
          <wp:inline>
            <wp:extent cx="6120000" cy="2288135"/>
            <wp:effectExtent b="0" l="0" r="0" t="0"/>
            <wp:docPr descr="Figure 2. The same forecasts scored on the price level and on the return, and how narrowly the forecasts move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price_vs_retur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28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The same forecasts scored on the price level and on the return, and how narrowly the forecasts move</w:t>
      </w:r>
    </w:p>
    <w:p>
      <w:pPr>
        <w:pStyle w:val="CaptionedFigure"/>
      </w:pPr>
      <w:r>
        <w:drawing>
          <wp:inline>
            <wp:extent cx="6120000" cy="3687048"/>
            <wp:effectExtent b="0" l="0" r="0" t="0"/>
            <wp:docPr descr="Figure 3. Actual next-day return of each decile of predicted return, with the long-short spread gross and net of cost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decile_portfoli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8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Actual next-day return of each decile of predicted return, with the long-short spread gross and net of cost</w:t>
      </w:r>
    </w:p>
    <w:p>
      <w:pPr>
        <w:pStyle w:val="CaptionedFigure"/>
      </w:pPr>
      <w:r>
        <w:drawing>
          <wp:inline>
            <wp:extent cx="6120000" cy="1850507"/>
            <wp:effectExtent b="0" l="0" r="0" t="0"/>
            <wp:docPr descr="Figure 4. Next-day price error and share of forecasts within 2%, by model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price_accura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85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Next-day price error and share of forecasts within 2%, by model</w:t>
      </w:r>
    </w:p>
    <w:p>
      <w:pPr>
        <w:pStyle w:val="CaptionedFigure"/>
      </w:pPr>
      <w:r>
        <w:drawing>
          <wp:inline>
            <wp:extent cx="6120000" cy="3706627"/>
            <wp:effectExtent b="0" l="0" r="0" t="0"/>
            <wp:docPr descr="Figure 5. AAPL one-day-ahead forecasts vs actual closing prices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price_paths_AAP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0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AAPL one-day-ahead forecasts vs actual closing prices</w:t>
      </w:r>
    </w:p>
    <w:bookmarkEnd w:id="49"/>
    <w:bookmarkEnd w:id="50"/>
    <w:bookmarkStart w:id="54" w:name="rq2-what-drives-the-forecasts-shap"/>
    <w:p>
      <w:pPr>
        <w:pStyle w:val="Heading2"/>
      </w:pPr>
      <w:r>
        <w:t xml:space="preserve">7.2 RQ2: what drives the forecasts (SHAP)</w:t>
      </w:r>
    </w:p>
    <w:p>
      <w:pPr>
        <w:pStyle w:val="FirstParagraph"/>
      </w:pPr>
      <w:r>
        <w:rPr>
          <w:bCs/>
          <w:b/>
        </w:rPr>
        <w:t xml:space="preserve">Global importance</w:t>
      </w:r>
      <w:r>
        <w:t xml:space="preserve"> </w:t>
      </w:r>
      <w:r>
        <w:t xml:space="preserve">(mean |SHAP|, basis points of predicted return):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Rank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Feature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Family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 |SHAP| (bp)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20-day volatility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5.37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5-day return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3.33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1-day return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3.28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Overnight gap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Candle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0.77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Own 1-day return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Past returns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0.57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Sector 5-day return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0.53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ATR(14)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Volatility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0.43</w:t>
            </w:r>
          </w:p>
        </w:tc>
      </w:tr>
    </w:tbl>
    <w:p>
      <w:pPr>
        <w:pStyle w:val="BodyText"/>
      </w:pPr>
      <w:r>
        <w:rPr>
          <w:bCs/>
          <w:b/>
        </w:rPr>
        <w:t xml:space="preserve">Family shares.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Market &amp; sector context:</w:t>
      </w:r>
      <w:r>
        <w:t xml:space="preserve"> </w:t>
      </w:r>
      <w:r>
        <w:t xml:space="preserve">72.2%.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Other families:</w:t>
      </w:r>
      <w:r>
        <w:t xml:space="preserve"> </w:t>
      </w:r>
      <w:r>
        <w:t xml:space="preserve">volatility 7.6%, past returns 7.0%, candle 5.9%, trend 3.8%,</w:t>
      </w:r>
      <w:r>
        <w:t xml:space="preserve"> </w:t>
      </w:r>
      <w:r>
        <w:t xml:space="preserve">oscillators 2.0%, volume 1.5%.</w:t>
      </w:r>
    </w:p>
    <w:p>
      <w:pPr>
        <w:pStyle w:val="FirstParagraph"/>
      </w:pPr>
      <w:r>
        <w:rPr>
          <w:bCs/>
          <w:b/>
        </w:rPr>
        <w:t xml:space="preserve">What the features do</w:t>
      </w:r>
      <w:r>
        <w:t xml:space="preserve"> </w:t>
      </w:r>
      <w:r>
        <w:t xml:space="preserve">(dependence plots):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High market volatility</w:t>
      </w:r>
      <w:r>
        <w:t xml:space="preserve"> </w:t>
      </w:r>
      <w:r>
        <w:t xml:space="preserve">raises the forecast by +10–15 bp.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 falling 5-day market</w:t>
      </w:r>
      <w:r>
        <w:t xml:space="preserve"> </w:t>
      </w:r>
      <w:r>
        <w:t xml:space="preserve">raises it by up to +25 bp.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 strong up-day</w:t>
      </w:r>
      <w:r>
        <w:t xml:space="preserve"> </w:t>
      </w:r>
      <w:r>
        <w:t xml:space="preserve">for the market lowers it.</w:t>
      </w:r>
    </w:p>
    <w:p>
      <w:pPr>
        <w:pStyle w:val="FirstParagraph"/>
      </w:pPr>
      <w:r>
        <w:t xml:space="preserve">The model mainly learned</w:t>
      </w:r>
      <w:r>
        <w:t xml:space="preserve"> </w:t>
      </w:r>
      <w:r>
        <w:rPr>
          <w:bCs/>
          <w:b/>
        </w:rPr>
        <w:t xml:space="preserve">market-wide short-term reversal after volatile sell-offs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Local example: AAPL on 16 March 2020</w:t>
      </w:r>
      <w:r>
        <w:t xml:space="preserve"> </w:t>
      </w:r>
      <w:r>
        <w:t xml:space="preserve">(worst day of the COVID crash). Contributions are</w:t>
      </w:r>
      <w:r>
        <w:t xml:space="preserve"> </w:t>
      </w:r>
      <w:r>
        <w:t xml:space="preserve">given in basis points of forecast return, the model’s own unit:</w:t>
      </w:r>
    </w:p>
    <w:p>
      <w:pPr>
        <w:numPr>
          <w:ilvl w:val="0"/>
          <w:numId w:val="1026"/>
        </w:numPr>
        <w:pStyle w:val="Compact"/>
      </w:pPr>
      <w:r>
        <w:t xml:space="preserve">forecast</w:t>
      </w:r>
      <w:r>
        <w:t xml:space="preserve"> </w:t>
      </w:r>
      <w:r>
        <w:rPr>
          <w:bCs/>
          <w:b/>
        </w:rPr>
        <w:t xml:space="preserve">+30 bp</w:t>
      </w:r>
      <w:r>
        <w:t xml:space="preserve">; the stock actually rose</w:t>
      </w:r>
      <w:r>
        <w:t xml:space="preserve"> </w:t>
      </w:r>
      <w:r>
        <w:rPr>
          <w:bCs/>
          <w:b/>
        </w:rPr>
        <w:t xml:space="preserve">+430 bp</w:t>
      </w:r>
      <w:r>
        <w:t xml:space="preserve"> </w:t>
      </w:r>
      <w:r>
        <w:t xml:space="preserve">($59.64 → $59.82 forecast, $62.27</w:t>
      </w:r>
      <w:r>
        <w:t xml:space="preserve"> </w:t>
      </w:r>
      <w:r>
        <w:t xml:space="preserve">actual);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pushing the forecast up:</w:t>
      </w:r>
      <w:r>
        <w:t xml:space="preserve"> </w:t>
      </w:r>
      <w:r>
        <w:t xml:space="preserve">market 20-day volatility (</w:t>
      </w:r>
      <w:r>
        <w:rPr>
          <w:bCs/>
          <w:b/>
        </w:rPr>
        <w:t xml:space="preserve">+12.9 bp</w:t>
      </w:r>
      <w:r>
        <w:t xml:space="preserve">), the −17.8% 5-day</w:t>
      </w:r>
      <w:r>
        <w:t xml:space="preserve"> </w:t>
      </w:r>
      <w:r>
        <w:t xml:space="preserve">market fall (</w:t>
      </w:r>
      <w:r>
        <w:rPr>
          <w:bCs/>
          <w:b/>
        </w:rPr>
        <w:t xml:space="preserve">+7.4 bp</w:t>
      </w:r>
      <w:r>
        <w:t xml:space="preserve">), the stock’s own −29% 20-day return (+1.9 bp);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pushing it down:</w:t>
      </w:r>
      <w:r>
        <w:t xml:space="preserve"> </w:t>
      </w:r>
      <w:r>
        <w:t xml:space="preserve">the −13.7% market day (</w:t>
      </w:r>
      <w:r>
        <w:rPr>
          <w:bCs/>
          <w:b/>
        </w:rPr>
        <w:t xml:space="preserve">−2.2 bp</w:t>
      </w:r>
      <w:r>
        <w:t xml:space="preserve">) and the overnight gap (−1.7 bp).</w:t>
      </w:r>
    </w:p>
    <w:p>
      <w:pPr>
        <w:pStyle w:val="FirstParagraph"/>
      </w:pPr>
      <w:r>
        <w:t xml:space="preserve">The explanation is coherent — it is the reversal rule, correctly applied — and the direction</w:t>
      </w:r>
      <w:r>
        <w:t xml:space="preserve"> </w:t>
      </w:r>
      <w:r>
        <w:t xml:space="preserve">is right. But every contribution is an order of magnitude too small, which is the local view</w:t>
      </w:r>
      <w:r>
        <w:t xml:space="preserve"> </w:t>
      </w:r>
      <w:r>
        <w:t xml:space="preserve">of the same 23×-too-narrow dispersion found in §7.1.1. In dollars these contributions would</w:t>
      </w:r>
      <w:r>
        <w:t xml:space="preserve"> </w:t>
      </w:r>
      <w:r>
        <w:t xml:space="preserve">read as 8, 4 and 1 cents and look merely small; in return units it is clear that the whole</w:t>
      </w:r>
      <w:r>
        <w:t xml:space="preserve"> </w:t>
      </w:r>
      <w:r>
        <w:t xml:space="preserve">explanation accounts for one fourteenth of the move.</w:t>
      </w:r>
    </w:p>
    <w:p>
      <w:pPr>
        <w:pStyle w:val="CaptionedFigure"/>
      </w:pPr>
      <w:r>
        <w:drawing>
          <wp:inline>
            <wp:extent cx="6120000" cy="4258785"/>
            <wp:effectExtent b="0" l="0" r="0" t="0"/>
            <wp:docPr descr="Figure 6. Top 15 features by mean |SHAP|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shap_glob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Top 15 features by mean |SHAP|</w:t>
      </w:r>
    </w:p>
    <w:p>
      <w:pPr>
        <w:pStyle w:val="CaptionedFigure"/>
      </w:pPr>
      <w:r>
        <w:drawing>
          <wp:inline>
            <wp:extent cx="6120000" cy="2082689"/>
            <wp:effectExtent b="0" l="0" r="0" t="0"/>
            <wp:docPr descr="Figure 7. How the top features move the forecast (SHAP dependence)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shap_depen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08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How the top features move the forecast (SHAP dependence)</w:t>
      </w:r>
    </w:p>
    <w:p>
      <w:pPr>
        <w:pStyle w:val="CaptionedFigure"/>
      </w:pPr>
      <w:r>
        <w:drawing>
          <wp:inline>
            <wp:extent cx="6120000" cy="2237256"/>
            <wp:effectExtent b="0" l="0" r="0" t="0"/>
            <wp:docPr descr="Figure 8. Local SHAP explanations in basis points of forecast return for individual stock-days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local_explan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23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Local SHAP explanations in basis points of forecast return for individual stock-days</w:t>
      </w:r>
    </w:p>
    <w:bookmarkEnd w:id="54"/>
    <w:bookmarkStart w:id="57" w:name="Xdf9f32c9c79d6e2fbab815beb450110b5e161ac"/>
    <w:p>
      <w:pPr>
        <w:pStyle w:val="Heading2"/>
      </w:pPr>
      <w:r>
        <w:t xml:space="preserve">7.3 RQ3: are the SHAP explanations faithful and stable?</w:t>
      </w:r>
    </w:p>
    <w:p>
      <w:pPr>
        <w:pStyle w:val="FirstParagraph"/>
      </w:pPr>
      <w:r>
        <w:rPr>
          <w:bCs/>
          <w:b/>
        </w:rPr>
        <w:t xml:space="preserve">Faithfulness.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Features removed (k)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8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16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32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|Δ forecast|, top-SHAP first (bp)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8.70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8.39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8.36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8.47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8.59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|Δ forecast|, random order (bp)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1.19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2.04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5.88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8.59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Fidelity: corr(SHAP mass removed, actual Δ)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0.99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1.00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1.00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1.00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Faithful.</w:t>
      </w:r>
      <w:r>
        <w:t xml:space="preserve"> </w:t>
      </w:r>
      <w:r>
        <w:t xml:space="preserve">Removing the single top-SHAP feature changes a forecast</w:t>
      </w:r>
      <w:r>
        <w:t xml:space="preserve"> </w:t>
      </w:r>
      <w:r>
        <w:rPr>
          <w:bCs/>
          <w:b/>
        </w:rPr>
        <w:t xml:space="preserve">13×</w:t>
      </w:r>
      <w:r>
        <w:t xml:space="preserve"> </w:t>
      </w:r>
      <w:r>
        <w:t xml:space="preserve">more than</w:t>
      </w:r>
      <w:r>
        <w:t xml:space="preserve"> </w:t>
      </w:r>
      <w:r>
        <w:t xml:space="preserve">removing a random one (AOPC 8.51 vs 3.67 bp), and fidelity is ≥ 0.98.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One feature does almost all the work:</w:t>
      </w:r>
      <w:r>
        <w:t xml:space="preserve"> </w:t>
      </w:r>
      <w:r>
        <w:t xml:space="preserve">removing it moves the forecast as much as</w:t>
      </w:r>
      <w:r>
        <w:t xml:space="preserve"> </w:t>
      </w:r>
      <w:r>
        <w:t xml:space="preserve">removing all 32.</w:t>
      </w:r>
    </w:p>
    <w:p>
      <w:pPr>
        <w:pStyle w:val="FirstParagraph"/>
      </w:pPr>
      <w:r>
        <w:rPr>
          <w:bCs/>
          <w:b/>
        </w:rPr>
        <w:t xml:space="preserve">Stability.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Comparison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Global ranking τ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Top-5 overlap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Per-stock-day ρ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 random seeds, same data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0.85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92%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0.86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2019 vs 2020 model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80%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0.73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2020 vs 2021 model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0.44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100%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0.57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2021 vs 2022 model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80%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0.77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Stable to the random seed</w:t>
      </w:r>
      <w:r>
        <w:t xml:space="preserve"> </w:t>
      </w:r>
      <w:r>
        <w:t xml:space="preserve">(forecast correlation between seeds 0.99).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Less stable to retraining:</w:t>
      </w:r>
      <w:r>
        <w:t xml:space="preserve"> </w:t>
      </w:r>
      <w:r>
        <w:t xml:space="preserve">once 2020 (COVID) enters the training data, agreement</w:t>
      </w:r>
      <w:r>
        <w:t xml:space="preserve"> </w:t>
      </w:r>
      <w:r>
        <w:t xml:space="preserve">drops to τ = 0.44. The top 5 stay the same, but the other 27 features reorder.</w:t>
      </w:r>
    </w:p>
    <w:p>
      <w:pPr>
        <w:pStyle w:val="CaptionedFigure"/>
      </w:pPr>
      <w:r>
        <w:drawing>
          <wp:inline>
            <wp:extent cx="6120000" cy="3966351"/>
            <wp:effectExtent b="0" l="0" r="0" t="0"/>
            <wp:docPr descr="Figure 9. Faithfulness: forecast change when top-SHAP vs random features are removed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faithfuln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96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Faithfulness: forecast change when top-SHAP vs random features are removed</w:t>
      </w:r>
    </w:p>
    <w:p>
      <w:pPr>
        <w:pStyle w:val="CaptionedFigure"/>
      </w:pPr>
      <w:r>
        <w:drawing>
          <wp:inline>
            <wp:extent cx="6120000" cy="2418873"/>
            <wp:effectExtent b="0" l="0" r="0" t="0"/>
            <wp:docPr descr="Figure 10. Stability across seeds and retraining, and comparison with no-signal models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stability_san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41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Stability across seeds and retraining, and comparison with no-signal models</w:t>
      </w:r>
    </w:p>
    <w:bookmarkEnd w:id="57"/>
    <w:bookmarkStart w:id="60" w:name="rq4-regime-and-sector-drift"/>
    <w:p>
      <w:pPr>
        <w:pStyle w:val="Heading2"/>
      </w:pPr>
      <w:r>
        <w:t xml:space="preserve">7.4 RQ4: regime and sector drift</w:t>
      </w:r>
    </w:p>
    <w:p>
      <w:pPr>
        <w:pStyle w:val="FirstParagraph"/>
      </w:pPr>
      <w:r>
        <w:rPr>
          <w:bCs/>
          <w:b/>
        </w:rPr>
        <w:t xml:space="preserve">Regimes: significant drift</w:t>
      </w:r>
      <w:r>
        <w:t xml:space="preserve"> </w:t>
      </w:r>
      <w:r>
        <w:t xml:space="preserve">(TVD 0.054 vs null 0.017,</w:t>
      </w:r>
      <w:r>
        <w:t xml:space="preserve"> </w:t>
      </w:r>
      <w:r>
        <w:rPr>
          <w:bCs/>
          <w:b/>
        </w:rPr>
        <w:t xml:space="preserve">p = 0.003</w:t>
      </w:r>
      <w:r>
        <w:t xml:space="preserve">).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Family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Pre-COVID bull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COVID crash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Recovery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 bear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Market &amp; sector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71.2%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74.7%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71.7%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74.7%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Volatility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5.1%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5.9%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8.3%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9.2%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Past returns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7.2%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6.5%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6.0%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Trend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4.6%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5.9%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2.3%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Candle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6.3%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4.1%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6.2%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4.9%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Oscillators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2.4%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1.5%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2.1%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1.2%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0.7%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1.4%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1.7%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Volatility nearly doubles</w:t>
      </w:r>
      <w:r>
        <w:t xml:space="preserve"> </w:t>
      </w:r>
      <w:r>
        <w:t xml:space="preserve">(5.1% → 9.2%);</w:t>
      </w:r>
      <w:r>
        <w:t xml:space="preserve"> </w:t>
      </w:r>
      <w:r>
        <w:rPr>
          <w:bCs/>
          <w:b/>
        </w:rPr>
        <w:t xml:space="preserve">past returns fade</w:t>
      </w:r>
      <w:r>
        <w:t xml:space="preserve">;</w:t>
      </w:r>
      <w:r>
        <w:t xml:space="preserve"> </w:t>
      </w:r>
      <w:r>
        <w:rPr>
          <w:bCs/>
          <w:b/>
        </w:rPr>
        <w:t xml:space="preserve">trend peaks in the</w:t>
      </w:r>
      <w:r>
        <w:rPr>
          <w:bCs/>
          <w:b/>
        </w:rPr>
        <w:t xml:space="preserve"> </w:t>
      </w:r>
      <w:r>
        <w:rPr>
          <w:bCs/>
          <w:b/>
        </w:rPr>
        <w:t xml:space="preserve">crash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feature ranking reorders:</w:t>
      </w:r>
      <w:r>
        <w:t xml:space="preserve"> </w:t>
      </w:r>
      <w:r>
        <w:t xml:space="preserve">rank correlation falls to 0.46 between the COVID crash</w:t>
      </w:r>
      <w:r>
        <w:t xml:space="preserve"> </w:t>
      </w:r>
      <w:r>
        <w:t xml:space="preserve">and the 2022 bear, against 0.84 between the pre-COVID bull and the crash.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top-3 market features never change.</w:t>
      </w:r>
    </w:p>
    <w:p>
      <w:pPr>
        <w:pStyle w:val="FirstParagraph"/>
      </w:pPr>
      <w:r>
        <w:rPr>
          <w:bCs/>
          <w:b/>
        </w:rPr>
        <w:t xml:space="preserve">Sectors: significant, but a smaller effect</w:t>
      </w:r>
      <w:r>
        <w:t xml:space="preserve"> </w:t>
      </w:r>
      <w:r>
        <w:t xml:space="preserve">(TVD 0.036 vs null 0.011,</w:t>
      </w:r>
      <w:r>
        <w:t xml:space="preserve"> </w:t>
      </w:r>
      <w:r>
        <w:rPr>
          <w:bCs/>
          <w:b/>
        </w:rPr>
        <w:t xml:space="preserve">p = 0.001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Volatile sectors use more volatility features:</w:t>
      </w:r>
      <w:r>
        <w:t xml:space="preserve"> </w:t>
      </w:r>
      <w:r>
        <w:t xml:space="preserve">Energy 10.4%, Consumer Discretionary</w:t>
      </w:r>
      <w:r>
        <w:t xml:space="preserve"> </w:t>
      </w:r>
      <w:r>
        <w:t xml:space="preserve">9.5%, Communication Services 9.4%.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Defensive sectors rely more on market context:</w:t>
      </w:r>
      <w:r>
        <w:t xml:space="preserve"> </w:t>
      </w:r>
      <w:r>
        <w:t xml:space="preserve">Utilities 76.1%, Consumer Staples</w:t>
      </w:r>
      <w:r>
        <w:t xml:space="preserve"> </w:t>
      </w:r>
      <w:r>
        <w:t xml:space="preserve">76.4%, against Energy 66.8%.</w:t>
      </w:r>
    </w:p>
    <w:p>
      <w:pPr>
        <w:pStyle w:val="CaptionedFigure"/>
      </w:pPr>
      <w:r>
        <w:drawing>
          <wp:inline>
            <wp:extent cx="6120000" cy="2319083"/>
            <wp:effectExtent b="0" l="0" r="0" t="0"/>
            <wp:docPr descr="Figure 11. Share of SHAP attribution by feature family across market regimes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regime_family_sha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31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Share of SHAP attribution by feature family across market regimes</w:t>
      </w:r>
    </w:p>
    <w:p>
      <w:pPr>
        <w:pStyle w:val="CaptionedFigure"/>
      </w:pPr>
      <w:r>
        <w:drawing>
          <wp:inline>
            <wp:extent cx="6120000" cy="3273568"/>
            <wp:effectExtent b="0" l="0" r="0" t="0"/>
            <wp:docPr descr="Figure 12. Share of SHAP attribution by feature family and GICS sector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sector_family_sha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27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 Share of SHAP attribution by feature family and GICS sector</w:t>
      </w:r>
    </w:p>
    <w:bookmarkEnd w:id="60"/>
    <w:bookmarkStart w:id="61" w:name="X3345dc99066252a5e56ae0d7ca240222d91f50d"/>
    <w:p>
      <w:pPr>
        <w:pStyle w:val="Heading2"/>
      </w:pPr>
      <w:r>
        <w:t xml:space="preserve">7.5 RQ5: sanity check against no-signal models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480"/>
        <w:gridCol w:w="1070"/>
        <w:gridCol w:w="1472"/>
        <w:gridCol w:w="1405"/>
        <w:gridCol w:w="1070"/>
        <w:gridCol w:w="1137"/>
      </w:tblGrid>
      <w:tr>
        <w:tc>
          <w:tcPr>
            <w:tcW w:type="dxa" w:w="348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 trained on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Test IC</w:t>
            </w:r>
          </w:p>
        </w:tc>
        <w:tc>
          <w:tcPr>
            <w:tcW w:type="dxa" w:w="147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Total mean |SHAP| (bp)</w:t>
            </w:r>
          </w:p>
        </w:tc>
        <w:tc>
          <w:tcPr>
            <w:tcW w:type="dxa" w:w="140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Market &amp; sector share</w:t>
            </w:r>
          </w:p>
        </w:tc>
        <w:tc>
          <w:tcPr>
            <w:tcW w:type="dxa" w:w="10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τ vs real model</w:t>
            </w:r>
          </w:p>
        </w:tc>
        <w:tc>
          <w:tcPr>
            <w:tcW w:type="dxa" w:w="113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Per-row ρ vs real</w:t>
            </w:r>
          </w:p>
        </w:tc>
      </w:tr>
      <w:tr>
        <w:tc>
          <w:tcPr>
            <w:tcW w:type="dxa" w:w="348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Real labels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+0.018</w:t>
            </w:r>
          </w:p>
        </w:tc>
        <w:tc>
          <w:tcPr>
            <w:tcW w:type="dxa" w:w="14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20.8</w:t>
            </w:r>
          </w:p>
        </w:tc>
        <w:tc>
          <w:tcPr>
            <w:tcW w:type="dxa" w:w="1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77.3%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113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</w:tr>
      <w:tr>
        <w:tc>
          <w:tcPr>
            <w:tcW w:type="dxa" w:w="34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Fully shuffled labels (no signal)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−0.023</w:t>
            </w:r>
          </w:p>
        </w:tc>
        <w:tc>
          <w:tcPr>
            <w:tcW w:type="dxa" w:w="14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2.6</w:t>
            </w:r>
          </w:p>
        </w:tc>
        <w:tc>
          <w:tcPr>
            <w:tcW w:type="dxa" w:w="1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19.6%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0.13</w:t>
            </w:r>
          </w:p>
        </w:tc>
        <w:tc>
          <w:tcPr>
            <w:tcW w:type="dxa" w:w="113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0.13</w:t>
            </w:r>
          </w:p>
        </w:tc>
      </w:tr>
      <w:tr>
        <w:tc>
          <w:tcPr>
            <w:tcW w:type="dxa" w:w="34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Labels shuffled within each day (market timing only)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+0.011</w:t>
            </w:r>
          </w:p>
        </w:tc>
        <w:tc>
          <w:tcPr>
            <w:tcW w:type="dxa" w:w="147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19.5</w:t>
            </w:r>
          </w:p>
        </w:tc>
        <w:tc>
          <w:tcPr>
            <w:tcW w:type="dxa" w:w="140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84.5%</w:t>
            </w:r>
          </w:p>
        </w:tc>
        <w:tc>
          <w:tcPr>
            <w:tcW w:type="dxa" w:w="107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0.56</w:t>
            </w:r>
          </w:p>
        </w:tc>
        <w:tc>
          <w:tcPr>
            <w:tcW w:type="dxa" w:w="113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The explanations pass the sanity check.</w:t>
      </w:r>
      <w:r>
        <w:t xml:space="preserve"> </w:t>
      </w:r>
      <w:r>
        <w:t xml:space="preserve">A no-signal model gives explanations 8×</w:t>
      </w:r>
      <w:r>
        <w:t xml:space="preserve"> </w:t>
      </w:r>
      <w:r>
        <w:t xml:space="preserve">weaker and unrelated to the real ones.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But they are mostly about market-wide timing.</w:t>
      </w:r>
      <w:r>
        <w:t xml:space="preserve"> </w:t>
      </w:r>
      <w:r>
        <w:t xml:space="preserve">A model that can only learn market-wide</w:t>
      </w:r>
      <w:r>
        <w:t xml:space="preserve"> </w:t>
      </w:r>
      <w:r>
        <w:t xml:space="preserve">timing reproduces 94% of the explanation magnitude and τ = 0.56 of the ranking.</w:t>
      </w:r>
    </w:p>
    <w:bookmarkEnd w:id="61"/>
    <w:bookmarkStart w:id="65" w:name="rq6-shap-vs-lime"/>
    <w:p>
      <w:pPr>
        <w:pStyle w:val="Heading2"/>
      </w:pPr>
      <w:r>
        <w:t xml:space="preserve">7.6 RQ6: SHAP vs LIME</w:t>
      </w:r>
    </w:p>
    <w:p>
      <w:pPr>
        <w:pStyle w:val="FirstParagraph"/>
      </w:pPr>
      <w:r>
        <w:rPr>
          <w:bCs/>
          <w:b/>
        </w:rPr>
        <w:t xml:space="preserve">Global agreement between four explainers</w:t>
      </w:r>
      <w:r>
        <w:t xml:space="preserve"> </w:t>
      </w:r>
      <w:r>
        <w:t xml:space="preserve">(Kendall τ; top-5 overlap in brackets):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spacing w:after="40"/>
            </w:pP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LIME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Permutation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MDI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TreeSHAP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0.58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(4/5)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0.03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(3/5)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0.69 (4/5)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LIME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0.18 (3/5)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0.65 (4/5)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Permutation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0.15 (4/5)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Globally, SHAP and LIME agree moderately</w:t>
      </w:r>
      <w:r>
        <w:t xml:space="preserve"> </w:t>
      </w:r>
      <w:r>
        <w:t xml:space="preserve">(τ = 0.58, sharing 4 of their top 5 features),</w:t>
      </w:r>
      <w:r>
        <w:t xml:space="preserve"> </w:t>
      </w:r>
      <w:r>
        <w:t xml:space="preserve">and both agree with MDI more closely than with each other.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All three disagree with permutation importance</w:t>
      </w:r>
      <w:r>
        <w:t xml:space="preserve"> </w:t>
      </w:r>
      <w:r>
        <w:t xml:space="preserve">(τ ≤ 0.15). Only 4 of 32 features</w:t>
      </w:r>
      <w:r>
        <w:t xml:space="preserve"> </w:t>
      </w:r>
      <w:r>
        <w:t xml:space="preserve">measurably improve accuracy (permutation importance &gt; 2 SD): market volatility, sector</w:t>
      </w:r>
      <w:r>
        <w:t xml:space="preserve"> </w:t>
      </w:r>
      <w:r>
        <w:t xml:space="preserve">5-day return, Bollinger width and volume trend; 15 have negative permutation importance.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Meaning:</w:t>
      </w:r>
      <w:r>
        <w:t xml:space="preserve"> </w:t>
      </w:r>
      <w:r>
        <w:t xml:space="preserve">SHAP and LIME describe</w:t>
      </w:r>
      <w:r>
        <w:t xml:space="preserve"> </w:t>
      </w:r>
      <w:r>
        <w:rPr>
          <w:iCs/>
          <w:i/>
        </w:rPr>
        <w:t xml:space="preserve">what the model uses</w:t>
      </w:r>
      <w:r>
        <w:t xml:space="preserve">, not</w:t>
      </w:r>
      <w:r>
        <w:t xml:space="preserve"> </w:t>
      </w:r>
      <w:r>
        <w:rPr>
          <w:iCs/>
          <w:i/>
        </w:rPr>
        <w:t xml:space="preserve">what improves accuracy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Reliability for individual forecasts</w:t>
      </w:r>
      <w:r>
        <w:t xml:space="preserve"> </w:t>
      </w:r>
      <w:r>
        <w:t xml:space="preserve">(804 stock-days, 5 LIME seeds each):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4739"/>
        <w:gridCol w:w="1579"/>
        <w:gridCol w:w="3317"/>
      </w:tblGrid>
      <w:tr>
        <w:tc>
          <w:tcPr>
            <w:tcW w:type="dxa" w:w="474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Measure</w:t>
            </w:r>
          </w:p>
        </w:tc>
        <w:tc>
          <w:tcPr>
            <w:tcW w:type="dxa" w:w="158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TreeSHAP</w:t>
            </w:r>
          </w:p>
        </w:tc>
        <w:tc>
          <w:tcPr>
            <w:tcW w:type="dxa" w:w="331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LIME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Agreement with the other method: median Spearman ρ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0.44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Agreement: top-5 feature overlap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65%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Agreement: same top feature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59%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Agreement: sign matches SHAP on SHAP’s top-5 features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–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81%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Run-to-run stability: median ρ between runs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1.00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(deterministic)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0.45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Run-to-run stability: top-5 overlap between runs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1.00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79%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Run-to-run stability: same top feature in all 5 runs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100%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96%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Local fit (surrogate R²)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exact (additive)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median 0.17</w:t>
            </w:r>
            <w:r>
              <w:rPr>
                <w:rFonts w:ascii="Calibri" w:hAnsi="Calibri"/>
                <w:sz w:val="18"/>
              </w:rPr>
              <w:t xml:space="preserve">; 67% of explanations below 0.3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Faithfulness AOPC (bp; random order = 3.71)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8.70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8.13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Faithfulness: |Δ forecast| after removing top-1 feature (random = 0.56 bp)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8.89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6.53</w:t>
            </w:r>
          </w:p>
        </w:tc>
      </w:tr>
      <w:tr>
        <w:tc>
          <w:tcPr>
            <w:tcW w:type="dxa" w:w="474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Time per explanation</w:t>
            </w:r>
          </w:p>
        </w:tc>
        <w:tc>
          <w:tcPr>
            <w:tcW w:type="dxa" w:w="158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~0.001 s</w:t>
            </w:r>
          </w:p>
        </w:tc>
        <w:tc>
          <w:tcPr>
            <w:tcW w:type="dxa" w:w="33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~0.08 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shows.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LIME is less reliable than SHAP for individual forecasts:</w:t>
      </w:r>
    </w:p>
    <w:p>
      <w:pPr>
        <w:numPr>
          <w:ilvl w:val="1"/>
          <w:numId w:val="1034"/>
        </w:numPr>
        <w:pStyle w:val="Compact"/>
      </w:pPr>
      <w:r>
        <w:t xml:space="preserve">explaining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forecast twice with different seeds gives a feature ranking that</w:t>
      </w:r>
      <w:r>
        <w:t xml:space="preserve"> </w:t>
      </w:r>
      <w:r>
        <w:t xml:space="preserve">correlates only 0.45;</w:t>
      </w:r>
    </w:p>
    <w:p>
      <w:pPr>
        <w:numPr>
          <w:ilvl w:val="1"/>
          <w:numId w:val="1034"/>
        </w:numPr>
        <w:pStyle w:val="Compact"/>
      </w:pPr>
      <w:r>
        <w:t xml:space="preserve">LIME’s linear surrogate explains a median of just</w:t>
      </w:r>
      <w:r>
        <w:t xml:space="preserve"> </w:t>
      </w:r>
      <w:r>
        <w:rPr>
          <w:bCs/>
          <w:b/>
        </w:rPr>
        <w:t xml:space="preserve">17%</w:t>
      </w:r>
      <w:r>
        <w:t xml:space="preserve"> </w:t>
      </w:r>
      <w:r>
        <w:t xml:space="preserve">of the model’s local</w:t>
      </w:r>
      <w:r>
        <w:t xml:space="preserve"> </w:t>
      </w:r>
      <w:r>
        <w:t xml:space="preserve">behaviour;</w:t>
      </w:r>
    </w:p>
    <w:p>
      <w:pPr>
        <w:numPr>
          <w:ilvl w:val="1"/>
          <w:numId w:val="1034"/>
        </w:numPr>
        <w:pStyle w:val="Compact"/>
      </w:pPr>
      <w:r>
        <w:t xml:space="preserve">on a typical forecast, LIME and SHAP share only 3 of their top 5 features.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Both are faithful, SHAP more so.</w:t>
      </w:r>
      <w:r>
        <w:t xml:space="preserve"> </w:t>
      </w:r>
      <w:r>
        <w:t xml:space="preserve">Both beat random ordering, but removing LIME’s top</w:t>
      </w:r>
      <w:r>
        <w:t xml:space="preserve"> </w:t>
      </w:r>
      <w:r>
        <w:t xml:space="preserve">feature changes the forecast 27% less than removing SHAP’s.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They can contradict each other on the same forecast.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AAPL, 16 March 2020:</w:t>
      </w:r>
      <w:r>
        <w:t xml:space="preserve"> </w:t>
      </w:r>
      <w:r>
        <w:t xml:space="preserve">they agree on the two main drivers (market volatility +$0.077</w:t>
      </w:r>
      <w:r>
        <w:t xml:space="preserve"> </w:t>
      </w:r>
      <w:r>
        <w:t xml:space="preserve">SHAP vs +$0.074 LIME; 5-day market return +$0.044 vs +$0.041), ρ = 0.53, LIME R² 0.49.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JPM, 18 May 2022:</w:t>
      </w:r>
      <w:r>
        <w:t xml:space="preserve"> </w:t>
      </w:r>
      <w:r>
        <w:t xml:space="preserve">they disagree on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the top feature. Market</w:t>
      </w:r>
      <w:r>
        <w:t xml:space="preserve"> </w:t>
      </w:r>
      <w:r>
        <w:t xml:space="preserve">volatility pushes the forecast down by $0.056 per SHAP but up by $0.050 per LIME</w:t>
      </w:r>
      <w:r>
        <w:t xml:space="preserve"> </w:t>
      </w:r>
      <w:r>
        <w:t xml:space="preserve">(ρ = 0.19, LIME R² 0.11).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LIME’s discretised bins (</w:t>
      </w:r>
      <w:r>
        <w:t xml:space="preserve">“</w:t>
      </w:r>
      <w:r>
        <w:t xml:space="preserve">market volatility &gt; 0.01</w:t>
      </w:r>
      <w:r>
        <w:t xml:space="preserve">”</w:t>
      </w:r>
      <w:r>
        <w:t xml:space="preserve">) compare against the whole</w:t>
      </w:r>
      <w:r>
        <w:t xml:space="preserve"> </w:t>
      </w:r>
      <w:r>
        <w:t xml:space="preserve">training distribution, while SHAP attributes along the model’s own decision paths.</w:t>
      </w:r>
    </w:p>
    <w:p>
      <w:pPr>
        <w:pStyle w:val="CaptionedFigure"/>
      </w:pPr>
      <w:r>
        <w:drawing>
          <wp:inline>
            <wp:extent cx="6120000" cy="2253076"/>
            <wp:effectExtent b="0" l="0" r="0" t="0"/>
            <wp:docPr descr="Figure 13. SHAP vs LIME explanations for the same forecasts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lime_vs_shap_loc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25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13. SHAP vs LIME explanations for the same forecasts</w:t>
      </w:r>
    </w:p>
    <w:p>
      <w:pPr>
        <w:pStyle w:val="CaptionedFigure"/>
      </w:pPr>
      <w:r>
        <w:drawing>
          <wp:inline>
            <wp:extent cx="6120000" cy="2374831"/>
            <wp:effectExtent b="0" l="0" r="0" t="0"/>
            <wp:docPr descr="Figure 14. LIME vs SHAP: run-to-run stability, faithfulness and local fit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lime_reli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37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14. LIME vs SHAP: run-to-run stability, faithfulness and local fit</w:t>
      </w:r>
    </w:p>
    <w:p>
      <w:pPr>
        <w:pStyle w:val="CaptionedFigure"/>
      </w:pPr>
      <w:r>
        <w:drawing>
          <wp:inline>
            <wp:extent cx="6120000" cy="4577680"/>
            <wp:effectExtent b="0" l="0" r="0" t="0"/>
            <wp:docPr descr="Figure 15. Feature importance ranks from TreeSHAP, LIME, permutation importance and MDI" title="" id="1" name="Picture"/>
            <a:graphic>
              <a:graphicData uri="http://schemas.openxmlformats.org/drawingml/2006/picture">
                <pic:pic>
                  <pic:nvPicPr>
                    <pic:cNvPr descr="/Users/abish/Downloads/StockRF-XAI/results/figures/explainer_agree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57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15. Feature importance ranks from TreeSHAP, LIME, permutation importance and MDI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demonstration-and-live-forecasting"/>
    <w:p>
      <w:pPr>
        <w:pStyle w:val="Heading1"/>
      </w:pPr>
      <w:r>
        <w:t xml:space="preserve">8. Demonstration and live forecasting</w:t>
      </w:r>
    </w:p>
    <w:bookmarkStart w:id="67" w:name="Xa171918412e773058b0c2bc7ae33d5132a68c64"/>
    <w:p>
      <w:pPr>
        <w:pStyle w:val="Heading2"/>
      </w:pPr>
      <w:r>
        <w:t xml:space="preserve">8.1 Why forecasting the past is necessary, and why it is not sufficient</w:t>
      </w:r>
    </w:p>
    <w:p>
      <w:pPr>
        <w:pStyle w:val="FirstParagraph"/>
      </w:pPr>
      <w:r>
        <w:t xml:space="preserve">Every number in §7 comes from forecasting days whose outcome is already known. That is not</w:t>
      </w:r>
      <w:r>
        <w:t xml:space="preserve"> </w:t>
      </w:r>
      <w:r>
        <w:t xml:space="preserve">a weakness of the design; it is the only way a forecast can be scored. A model cannot be</w:t>
      </w:r>
      <w:r>
        <w:t xml:space="preserve"> </w:t>
      </w:r>
      <w:r>
        <w:t xml:space="preserve">shown to have an out-of-sample R² of +0.00013 unless 405,545 of its forecasts have been</w:t>
      </w:r>
      <w:r>
        <w:t xml:space="preserve"> </w:t>
      </w:r>
      <w:r>
        <w:t xml:space="preserve">compared against what actually happened.</w:t>
      </w:r>
    </w:p>
    <w:p>
      <w:pPr>
        <w:pStyle w:val="BodyText"/>
      </w:pPr>
      <w:r>
        <w:t xml:space="preserve">It does, however, leave an obvious question unanswered: does the pipeline work on a day that</w:t>
      </w:r>
      <w:r>
        <w:t xml:space="preserve"> </w:t>
      </w:r>
      <w:r>
        <w:t xml:space="preserve">has not happened? A backtest can be made to look good by construction — by a feature that</w:t>
      </w:r>
      <w:r>
        <w:t xml:space="preserve"> </w:t>
      </w:r>
      <w:r>
        <w:t xml:space="preserve">leaks, by a universe chosen after the fact, by hyperparameters tuned on the test period.</w:t>
      </w:r>
      <w:r>
        <w:t xml:space="preserve"> </w:t>
      </w:r>
      <w:r>
        <w:t xml:space="preserve">Running the identical code forward, on data that did not exist when the code was written,</w:t>
      </w:r>
      <w:r>
        <w:t xml:space="preserve"> </w:t>
      </w:r>
      <w:r>
        <w:t xml:space="preserve">removes all three possibilities at once. §8.2 does that, and §8.3 exposes both halves</w:t>
      </w:r>
      <w:r>
        <w:t xml:space="preserve"> </w:t>
      </w:r>
      <w:r>
        <w:t xml:space="preserve">through one interface so that the live forecast and the graded backtest can be inspected</w:t>
      </w:r>
      <w:r>
        <w:t xml:space="preserve"> </w:t>
      </w:r>
      <w:r>
        <w:t xml:space="preserve">side by side.</w:t>
      </w:r>
    </w:p>
    <w:bookmarkEnd w:id="67"/>
    <w:bookmarkStart w:id="68" w:name="live-forecasting-live.py"/>
    <w:p>
      <w:pPr>
        <w:pStyle w:val="Heading2"/>
      </w:pPr>
      <w:r>
        <w:t xml:space="preserve">8.2 Live forecasting:</w:t>
      </w:r>
      <w:r>
        <w:t xml:space="preserve"> </w:t>
      </w:r>
      <w:r>
        <w:rPr>
          <w:rStyle w:val="VerbatimChar"/>
        </w:rPr>
        <w:t xml:space="preserve">live.py</w:t>
      </w:r>
    </w:p>
    <w:p>
      <w:pPr>
        <w:pStyle w:val="FirstParagraph"/>
      </w:pPr>
      <w:r>
        <w:rPr>
          <w:rStyle w:val="VerbatimChar"/>
        </w:rPr>
        <w:t xml:space="preserve">live.py</w:t>
      </w:r>
      <w:r>
        <w:t xml:space="preserve"> </w:t>
      </w:r>
      <w:r>
        <w:t xml:space="preserve">downloads current prices for the study’s 474 tickers from Yahoo Finance, rebuilds</w:t>
      </w:r>
      <w:r>
        <w:t xml:space="preserve"> </w:t>
      </w:r>
      <w:r>
        <w:t xml:space="preserve">the 32 features by calling</w:t>
      </w:r>
      <w:r>
        <w:t xml:space="preserve"> </w:t>
      </w:r>
      <w:r>
        <w:rPr>
          <w:rStyle w:val="VerbatimChar"/>
        </w:rPr>
        <w:t xml:space="preserve">features.build()</w:t>
      </w:r>
      <w:r>
        <w:t xml:space="preserve">, retrains a Random Forest with the</w:t>
      </w:r>
      <w:r>
        <w:t xml:space="preserve"> </w:t>
      </w:r>
      <w:r>
        <w:t xml:space="preserve">hyperparameters already selected in §6.1, and forecasts the next trading session.</w:t>
      </w:r>
    </w:p>
    <w:p>
      <w:pPr>
        <w:pStyle w:val="BodyText"/>
      </w:pPr>
      <w:r>
        <w:t xml:space="preserve">The only substantive difference from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 </w:t>
      </w:r>
      <w:r>
        <w:t xml:space="preserve">is one line. The study drops every row</w:t>
      </w:r>
      <w:r>
        <w:t xml:space="preserve"> </w:t>
      </w:r>
      <w:r>
        <w:t xml:space="preserve">with a missing</w:t>
      </w:r>
      <w:r>
        <w:t xml:space="preserve"> </w:t>
      </w:r>
      <w:r>
        <w:rPr>
          <w:rStyle w:val="VerbatimChar"/>
        </w:rPr>
        <w:t xml:space="preserve">target_ret</w:t>
      </w:r>
      <w:r>
        <w:t xml:space="preserve">, which necessarily discards the most recent day. The live path</w:t>
      </w:r>
      <w:r>
        <w:t xml:space="preserve"> </w:t>
      </w:r>
      <w:r>
        <w:t xml:space="preserve">keeps it: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NOT on the target: the last day has none</w:t>
      </w:r>
      <w:r>
        <w:br/>
      </w:r>
      <w:r>
        <w:rPr>
          <w:rStyle w:val="NormalTok"/>
        </w:rPr>
        <w:t xml:space="preserve">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"target_ret"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train on every day with a known outcome</w:t>
      </w:r>
      <w:r>
        <w:br/>
      </w:r>
      <w:r>
        <w:rPr>
          <w:rStyle w:val="NormalTok"/>
        </w:rPr>
        <w:t xml:space="preserve">live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df[df.date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last_day].copy()        </w:t>
      </w:r>
      <w:r>
        <w:rPr>
          <w:rStyle w:val="CommentTok"/>
        </w:rPr>
        <w:t xml:space="preserve"># forecast the one day with no outcome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live.target_ret.isna().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"the last day already has a known outcome - rerun after the close"</w:t>
      </w:r>
    </w:p>
    <w:p>
      <w:pPr>
        <w:pStyle w:val="FirstParagraph"/>
      </w:pPr>
      <w:r>
        <w:t xml:space="preserve">The assertion is a guard against the most tempting error in this kind of demonstration. If</w:t>
      </w:r>
      <w:r>
        <w:t xml:space="preserve"> </w:t>
      </w:r>
      <w:r>
        <w:t xml:space="preserve">the script is run while a session is still in progress, the last available day already has</w:t>
      </w:r>
      <w:r>
        <w:t xml:space="preserve"> </w:t>
      </w:r>
      <w:r>
        <w:t xml:space="preserve">an outcome, and the script stops rather than presenting a hindsight value as a forecast.</w:t>
      </w:r>
    </w:p>
    <w:p>
      <w:pPr>
        <w:pStyle w:val="BodyText"/>
      </w:pPr>
      <w:r>
        <w:t xml:space="preserve">A representative run, as of the close of 29 October 2026: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834"/>
        <w:gridCol w:w="6803"/>
      </w:tblGrid>
      <w:tr>
        <w:tc>
          <w:tcPr>
            <w:tcW w:type="dxa" w:w="283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Quantity</w:t>
            </w:r>
          </w:p>
        </w:tc>
        <w:tc>
          <w:tcPr>
            <w:tcW w:type="dxa" w:w="680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Value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Stocks forecast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431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Training rows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1,473,486 stock-days, through 28 October 2026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Hyperparameters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unchanged from §6.1 (300 trees, leaf 5,000, max_features 0.3)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Price source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Yahoo Finance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yfinance</w:t>
            </w:r>
            <w:r>
              <w:rPr>
                <w:rFonts w:ascii="Calibri" w:hAnsi="Calibri"/>
                <w:sz w:val="18"/>
              </w:rPr>
              <w:t xml:space="preserve">, split- and dividend-adjusted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Tickers no longer trading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43 of the original 474</w:t>
            </w:r>
          </w:p>
        </w:tc>
      </w:tr>
    </w:tbl>
    <w:p>
      <w:pPr>
        <w:pStyle w:val="BodyText"/>
      </w:pPr>
      <w:r>
        <w:t xml:space="preserve">Three caveats are reported by the system itself rather than left to the reader. First, 43 of</w:t>
      </w:r>
      <w:r>
        <w:t xml:space="preserve"> </w:t>
      </w:r>
      <w:r>
        <w:t xml:space="preserve">the original tickers have been acquired, merged or delisted, so the live universe is smaller</w:t>
      </w:r>
      <w:r>
        <w:t xml:space="preserve"> </w:t>
      </w:r>
      <w:r>
        <w:t xml:space="preserve">than the study universe and the market-context features are computed over the survivors —</w:t>
      </w:r>
      <w:r>
        <w:t xml:space="preserve"> </w:t>
      </w:r>
      <w:r>
        <w:t xml:space="preserve">the survivorship bias discussed in §10 made visible rather than hidden. Second, the prices</w:t>
      </w:r>
      <w:r>
        <w:t xml:space="preserve"> </w:t>
      </w:r>
      <w:r>
        <w:t xml:space="preserve">come from a different vendor than the study panel; both are adjusted, but they are not the</w:t>
      </w:r>
      <w:r>
        <w:t xml:space="preserve"> </w:t>
      </w:r>
      <w:r>
        <w:t xml:space="preserve">same series. Third, nothing in the live output is scored, because the outcome does not</w:t>
      </w:r>
      <w:r>
        <w:t xml:space="preserve"> </w:t>
      </w:r>
      <w:r>
        <w:t xml:space="preserve">exist yet; the live mode demonstrates that the mechanism runs forward, not that it is</w:t>
      </w:r>
      <w:r>
        <w:t xml:space="preserve"> </w:t>
      </w:r>
      <w:r>
        <w:t xml:space="preserve">accurate.</w:t>
      </w:r>
    </w:p>
    <w:bookmarkEnd w:id="68"/>
    <w:bookmarkStart w:id="69" w:name="the-interactive-demonstration-app.py"/>
    <w:p>
      <w:pPr>
        <w:pStyle w:val="Heading2"/>
      </w:pPr>
      <w:r>
        <w:t xml:space="preserve">8.3 The interactive demonstration: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serves a single page from the Python standard library’s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. It</w:t>
      </w:r>
      <w:r>
        <w:t xml:space="preserve"> </w:t>
      </w:r>
      <w:r>
        <w:t xml:space="preserve">loads the four walk-forward models from §6.1, a TreeSHAP explainer for each, the LIME</w:t>
      </w:r>
      <w:r>
        <w:t xml:space="preserve"> </w:t>
      </w:r>
      <w:r>
        <w:t xml:space="preserve">reference samples, the cleaned price history (2,526 days × 474 stocks) and, when present,</w:t>
      </w:r>
      <w:r>
        <w:t xml:space="preserve"> </w:t>
      </w:r>
      <w:r>
        <w:t xml:space="preserve">the live forecast and its retrained model.</w:t>
      </w:r>
    </w:p>
    <w:p>
      <w:pPr>
        <w:pStyle w:val="BodyText"/>
      </w:pPr>
      <w:r>
        <w:t xml:space="preserve">Three endpoints: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544"/>
        <w:gridCol w:w="6092"/>
      </w:tblGrid>
      <w:tr>
        <w:tc>
          <w:tcPr>
            <w:tcW w:type="dxa" w:w="354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Endpoint</w:t>
            </w:r>
          </w:p>
        </w:tc>
        <w:tc>
          <w:tcPr>
            <w:tcW w:type="dxa" w:w="609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Returns</w:t>
            </w:r>
          </w:p>
        </w:tc>
      </w:tr>
      <w:tr>
        <w:tc>
          <w:tcPr>
            <w:tcW w:type="dxa" w:w="354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/api/meta</w:t>
            </w:r>
          </w:p>
        </w:tc>
        <w:tc>
          <w:tcPr>
            <w:tcW w:type="dxa" w:w="609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ticker list, date range, suggested cases, live metadata</w:t>
            </w:r>
          </w:p>
        </w:tc>
      </w:tr>
      <w:tr>
        <w:tc>
          <w:tcPr>
            <w:tcW w:type="dxa" w:w="354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/api/dates?ticker=…</w:t>
            </w:r>
          </w:p>
        </w:tc>
        <w:tc>
          <w:tcPr>
            <w:tcW w:type="dxa" w:w="609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dates that stock can be explained on</w:t>
            </w:r>
          </w:p>
        </w:tc>
      </w:tr>
      <w:tr>
        <w:tc>
          <w:tcPr>
            <w:tcW w:type="dxa" w:w="354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GET /api/explain?ticker=…&amp;date=…</w:t>
            </w:r>
          </w:p>
        </w:tc>
        <w:tc>
          <w:tcPr>
            <w:tcW w:type="dxa" w:w="609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forecast, SHAP, five LIME runs, agreement, faithfulness</w:t>
            </w:r>
          </w:p>
        </w:tc>
      </w:tr>
    </w:tbl>
    <w:p>
      <w:pPr>
        <w:pStyle w:val="BodyText"/>
      </w:pPr>
      <w:r>
        <w:t xml:space="preserve">Two design decisions matter for the credibility of the demonstration.</w:t>
      </w:r>
    </w:p>
    <w:p>
      <w:pPr>
        <w:pStyle w:val="BodyText"/>
      </w:pPr>
      <w:r>
        <w:t xml:space="preserve">Nothing is served from a cached result file. Each</w:t>
      </w:r>
      <w:r>
        <w:t xml:space="preserve"> </w:t>
      </w:r>
      <w:r>
        <w:rPr>
          <w:rStyle w:val="VerbatimChar"/>
        </w:rPr>
        <w:t xml:space="preserve">/api/explain</w:t>
      </w:r>
      <w:r>
        <w:t xml:space="preserve"> </w:t>
      </w:r>
      <w:r>
        <w:t xml:space="preserve">request runs TreeSHAP once</w:t>
      </w:r>
      <w:r>
        <w:t xml:space="preserve"> </w:t>
      </w:r>
      <w:r>
        <w:t xml:space="preserve">and LIME five times, on the saved model, at request time. The page therefore shows what the</w:t>
      </w:r>
      <w:r>
        <w:t xml:space="preserve"> </w:t>
      </w:r>
      <w:r>
        <w:t xml:space="preserve">pipeline produces, not a transcription of §7.</w:t>
      </w:r>
    </w:p>
    <w:p>
      <w:pPr>
        <w:pStyle w:val="BodyText"/>
      </w:pPr>
      <w:r>
        <w:t xml:space="preserve">The live and historical paths share one function.</w:t>
      </w:r>
      <w:r>
        <w:t xml:space="preserve"> </w:t>
      </w:r>
      <w:r>
        <w:rPr>
          <w:rStyle w:val="VerbatimChar"/>
        </w:rPr>
        <w:t xml:space="preserve">explain(ticker, date, live=False)</w:t>
      </w:r>
      <w:r>
        <w:t xml:space="preserve"> </w:t>
      </w:r>
      <w:r>
        <w:t xml:space="preserve">differs between the two modes only in which model and which feature row it selects; the</w:t>
      </w:r>
      <w:r>
        <w:t xml:space="preserve"> </w:t>
      </w:r>
      <w:r>
        <w:t xml:space="preserve">TreeSHAP call, the five LIME runs, the agreement statistics and the faithfulness probe are</w:t>
      </w:r>
      <w:r>
        <w:t xml:space="preserve"> </w:t>
      </w:r>
      <w:r>
        <w:t xml:space="preserve">the same lines of code.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lime_weights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lime_explain.py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FAMILY_OF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features.py</w:t>
      </w:r>
      <w:r>
        <w:t xml:space="preserve">, so the demonstration cannot drift into being</w:t>
      </w:r>
      <w:r>
        <w:t xml:space="preserve"> </w:t>
      </w:r>
      <w:r>
        <w:t xml:space="preserve">a more flattering version of the study.</w:t>
      </w:r>
    </w:p>
    <w:p>
      <w:pPr>
        <w:pStyle w:val="BodyText"/>
      </w:pPr>
      <w:r>
        <w:t xml:space="preserve">The faithfulness panel is the §6.5 R1 test reduced to a single forecast: SHAP’s top feature</w:t>
      </w:r>
      <w:r>
        <w:t xml:space="preserve"> </w:t>
      </w:r>
      <w:r>
        <w:t xml:space="preserve">is replaced with each of 32 background rows and the mean absolute change in the forecast is</w:t>
      </w:r>
      <w:r>
        <w:t xml:space="preserve"> </w:t>
      </w:r>
      <w:r>
        <w:t xml:space="preserve">recorded, then the same is done for eight randomly chosen features, and the ratio is</w:t>
      </w:r>
      <w:r>
        <w:t xml:space="preserve"> </w:t>
      </w:r>
      <w:r>
        <w:t xml:space="preserve">reported. For a forecast whose explanation is faithful the ratio is well above one.</w:t>
      </w:r>
    </w:p>
    <w:bookmarkEnd w:id="69"/>
    <w:bookmarkStart w:id="70" w:name="input-and-output"/>
    <w:p>
      <w:pPr>
        <w:pStyle w:val="Heading2"/>
      </w:pPr>
      <w:r>
        <w:t xml:space="preserve">8.4 Input and output</w:t>
      </w:r>
    </w:p>
    <w:p>
      <w:pPr>
        <w:pStyle w:val="FirstParagraph"/>
      </w:pPr>
      <w:r>
        <w:t xml:space="preserve">The user supplies two values: a stock (474 in historical mode, 431 in live mode) and either</w:t>
      </w:r>
      <w:r>
        <w:t xml:space="preserve"> </w:t>
      </w:r>
      <w:r>
        <w:t xml:space="preserve">a trading day between 2 January 2019 and 24 May 2022 or the next session.</w:t>
      </w:r>
    </w:p>
    <w:p>
      <w:pPr>
        <w:pStyle w:val="BodyText"/>
      </w:pPr>
      <w:r>
        <w:t xml:space="preserve">The page returns seven things.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The forecast.</w:t>
      </w:r>
      <w:r>
        <w:t xml:space="preserve"> </w:t>
      </w:r>
      <w:r>
        <w:t xml:space="preserve">Predicted next-day return in basis points, the implied close in</w:t>
      </w:r>
      <w:r>
        <w:t xml:space="preserve"> </w:t>
      </w:r>
      <w:r>
        <w:t xml:space="preserve">dollars, and the Random Forest classifier’s probability that the day is up. In historical</w:t>
      </w:r>
      <w:r>
        <w:t xml:space="preserve"> </w:t>
      </w:r>
      <w:r>
        <w:t xml:space="preserve">mode the realised return and close are shown beside it, with the direction marked correct</w:t>
      </w:r>
      <w:r>
        <w:t xml:space="preserve"> </w:t>
      </w:r>
      <w:r>
        <w:t xml:space="preserve">or incorrect.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The forecast in context.</w:t>
      </w:r>
      <w:r>
        <w:t xml:space="preserve"> </w:t>
      </w:r>
      <w:r>
        <w:t xml:space="preserve">The last 60 closes, a dashed segment to the forecast, and a</w:t>
      </w:r>
      <w:r>
        <w:t xml:space="preserve"> </w:t>
      </w:r>
      <w:r>
        <w:t xml:space="preserve">shaded band of one standard deviation of that stock’s recent daily moves. The band is the</w:t>
      </w:r>
      <w:r>
        <w:t xml:space="preserve"> </w:t>
      </w:r>
      <w:r>
        <w:t xml:space="preserve">point of the chart: for AAPL on 29 October 2026 the forecast is −4.05 bp against a ±87 bp</w:t>
      </w:r>
      <w:r>
        <w:t xml:space="preserve"> </w:t>
      </w:r>
      <w:r>
        <w:t xml:space="preserve">band, so the model is predicting a move roughly 22 times smaller than a normal day. The</w:t>
      </w:r>
      <w:r>
        <w:t xml:space="preserve"> </w:t>
      </w:r>
      <w:r>
        <w:t xml:space="preserve">near-zero dispersion reported in §7.1.1 is a summary statistic; this is the same fact</w:t>
      </w:r>
      <w:r>
        <w:t xml:space="preserve"> </w:t>
      </w:r>
      <w:r>
        <w:t xml:space="preserve">made visible on one stock.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 SHAP waterfall.</w:t>
      </w:r>
      <w:r>
        <w:t xml:space="preserve"> </w:t>
      </w:r>
      <w:r>
        <w:t xml:space="preserve">The base value (the model’s mean forecast), then each of the top</w:t>
      </w:r>
      <w:r>
        <w:t xml:space="preserve"> </w:t>
      </w:r>
      <w:r>
        <w:t xml:space="preserve">eight contributions in turn, then the remaining 24 features as one bar, ending exactly on</w:t>
      </w:r>
      <w:r>
        <w:t xml:space="preserve"> </w:t>
      </w:r>
      <w:r>
        <w:t xml:space="preserve">the forecast. The exactness is the demonstration of TreeSHAP’s additivity: the bars are</w:t>
      </w:r>
      <w:r>
        <w:t xml:space="preserve"> </w:t>
      </w:r>
      <w:r>
        <w:t xml:space="preserve">not an illustration of the forecast, they sum to it.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Both explanations.</w:t>
      </w:r>
      <w:r>
        <w:t xml:space="preserve"> </w:t>
      </w:r>
      <w:r>
        <w:t xml:space="preserve">SHAP and LIME bar charts of the same forecast side by side, plus a</w:t>
      </w:r>
      <w:r>
        <w:t xml:space="preserve"> </w:t>
      </w:r>
      <w:r>
        <w:t xml:space="preserve">table of all 32 features with both attributions in basis points and the feature’s value.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Agreement.</w:t>
      </w:r>
      <w:r>
        <w:t xml:space="preserve"> </w:t>
      </w:r>
      <w:r>
        <w:t xml:space="preserve">Spearman ρ between the two attribution vectors, top-5 overlap, whether</w:t>
      </w:r>
      <w:r>
        <w:t xml:space="preserve"> </w:t>
      </w:r>
      <w:r>
        <w:t xml:space="preserve">they name the same top feature, and sign agreement on SHAP’s top five.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Stability.</w:t>
      </w:r>
      <w:r>
        <w:t xml:space="preserve"> </w:t>
      </w:r>
      <w:r>
        <w:t xml:space="preserve">The top feature from each of five LIME runs with different seeds, the mean</w:t>
      </w:r>
      <w:r>
        <w:t xml:space="preserve"> </w:t>
      </w:r>
      <w:r>
        <w:t xml:space="preserve">Spearman between runs, and the median surrogate R². TreeSHAP is labelled deterministic,</w:t>
      </w:r>
      <w:r>
        <w:t xml:space="preserve"> </w:t>
      </w:r>
      <w:r>
        <w:t xml:space="preserve">because re-running it on the same model returns identical values.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Faithfulness.</w:t>
      </w:r>
      <w:r>
        <w:t xml:space="preserve"> </w:t>
      </w:r>
      <w:r>
        <w:t xml:space="preserve">The change in the forecast when SHAP’s top feature is deleted, the mean</w:t>
      </w:r>
      <w:r>
        <w:t xml:space="preserve"> </w:t>
      </w:r>
      <w:r>
        <w:t xml:space="preserve">change for eight random features, and the ratio.</w:t>
      </w:r>
    </w:p>
    <w:p>
      <w:pPr>
        <w:pStyle w:val="FirstParagraph"/>
      </w:pPr>
      <w:r>
        <w:t xml:space="preserve">The five preset cases are chosen to show both outcomes of the §7.6 comparison: two stock-days</w:t>
      </w:r>
      <w:r>
        <w:t xml:space="preserve"> </w:t>
      </w:r>
      <w:r>
        <w:t xml:space="preserve">where the explainers agree, and two where they name a different top feature — which happened</w:t>
      </w:r>
      <w:r>
        <w:t xml:space="preserve"> </w:t>
      </w:r>
      <w:r>
        <w:t xml:space="preserve">on 41% of the sampled stock-days — including one where LIME contradicts its own re-runs.</w:t>
      </w:r>
    </w:p>
    <w:bookmarkEnd w:id="70"/>
    <w:bookmarkStart w:id="71" w:name="guards-against-overclaiming"/>
    <w:p>
      <w:pPr>
        <w:pStyle w:val="Heading2"/>
      </w:pPr>
      <w:r>
        <w:t xml:space="preserve">8.5 Guards against overclaiming</w:t>
      </w:r>
    </w:p>
    <w:p>
      <w:pPr>
        <w:pStyle w:val="FirstParagraph"/>
      </w:pPr>
      <w:r>
        <w:t xml:space="preserve">The demonstration is the part of this project most likely to be mistaken for a trading</w:t>
      </w:r>
      <w:r>
        <w:t xml:space="preserve"> </w:t>
      </w:r>
      <w:r>
        <w:t xml:space="preserve">system, so three guards are built into it.</w:t>
      </w:r>
    </w:p>
    <w:p>
      <w:pPr>
        <w:numPr>
          <w:ilvl w:val="0"/>
          <w:numId w:val="1037"/>
        </w:numPr>
        <w:pStyle w:val="Compact"/>
      </w:pPr>
      <w:r>
        <w:t xml:space="preserve">The live forecast carries its age.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computes how many days have passed since the</w:t>
      </w:r>
      <w:r>
        <w:t xml:space="preserve"> </w:t>
      </w:r>
      <w:r>
        <w:t xml:space="preserve">close the forecast was made from, and the page displays a warning when that exceeds three</w:t>
      </w:r>
      <w:r>
        <w:t xml:space="preserve"> </w:t>
      </w:r>
      <w:r>
        <w:t xml:space="preserve">days, because a forecast for a session that has already traded is no longer a forecast.</w:t>
      </w:r>
    </w:p>
    <w:p>
      <w:pPr>
        <w:numPr>
          <w:ilvl w:val="0"/>
          <w:numId w:val="1037"/>
        </w:numPr>
        <w:pStyle w:val="Compact"/>
      </w:pPr>
      <w:r>
        <w:t xml:space="preserve">The 43 delisted tickers are listed on the page rather than silently dropped.</w:t>
      </w:r>
    </w:p>
    <w:p>
      <w:pPr>
        <w:numPr>
          <w:ilvl w:val="0"/>
          <w:numId w:val="1037"/>
        </w:numPr>
        <w:pStyle w:val="Compact"/>
      </w:pPr>
      <w:r>
        <w:t xml:space="preserve">The page states that the forecast has an out-of-sample R² of +0.00013 across 405,545</w:t>
      </w:r>
      <w:r>
        <w:t xml:space="preserve"> </w:t>
      </w:r>
      <w:r>
        <w:t xml:space="preserve">scored forecasts. The live mode demonstrates that the mechanism works; §7.1 remains the</w:t>
      </w:r>
      <w:r>
        <w:t xml:space="preserve"> </w:t>
      </w:r>
      <w:r>
        <w:t xml:space="preserve">statement of how well it works.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discussion"/>
    <w:p>
      <w:pPr>
        <w:pStyle w:val="Heading1"/>
      </w:pPr>
      <w:r>
        <w:t xml:space="preserve">9. Discussion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Score the change, not the level.</w:t>
      </w:r>
    </w:p>
    <w:p>
      <w:pPr>
        <w:numPr>
          <w:ilvl w:val="1"/>
          <w:numId w:val="1039"/>
        </w:numPr>
        <w:pStyle w:val="Compact"/>
      </w:pPr>
      <w:r>
        <w:t xml:space="preserve">One set of forecasts scores R² 0.9994 on the price and +0.00013 on the return. The first</w:t>
      </w:r>
      <w:r>
        <w:t xml:space="preserve"> </w:t>
      </w:r>
      <w:r>
        <w:t xml:space="preserve">number is a property of daily stock prices — naive persistence matches it exactly — and</w:t>
      </w:r>
      <w:r>
        <w:t xml:space="preserve"> </w:t>
      </w:r>
      <w:r>
        <w:t xml:space="preserve">only the second says anything about the model.</w:t>
      </w:r>
    </w:p>
    <w:p>
      <w:pPr>
        <w:numPr>
          <w:ilvl w:val="1"/>
          <w:numId w:val="1039"/>
        </w:numPr>
        <w:pStyle w:val="Compact"/>
      </w:pPr>
      <w:r>
        <w:t xml:space="preserve">The forecasts themselves vary by 10.8 bp against a realised 245 bp: the model is</w:t>
      </w:r>
      <w:r>
        <w:t xml:space="preserve"> </w:t>
      </w:r>
      <w:r>
        <w:t xml:space="preserve">correctly refusing to commit, which is what produces the flattering price figures.</w:t>
      </w:r>
    </w:p>
    <w:p>
      <w:pPr>
        <w:numPr>
          <w:ilvl w:val="1"/>
          <w:numId w:val="1039"/>
        </w:numPr>
        <w:pStyle w:val="Compact"/>
      </w:pPr>
      <w:r>
        <w:t xml:space="preserve">A price-level Random Forest with R² 0.993 is significantly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naive in both</w:t>
      </w:r>
      <w:r>
        <w:t xml:space="preserve"> </w:t>
      </w:r>
      <w:r>
        <w:t xml:space="preserve">spaces. Accuracy claims reported in price units, without a persistence baseline, cannot</w:t>
      </w:r>
      <w:r>
        <w:t xml:space="preserve"> </w:t>
      </w:r>
      <w:r>
        <w:t xml:space="preserve">be interpreted at all. This matches the weak signal Indra et al. (2025) found once</w:t>
      </w:r>
      <w:r>
        <w:t xml:space="preserve"> </w:t>
      </w:r>
      <w:r>
        <w:t xml:space="preserve">returns were evaluated properly.</w:t>
      </w:r>
    </w:p>
    <w:p>
      <w:pPr>
        <w:numPr>
          <w:ilvl w:val="1"/>
          <w:numId w:val="1039"/>
        </w:numPr>
        <w:pStyle w:val="Compact"/>
      </w:pPr>
      <w:r>
        <w:t xml:space="preserve">Return space also localises what little skill exists: significant only in the 2020–21</w:t>
      </w:r>
      <w:r>
        <w:t xml:space="preserve"> </w:t>
      </w:r>
      <w:r>
        <w:t xml:space="preserve">recovery (R² +0.0067, DM p = 0.043) and inverted during the COVID crash (IC −0.073,</w:t>
      </w:r>
      <w:r>
        <w:t xml:space="preserve"> </w:t>
      </w:r>
      <w:r>
        <w:t xml:space="preserve">direction 34.7%). Neither is visible in the price-space numbers.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Faithful does not mean the market insight is real.</w:t>
      </w:r>
    </w:p>
    <w:p>
      <w:pPr>
        <w:numPr>
          <w:ilvl w:val="1"/>
          <w:numId w:val="1040"/>
        </w:numPr>
        <w:pStyle w:val="Compact"/>
      </w:pPr>
      <w:r>
        <w:t xml:space="preserve">SHAP is faithful (fidelity ≥ 0.98), seed-stable (τ = 0.85) and passes the sanity check.</w:t>
      </w:r>
    </w:p>
    <w:p>
      <w:pPr>
        <w:numPr>
          <w:ilvl w:val="1"/>
          <w:numId w:val="1040"/>
        </w:numPr>
        <w:pStyle w:val="Compact"/>
      </w:pPr>
      <w:r>
        <w:t xml:space="preserve">Yet SHAP, LIME and MDI all disagree with permutation importance (τ ≤ 0.15).</w:t>
      </w:r>
    </w:p>
    <w:p>
      <w:pPr>
        <w:numPr>
          <w:ilvl w:val="1"/>
          <w:numId w:val="1040"/>
        </w:numPr>
        <w:pStyle w:val="Compact"/>
      </w:pPr>
      <w:r>
        <w:t xml:space="preserve">Explanations describe how the model computes its forecast, not which relationships</w:t>
      </w:r>
      <w:r>
        <w:t xml:space="preserve"> </w:t>
      </w:r>
      <w:r>
        <w:t xml:space="preserve">actually predict prices. Presenting SHAP or LIME rankings as market insight, as in</w:t>
      </w:r>
      <w:r>
        <w:t xml:space="preserve"> </w:t>
      </w:r>
      <w:r>
        <w:t xml:space="preserve">papers 1 and 3, conflates the two.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For tree models, SHAP should be preferred over LIME for individual explanations.</w:t>
      </w:r>
    </w:p>
    <w:p>
      <w:pPr>
        <w:numPr>
          <w:ilvl w:val="1"/>
          <w:numId w:val="1041"/>
        </w:numPr>
        <w:pStyle w:val="Compact"/>
      </w:pPr>
      <w:r>
        <w:t xml:space="preserve">LIME agrees with SHAP only moderately even globally (τ 0.58) and is unstable for</w:t>
      </w:r>
      <w:r>
        <w:t xml:space="preserve"> </w:t>
      </w:r>
      <w:r>
        <w:t xml:space="preserve">individual forecasts (ρ 0.45 between runs), fits poorly (median R² 0.17), and can flip a</w:t>
      </w:r>
      <w:r>
        <w:t xml:space="preserve"> </w:t>
      </w:r>
      <w:r>
        <w:t xml:space="preserve">feature’s sign.</w:t>
      </w:r>
    </w:p>
    <w:p>
      <w:pPr>
        <w:numPr>
          <w:ilvl w:val="1"/>
          <w:numId w:val="1041"/>
        </w:numPr>
        <w:pStyle w:val="Compact"/>
      </w:pPr>
      <w:r>
        <w:t xml:space="preserve">Studies reporting a single LIME explanation per case (paper 3) risk reporting noise.</w:t>
      </w:r>
      <w:r>
        <w:t xml:space="preserve"> </w:t>
      </w:r>
      <w:r>
        <w:t xml:space="preserve">Like Song et al. (2026) for neural networks, this shows explanations must be</w:t>
      </w:r>
      <w:r>
        <w:t xml:space="preserve"> </w:t>
      </w:r>
      <w:r>
        <w:t xml:space="preserve">re-run before they are trusted.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Explanations are period- and sector-specific.</w:t>
      </w:r>
    </w:p>
    <w:p>
      <w:pPr>
        <w:numPr>
          <w:ilvl w:val="1"/>
          <w:numId w:val="1042"/>
        </w:numPr>
        <w:pStyle w:val="Compact"/>
      </w:pPr>
      <w:r>
        <w:t xml:space="preserve">Regime drift (p = 0.003), sector drift (p = 0.001) and the drop in agreement after</w:t>
      </w:r>
      <w:r>
        <w:t xml:space="preserve"> </w:t>
      </w:r>
      <w:r>
        <w:t xml:space="preserve">retraining on COVID data (τ 0.44) mean an explanation from one period shouldn’t be</w:t>
      </w:r>
      <w:r>
        <w:t xml:space="preserve"> </w:t>
      </w:r>
      <w:r>
        <w:t xml:space="preserve">generalised.</w:t>
      </w:r>
    </w:p>
    <w:p>
      <w:pPr>
        <w:numPr>
          <w:ilvl w:val="1"/>
          <w:numId w:val="1042"/>
        </w:numPr>
        <w:pStyle w:val="Compact"/>
      </w:pPr>
      <w:r>
        <w:t xml:space="preserve">This turns Pagliaro’s (2026) qualitative regime observation into formal tests on 474</w:t>
      </w:r>
      <w:r>
        <w:t xml:space="preserve"> </w:t>
      </w:r>
      <w:r>
        <w:t xml:space="preserve">stocks.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What the model learned.</w:t>
      </w:r>
    </w:p>
    <w:p>
      <w:pPr>
        <w:numPr>
          <w:ilvl w:val="1"/>
          <w:numId w:val="1043"/>
        </w:numPr>
        <w:pStyle w:val="Compact"/>
      </w:pPr>
      <w:r>
        <w:t xml:space="preserve">Mainly one market-wide rule: expect a small rebound after volatile sell-offs.</w:t>
      </w:r>
    </w:p>
    <w:p>
      <w:pPr>
        <w:numPr>
          <w:ilvl w:val="1"/>
          <w:numId w:val="1043"/>
        </w:numPr>
        <w:pStyle w:val="Compact"/>
      </w:pPr>
      <w:r>
        <w:t xml:space="preserve">It failed in the COVID crash (35% direction accuracy), which is exactly when a user</w:t>
      </w:r>
      <w:r>
        <w:t xml:space="preserve"> </w:t>
      </w:r>
      <w:r>
        <w:t xml:space="preserve">would most rely on it.</w:t>
      </w:r>
    </w:p>
    <w:p>
      <w:r>
        <w:pict>
          <v:rect style="width:0;height:1.5pt" o:hralign="center" o:hrstd="t" o:hr="t"/>
        </w:pict>
      </w:r>
    </w:p>
    <w:bookmarkEnd w:id="73"/>
    <w:bookmarkStart w:id="74" w:name="limitations"/>
    <w:p>
      <w:pPr>
        <w:pStyle w:val="Heading1"/>
      </w:pPr>
      <w:r>
        <w:t xml:space="preserve">10. Limitations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Data:</w:t>
      </w:r>
    </w:p>
    <w:p>
      <w:pPr>
        <w:numPr>
          <w:ilvl w:val="1"/>
          <w:numId w:val="1045"/>
        </w:numPr>
        <w:pStyle w:val="Compact"/>
      </w:pPr>
      <w:r>
        <w:t xml:space="preserve">price and volume only (no news, fundamentals or macroeconomic data);</w:t>
      </w:r>
    </w:p>
    <w:p>
      <w:pPr>
        <w:numPr>
          <w:ilvl w:val="1"/>
          <w:numId w:val="1045"/>
        </w:numPr>
        <w:pStyle w:val="Compact"/>
      </w:pPr>
      <w:r>
        <w:t xml:space="preserve">the data ends May 2022;</w:t>
      </w:r>
    </w:p>
    <w:p>
      <w:pPr>
        <w:numPr>
          <w:ilvl w:val="1"/>
          <w:numId w:val="1045"/>
        </w:numPr>
        <w:pStyle w:val="Compact"/>
      </w:pPr>
      <w:r>
        <w:t xml:space="preserve">the 474 stocks were constituents when the dataset was built (survivorship bias).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Explanation methods:</w:t>
      </w:r>
    </w:p>
    <w:p>
      <w:pPr>
        <w:numPr>
          <w:ilvl w:val="1"/>
          <w:numId w:val="1046"/>
        </w:numPr>
        <w:pStyle w:val="Compact"/>
      </w:pPr>
      <w:r>
        <w:t xml:space="preserve">TreeSHAP uses the path-dependent algorithm; interventional SHAP could differ when</w:t>
      </w:r>
      <w:r>
        <w:t xml:space="preserve"> </w:t>
      </w:r>
      <w:r>
        <w:t xml:space="preserve">features are correlated;</w:t>
      </w:r>
    </w:p>
    <w:p>
      <w:pPr>
        <w:numPr>
          <w:ilvl w:val="1"/>
          <w:numId w:val="1046"/>
        </w:numPr>
        <w:pStyle w:val="Compact"/>
      </w:pPr>
      <w:r>
        <w:t xml:space="preserve">LIME uses its default quartile discretisation and 5,000 samples; other settings could</w:t>
      </w:r>
      <w:r>
        <w:t xml:space="preserve"> </w:t>
      </w:r>
      <w:r>
        <w:t xml:space="preserve">change its stability.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Faithfulness test:</w:t>
      </w:r>
      <w:r>
        <w:t xml:space="preserve"> </w:t>
      </w:r>
      <w:r>
        <w:t xml:space="preserve">it replaces features with values from random training rows, which</w:t>
      </w:r>
      <w:r>
        <w:t xml:space="preserve"> </w:t>
      </w:r>
      <w:r>
        <w:t xml:space="preserve">can create unrealistic feature combinations.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Regimes and costs:</w:t>
      </w:r>
      <w:r>
        <w:t xml:space="preserve"> </w:t>
      </w:r>
      <w:r>
        <w:t xml:space="preserve">regimes are calendar-defined; the COVID crash has only 23 trading</w:t>
      </w:r>
      <w:r>
        <w:t xml:space="preserve"> </w:t>
      </w:r>
      <w:r>
        <w:t xml:space="preserve">days. The decile portfolio charges one flat 10 bp round-trip cost and ignores slippage,</w:t>
      </w:r>
      <w:r>
        <w:t xml:space="preserve"> </w:t>
      </w:r>
      <w:r>
        <w:t xml:space="preserve">market impact, shorting costs and capacity, so the net −1.8 bp/day figure is an optimistic</w:t>
      </w:r>
      <w:r>
        <w:t xml:space="preserve"> </w:t>
      </w:r>
      <w:r>
        <w:t xml:space="preserve">bound rather than a backtest.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Live demonstration (§8):</w:t>
      </w:r>
      <w:r>
        <w:t xml:space="preserve"> </w:t>
      </w:r>
      <w:r>
        <w:t xml:space="preserve">its prices come from Yahoo Finance rather than the study</w:t>
      </w:r>
      <w:r>
        <w:t xml:space="preserve"> </w:t>
      </w:r>
      <w:r>
        <w:t xml:space="preserve">panel, its universe is the 431 survivors of the original 474, and none of its forecasts</w:t>
      </w:r>
      <w:r>
        <w:t xml:space="preserve"> </w:t>
      </w:r>
      <w:r>
        <w:t xml:space="preserve">are scored, because their outcomes do not exist yet. It evidences that the pipeline runs</w:t>
      </w:r>
      <w:r>
        <w:t xml:space="preserve"> </w:t>
      </w:r>
      <w:r>
        <w:t xml:space="preserve">forward; it is not additional evidence of accuracy.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Literature gaps:</w:t>
      </w:r>
      <w:r>
        <w:t xml:space="preserve"> </w:t>
      </w:r>
      <w:r>
        <w:t xml:space="preserve">stated from abstracts and public details; verify against full</w:t>
      </w:r>
      <w:r>
        <w:t xml:space="preserve"> </w:t>
      </w:r>
      <w:r>
        <w:t xml:space="preserve">texts before submission.</w:t>
      </w:r>
    </w:p>
    <w:p>
      <w:r>
        <w:pict>
          <v:rect style="width:0;height:1.5pt" o:hralign="center" o:hrstd="t" o:hr="t"/>
        </w:pict>
      </w:r>
    </w:p>
    <w:bookmarkEnd w:id="74"/>
    <w:bookmarkStart w:id="75" w:name="conclusion"/>
    <w:p>
      <w:pPr>
        <w:pStyle w:val="Heading1"/>
      </w:pPr>
      <w:r>
        <w:t xml:space="preserve">11. Conclusion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Accuracy.</w:t>
      </w:r>
      <w:r>
        <w:t xml:space="preserve"> </w:t>
      </w:r>
      <w:r>
        <w:t xml:space="preserve">A walk-forward Random Forest predicts the next-day</w:t>
      </w:r>
      <w:r>
        <w:t xml:space="preserve"> </w:t>
      </w:r>
      <w:r>
        <w:rPr>
          <w:bCs/>
          <w:b/>
        </w:rPr>
        <w:t xml:space="preserve">return</w:t>
      </w:r>
      <w:r>
        <w:t xml:space="preserve"> </w:t>
      </w:r>
      <w:r>
        <w:t xml:space="preserve">for 474 S&amp;P</w:t>
      </w:r>
      <w:r>
        <w:t xml:space="preserve"> </w:t>
      </w:r>
      <w:r>
        <w:t xml:space="preserve">500 stocks with an out-of-sample R² of</w:t>
      </w:r>
      <w:r>
        <w:t xml:space="preserve"> </w:t>
      </w:r>
      <w:r>
        <w:rPr>
          <w:bCs/>
          <w:b/>
        </w:rPr>
        <w:t xml:space="preserve">+0.00013</w:t>
      </w:r>
      <w:r>
        <w:t xml:space="preserve"> </w:t>
      </w:r>
      <w:r>
        <w:t xml:space="preserve">— statistically indistinguishable from</w:t>
      </w:r>
      <w:r>
        <w:t xml:space="preserve"> </w:t>
      </w:r>
      <w:r>
        <w:t xml:space="preserve">predicting no change at all (DM p = 0.97) — and 51.8% directional accuracy, below the</w:t>
      </w:r>
      <w:r>
        <w:t xml:space="preserve"> </w:t>
      </w:r>
      <w:r>
        <w:t xml:space="preserve">52.8% majority rule. Converted to prices, the identical forecasts read as 98.44%</w:t>
      </w:r>
      <w:r>
        <w:t xml:space="preserve"> </w:t>
      </w:r>
      <w:r>
        <w:t xml:space="preserve">“</w:t>
      </w:r>
      <w:r>
        <w:t xml:space="preserve">price</w:t>
      </w:r>
      <w:r>
        <w:t xml:space="preserve"> </w:t>
      </w:r>
      <w:r>
        <w:t xml:space="preserve">accuracy</w:t>
      </w:r>
      <w:r>
        <w:t xml:space="preserve">”</w:t>
      </w:r>
      <w:r>
        <w:t xml:space="preserve"> </w:t>
      </w:r>
      <w:r>
        <w:t xml:space="preserve">(MAPE 1.56%, R² 0.9994), a figure naive persistence matches exactly. Its decile</w:t>
      </w:r>
      <w:r>
        <w:t xml:space="preserve"> </w:t>
      </w:r>
      <w:r>
        <w:t xml:space="preserve">ranking earns +8.2 bp/day gross (t = 1.53) and loses money after a 10 bp trading cost.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SHAP explanations</w:t>
      </w:r>
      <w:r>
        <w:t xml:space="preserve"> </w:t>
      </w:r>
      <w:r>
        <w:t xml:space="preserve">are:</w:t>
      </w:r>
    </w:p>
    <w:p>
      <w:pPr>
        <w:numPr>
          <w:ilvl w:val="1"/>
          <w:numId w:val="1048"/>
        </w:numPr>
        <w:pStyle w:val="Compact"/>
      </w:pPr>
      <w:r>
        <w:t xml:space="preserve">faithful and seed-stable;</w:t>
      </w:r>
    </w:p>
    <w:p>
      <w:pPr>
        <w:numPr>
          <w:ilvl w:val="1"/>
          <w:numId w:val="1048"/>
        </w:numPr>
        <w:pStyle w:val="Compact"/>
      </w:pPr>
      <w:r>
        <w:t xml:space="preserve">clearly different from a no-signal model;</w:t>
      </w:r>
    </w:p>
    <w:p>
      <w:pPr>
        <w:numPr>
          <w:ilvl w:val="1"/>
          <w:numId w:val="1048"/>
        </w:numPr>
        <w:pStyle w:val="Compact"/>
      </w:pPr>
      <w:r>
        <w:t xml:space="preserve">mostly about market-wide timing;</w:t>
      </w:r>
    </w:p>
    <w:p>
      <w:pPr>
        <w:numPr>
          <w:ilvl w:val="1"/>
          <w:numId w:val="1048"/>
        </w:numPr>
        <w:pStyle w:val="Compact"/>
      </w:pPr>
      <w:r>
        <w:t xml:space="preserve">significantly different across market regimes and sectors, and after retraining.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LIME explanations</w:t>
      </w:r>
      <w:r>
        <w:t xml:space="preserve"> </w:t>
      </w:r>
      <w:r>
        <w:t xml:space="preserve">agree with SHAP only moderately even globally (τ 0.58), are unstable</w:t>
      </w:r>
      <w:r>
        <w:t xml:space="preserve"> </w:t>
      </w:r>
      <w:r>
        <w:t xml:space="preserve">between runs (ρ 0.45), fit the model poorly (median R² 0.17), and name a different top</w:t>
      </w:r>
      <w:r>
        <w:t xml:space="preserve"> </w:t>
      </w:r>
      <w:r>
        <w:t xml:space="preserve">feature on 41% of forecasts.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Neither</w:t>
      </w:r>
      <w:r>
        <w:t xml:space="preserve"> </w:t>
      </w:r>
      <w:r>
        <w:t xml:space="preserve">SHAP nor LIME identifies the features that actually improve accuracy.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The audit found a defect in the audit tool.</w:t>
      </w:r>
      <w:r>
        <w:t xml:space="preserve"> </w:t>
      </w:r>
      <w:r>
        <w:rPr>
          <w:rStyle w:val="VerbatimChar"/>
        </w:rPr>
        <w:t xml:space="preserve">LimeTabularExplainer</w:t>
      </w:r>
      <w:r>
        <w:t xml:space="preserve"> </w:t>
      </w:r>
      <w:r>
        <w:t xml:space="preserve">binds its random</w:t>
      </w:r>
      <w:r>
        <w:t xml:space="preserve"> </w:t>
      </w:r>
      <w:r>
        <w:t xml:space="preserve">state at construction, so the natural usage pattern — reassigning</w:t>
      </w:r>
      <w:r>
        <w:t xml:space="preserve"> </w:t>
      </w:r>
      <w:r>
        <w:rPr>
          <w:rStyle w:val="VerbatimChar"/>
        </w:rPr>
        <w:t xml:space="preserve">.random_state</w:t>
      </w:r>
      <w:r>
        <w:t xml:space="preserve"> </w:t>
      </w:r>
      <w:r>
        <w:t xml:space="preserve">between</w:t>
      </w:r>
      <w:r>
        <w:t xml:space="preserve"> </w:t>
      </w:r>
      <w:r>
        <w:t xml:space="preserve">runs — leaves repeats non-identical (measured ρ 0.46–0.53 where it should be 1.000).</w:t>
      </w:r>
      <w:r>
        <w:t xml:space="preserve"> </w:t>
      </w:r>
      <w:r>
        <w:t xml:space="preserve">Correcting it moved the headline SHAP–LIME agreement from τ 0.73 to τ 0.58. A reliability</w:t>
      </w:r>
      <w:r>
        <w:t xml:space="preserve"> </w:t>
      </w:r>
      <w:r>
        <w:t xml:space="preserve">study that does not check its own tooling can report the inflated figure without ever</w:t>
      </w:r>
      <w:r>
        <w:t xml:space="preserve"> </w:t>
      </w:r>
      <w:r>
        <w:t xml:space="preserve">seeing it.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The pipeline runs forward.</w:t>
      </w:r>
      <w:r>
        <w:t xml:space="preserve"> </w:t>
      </w:r>
      <w:r>
        <w:t xml:space="preserve">The same features, hyperparameters and explanation code</w:t>
      </w:r>
      <w:r>
        <w:t xml:space="preserve"> </w:t>
      </w:r>
      <w:r>
        <w:t xml:space="preserve">produce next-session forecasts for 431 currently traded stocks, explained and audited at</w:t>
      </w:r>
      <w:r>
        <w:t xml:space="preserve"> </w:t>
      </w:r>
      <w:r>
        <w:t xml:space="preserve">request time (§8). This demonstrates that no step depends on knowing the outcome; it does</w:t>
      </w:r>
      <w:r>
        <w:t xml:space="preserve"> </w:t>
      </w:r>
      <w:r>
        <w:t xml:space="preserve">not improve the accuracy reported above, and the system says so on the page.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Recommendations for stock-forecasting studies:</w:t>
      </w:r>
    </w:p>
    <w:p>
      <w:pPr>
        <w:numPr>
          <w:ilvl w:val="1"/>
          <w:numId w:val="1049"/>
        </w:numPr>
        <w:pStyle w:val="Compact"/>
      </w:pPr>
      <w:r>
        <w:t xml:space="preserve">benchmark accuracy against persistence;</w:t>
      </w:r>
    </w:p>
    <w:p>
      <w:pPr>
        <w:numPr>
          <w:ilvl w:val="1"/>
          <w:numId w:val="1049"/>
        </w:numPr>
        <w:pStyle w:val="Compact"/>
      </w:pPr>
      <w:r>
        <w:t xml:space="preserve">prefer TreeSHAP to single LIME runs for tree models;</w:t>
      </w:r>
    </w:p>
    <w:p>
      <w:pPr>
        <w:numPr>
          <w:ilvl w:val="1"/>
          <w:numId w:val="1049"/>
        </w:numPr>
        <w:pStyle w:val="Compact"/>
      </w:pPr>
      <w:r>
        <w:t xml:space="preserve">report skill in return space, and treat price-level R² and</w:t>
      </w:r>
      <w:r>
        <w:t xml:space="preserve"> </w:t>
      </w:r>
      <w:r>
        <w:t xml:space="preserve">“</w:t>
      </w:r>
      <w:r>
        <w:t xml:space="preserve">accuracy %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descriptive statistics of the price series rather than as results;</w:t>
      </w:r>
    </w:p>
    <w:p>
      <w:pPr>
        <w:numPr>
          <w:ilvl w:val="1"/>
          <w:numId w:val="1049"/>
        </w:numPr>
        <w:pStyle w:val="Compact"/>
      </w:pPr>
      <w:r>
        <w:t xml:space="preserve">test explanations for faithfulness, stability, sanity and regime drift before</w:t>
      </w:r>
      <w:r>
        <w:t xml:space="preserve"> </w:t>
      </w:r>
      <w:r>
        <w:t xml:space="preserve">reading them as market insight.</w:t>
      </w:r>
    </w:p>
    <w:p>
      <w:r>
        <w:pict>
          <v:rect style="width:0;height:1.5pt" o:hralign="center" o:hrstd="t" o:hr="t"/>
        </w:pict>
      </w:r>
    </w:p>
    <w:bookmarkEnd w:id="75"/>
    <w:bookmarkStart w:id="76" w:name="references"/>
    <w:p>
      <w:pPr>
        <w:pStyle w:val="Heading1"/>
      </w:pPr>
      <w:r>
        <w:t xml:space="preserve">12. References</w:t>
      </w:r>
    </w:p>
    <w:p>
      <w:pPr>
        <w:pStyle w:val="FirstParagraph"/>
      </w:pPr>
      <w:r>
        <w:rPr>
          <w:bCs/>
          <w:b/>
        </w:rPr>
        <w:t xml:space="preserve">Literature review</w:t>
      </w:r>
    </w:p>
    <w:p>
      <w:pPr>
        <w:numPr>
          <w:ilvl w:val="0"/>
          <w:numId w:val="1050"/>
        </w:numPr>
        <w:pStyle w:val="Compact"/>
      </w:pPr>
      <w:r>
        <w:t xml:space="preserve">Indra, S., Supian, S., Sukono, Riaman, R., Saputra, M. P. A., Azahra, A. S., &amp; Pirdaus, D. I. (2025). Stock Return Prediction on the LQ45 Market Index in the Indonesia Stock Exchange Using a Machine Learning Algorithm Based on Technical Indicators.</w:t>
      </w:r>
      <w:r>
        <w:t xml:space="preserve"> </w:t>
      </w:r>
      <w:r>
        <w:rPr>
          <w:iCs/>
          <w:i/>
        </w:rPr>
        <w:t xml:space="preserve">Journal of Risk and Financial Management</w:t>
      </w:r>
      <w:r>
        <w:t xml:space="preserve">. https://doi.org/10.3390/jrfm18120714</w:t>
      </w:r>
    </w:p>
    <w:p>
      <w:pPr>
        <w:numPr>
          <w:ilvl w:val="0"/>
          <w:numId w:val="1050"/>
        </w:numPr>
        <w:pStyle w:val="Compact"/>
      </w:pPr>
      <w:r>
        <w:t xml:space="preserve">Lee, J., &amp; Cai, L. (2025). Comparing model-specific and model-agnostic features importance methods using machine learning with technical indicators: A NASDAQ sector-based study.</w:t>
      </w:r>
      <w:r>
        <w:t xml:space="preserve"> </w:t>
      </w:r>
      <w:r>
        <w:rPr>
          <w:iCs/>
          <w:i/>
        </w:rPr>
        <w:t xml:space="preserve">Machine Learning with Applications</w:t>
      </w:r>
      <w:r>
        <w:t xml:space="preserve">. https://doi.org/10.1016/j.mlwa.2025.100799</w:t>
      </w:r>
    </w:p>
    <w:p>
      <w:pPr>
        <w:numPr>
          <w:ilvl w:val="0"/>
          <w:numId w:val="1050"/>
        </w:numPr>
        <w:pStyle w:val="Compact"/>
      </w:pPr>
      <w:r>
        <w:t xml:space="preserve">Manikrao, K. W., Allagi, S., Leong, W. Y., &amp; Laddi, M. (2025). An Explainable AI for Stock Market Prediction: A Machine Learning Approach with XAI and Deep Neural Networks.</w:t>
      </w:r>
      <w:r>
        <w:t xml:space="preserve"> </w:t>
      </w:r>
      <w:r>
        <w:rPr>
          <w:iCs/>
          <w:i/>
        </w:rPr>
        <w:t xml:space="preserve">Journal of Computational and Cognitive Engineering</w:t>
      </w:r>
      <w:r>
        <w:t xml:space="preserve">. https://doi.org/10.47852/bonviewjcce52026428</w:t>
      </w:r>
    </w:p>
    <w:p>
      <w:pPr>
        <w:numPr>
          <w:ilvl w:val="0"/>
          <w:numId w:val="1050"/>
        </w:numPr>
        <w:pStyle w:val="Compact"/>
      </w:pPr>
      <w:r>
        <w:t xml:space="preserve">Pagliaro, A. (2026). Regime-Aware LightGBM for Stock Market Forecasting: A Validated Walk-Forward Framework with Statistical Rigor and Explainable AI Analysis.</w:t>
      </w:r>
      <w:r>
        <w:t xml:space="preserve"> </w:t>
      </w:r>
      <w:r>
        <w:rPr>
          <w:iCs/>
          <w:i/>
        </w:rPr>
        <w:t xml:space="preserve">Electronics</w:t>
      </w:r>
      <w:r>
        <w:t xml:space="preserve">, 15(6), 1334. https://doi.org/10.3390/electronics15061334</w:t>
      </w:r>
    </w:p>
    <w:p>
      <w:pPr>
        <w:numPr>
          <w:ilvl w:val="0"/>
          <w:numId w:val="1050"/>
        </w:numPr>
        <w:pStyle w:val="Compact"/>
      </w:pPr>
      <w:r>
        <w:t xml:space="preserve">Song, Y., Cho, W., Han, S. I., &amp; Yoo, J. (2026). Attention Integration Strategies in MLP-Based Stock Movement Prediction: Effects on Performance, Stability, and Interpretability.</w:t>
      </w:r>
      <w:r>
        <w:t xml:space="preserve"> </w:t>
      </w:r>
      <w:r>
        <w:rPr>
          <w:iCs/>
          <w:i/>
        </w:rPr>
        <w:t xml:space="preserve">Electronics</w:t>
      </w:r>
      <w:r>
        <w:t xml:space="preserve">, 15(17), 3942. https://doi.org/10.3390/electronics15173942</w:t>
      </w:r>
    </w:p>
    <w:p>
      <w:pPr>
        <w:pStyle w:val="FirstParagraph"/>
      </w:pPr>
      <w:r>
        <w:rPr>
          <w:bCs/>
          <w:b/>
        </w:rPr>
        <w:t xml:space="preserve">Methods and data</w:t>
      </w:r>
    </w:p>
    <w:p>
      <w:pPr>
        <w:numPr>
          <w:ilvl w:val="0"/>
          <w:numId w:val="1051"/>
        </w:numPr>
        <w:pStyle w:val="Compact"/>
      </w:pPr>
      <w:r>
        <w:t xml:space="preserve">Breiman, L. (2001). Random Forests.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45, 5–32.</w:t>
      </w:r>
    </w:p>
    <w:p>
      <w:pPr>
        <w:numPr>
          <w:ilvl w:val="0"/>
          <w:numId w:val="1051"/>
        </w:numPr>
        <w:pStyle w:val="Compact"/>
      </w:pPr>
      <w:r>
        <w:t xml:space="preserve">Lundberg, S. M., Erion, G., Chen, H., et al. (2020). From local explanations to global understanding with explainable AI for trees.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2, 56–67.</w:t>
      </w:r>
    </w:p>
    <w:p>
      <w:pPr>
        <w:numPr>
          <w:ilvl w:val="0"/>
          <w:numId w:val="1051"/>
        </w:numPr>
        <w:pStyle w:val="Compact"/>
      </w:pPr>
      <w:r>
        <w:t xml:space="preserve">Ribeiro, M. T., Singh, S., &amp; Guestrin, C. (2016).</w:t>
      </w:r>
      <w:r>
        <w:t xml:space="preserve"> </w:t>
      </w:r>
      <w:r>
        <w:t xml:space="preserve">“</w:t>
      </w:r>
      <w:r>
        <w:t xml:space="preserve">Why Should I Trust You?</w:t>
      </w:r>
      <w:r>
        <w:t xml:space="preserve">”</w:t>
      </w:r>
      <w:r>
        <w:t xml:space="preserve">: Explaining the Predictions of Any Classifier.</w:t>
      </w:r>
      <w:r>
        <w:t xml:space="preserve"> </w:t>
      </w:r>
      <w:r>
        <w:rPr>
          <w:iCs/>
          <w:i/>
        </w:rPr>
        <w:t xml:space="preserve">KDD 2016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Diebold, F. X., &amp; Mariano, R. S. (1995). Comparing Predictive Accuracy.</w:t>
      </w:r>
      <w:r>
        <w:t xml:space="preserve"> </w:t>
      </w:r>
      <w:r>
        <w:rPr>
          <w:iCs/>
          <w:i/>
        </w:rPr>
        <w:t xml:space="preserve">Journal of Business &amp; Economic Statistics</w:t>
      </w:r>
      <w:r>
        <w:t xml:space="preserve">, 13(3), 253–263.</w:t>
      </w:r>
    </w:p>
    <w:p>
      <w:pPr>
        <w:numPr>
          <w:ilvl w:val="0"/>
          <w:numId w:val="1051"/>
        </w:numPr>
        <w:pStyle w:val="Compact"/>
      </w:pPr>
      <w:r>
        <w:t xml:space="preserve">Adebayo, J., Gilmer, J., Muelly, M., Goodfellow, I., Hardt, M., &amp; Kim, B. (2018). Sanity Checks for Saliency Maps.</w:t>
      </w:r>
      <w:r>
        <w:t xml:space="preserve"> </w:t>
      </w:r>
      <w:r>
        <w:rPr>
          <w:iCs/>
          <w:i/>
        </w:rPr>
        <w:t xml:space="preserve">NeurIPS 2018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Huynh, T. T., Nguyen, M. H., Nguyen, T. T., et al. (2023). Efficient Integration of Multi-Order Dynamics and Internal Dynamics in Stock Movement Prediction.</w:t>
      </w:r>
      <w:r>
        <w:t xml:space="preserve"> </w:t>
      </w:r>
      <w:r>
        <w:rPr>
          <w:iCs/>
          <w:i/>
        </w:rPr>
        <w:t xml:space="preserve">WSDM 2023</w:t>
      </w:r>
      <w:r>
        <w:t xml:space="preserve"> </w:t>
      </w:r>
      <w:r>
        <w:t xml:space="preserve">(source of the S&amp;P 500 dataset).</w:t>
      </w:r>
    </w:p>
    <w:bookmarkEnd w:id="76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1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enlo" w:hAnsi="Menlo"/>
      <w:sz w:val="13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6" Type="http://schemas.openxmlformats.org/officeDocument/2006/relationships/image" Target="media/rId46.png"/><Relationship Id="rId64" Type="http://schemas.openxmlformats.org/officeDocument/2006/relationships/image" Target="media/rId64.png"/><Relationship Id="rId55" Type="http://schemas.openxmlformats.org/officeDocument/2006/relationships/image" Target="media/rId55.png"/><Relationship Id="rId63" Type="http://schemas.openxmlformats.org/officeDocument/2006/relationships/image" Target="media/rId63.png"/><Relationship Id="rId62" Type="http://schemas.openxmlformats.org/officeDocument/2006/relationships/image" Target="media/rId62.png"/><Relationship Id="rId53" Type="http://schemas.openxmlformats.org/officeDocument/2006/relationships/image" Target="media/rId53.png"/><Relationship Id="rId47" Type="http://schemas.openxmlformats.org/officeDocument/2006/relationships/image" Target="media/rId47.png"/><Relationship Id="rId48" Type="http://schemas.openxmlformats.org/officeDocument/2006/relationships/image" Target="media/rId4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44" Type="http://schemas.openxmlformats.org/officeDocument/2006/relationships/image" Target="media/rId44.png"/><Relationship Id="rId59" Type="http://schemas.openxmlformats.org/officeDocument/2006/relationships/image" Target="media/rId59.png"/><Relationship Id="rId52" Type="http://schemas.openxmlformats.org/officeDocument/2006/relationships/image" Target="media/rId52.png"/><Relationship Id="rId51" Type="http://schemas.openxmlformats.org/officeDocument/2006/relationships/image" Target="media/rId51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Trustworthy Explanations for Random-Forest Stock Price Forecasting</dc:title>
  <dc:creator/>
  <cp:keywords/>
  <dcterms:created xsi:type="dcterms:W3CDTF">2026-10-30T08:05:47Z</dcterms:created>
  <dcterms:modified xsi:type="dcterms:W3CDTF">2026-10-30T08:05:47Z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SHAP and LIME reliability audit on 474 S&amp;P 500 stocks</vt:lpwstr>
  </property>
  <property fmtid="{D5CDD505-2E9C-101B-9397-08002B2CF9AE}" pid="3" name="toc-title">
    <vt:lpwstr>Contents</vt:lpwstr>
  </property>
</Properties>
</file>