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e74b42a172c9055ec0394e8841af0496e5d64b0"/>
      <w:r>
        <w:t xml:space="preserve">GIẢI THÍCH PHƯƠNG PHÁP VÀ QUY TRÌNH PHÂN TÍCH DỮ LIỆU</w:t>
      </w:r>
      <w:bookmarkEnd w:id="20"/>
    </w:p>
    <w:p>
      <w:pPr>
        <w:pStyle w:val="Heading2"/>
      </w:pPr>
      <w:bookmarkStart w:id="21" w:name="X2e7ff26126b47f756128107c1d27aa1b4ccca4b"/>
      <w:r>
        <w:t xml:space="preserve">Nghiên cứu văn hóa chất lượng tại các trường phổ thông liên cấp</w:t>
      </w:r>
      <w:bookmarkEnd w:id="21"/>
    </w:p>
    <w:p>
      <w:pPr>
        <w:pStyle w:val="FirstParagraph"/>
      </w:pPr>
      <w:r>
        <w:rPr>
          <w:b/>
        </w:rPr>
        <w:t xml:space="preserve">Tài liệu thuyết minh dành cho nghiên cứu sinh, người đọc không chuyên sâu về thống kê và hội đồng đánh giá</w:t>
      </w:r>
    </w:p>
    <w:p>
      <w:pPr>
        <w:pStyle w:val="Heading2"/>
      </w:pPr>
      <w:bookmarkStart w:id="22" w:name="nghiên-cứu-này-nhằm-trả-lời-điều-gì"/>
      <w:r>
        <w:t xml:space="preserve">1. Nghiên cứu này nhằm trả lời điều gì?</w:t>
      </w:r>
      <w:bookmarkEnd w:id="22"/>
    </w:p>
    <w:p>
      <w:pPr>
        <w:pStyle w:val="FirstParagraph"/>
      </w:pPr>
      <w:r>
        <w:t xml:space="preserve">Nghiên cứu hướng đến ba câu hỏi lớn:</w:t>
      </w:r>
    </w:p>
    <w:p>
      <w:pPr>
        <w:numPr>
          <w:ilvl w:val="0"/>
          <w:numId w:val="1001"/>
        </w:numPr>
        <w:pStyle w:val="Compact"/>
      </w:pPr>
      <w:r>
        <w:t xml:space="preserve">Văn hóa chất lượng tại năm trường phổ thông liên cấp đang ở mức nào?</w:t>
      </w:r>
    </w:p>
    <w:p>
      <w:pPr>
        <w:numPr>
          <w:ilvl w:val="0"/>
          <w:numId w:val="1001"/>
        </w:numPr>
        <w:pStyle w:val="Compact"/>
      </w:pPr>
      <w:r>
        <w:t xml:space="preserve">Những thành tố tổ chức và tâm lý nào có quan hệ dự báo với văn hóa chất lượng tổng thể?</w:t>
      </w:r>
    </w:p>
    <w:p>
      <w:pPr>
        <w:numPr>
          <w:ilvl w:val="0"/>
          <w:numId w:val="1001"/>
        </w:numPr>
        <w:pStyle w:val="Compact"/>
      </w:pPr>
      <w:r>
        <w:t xml:space="preserve">Văn hóa chất lượng tổng thể có quan hệ như thế nào với các kết quả nghề nghiệp của giáo viên và cán bộ quản lý?</w:t>
      </w:r>
    </w:p>
    <w:p>
      <w:pPr>
        <w:pStyle w:val="FirstParagraph"/>
      </w:pPr>
      <w:r>
        <w:t xml:space="preserve">Nghiên cứu sử dụng dữ liệu khảo sát cắt ngang của 281 người tại 5 trường, gồm:</w:t>
      </w:r>
    </w:p>
    <w:p>
      <w:pPr>
        <w:numPr>
          <w:ilvl w:val="0"/>
          <w:numId w:val="1002"/>
        </w:numPr>
        <w:pStyle w:val="Compact"/>
      </w:pPr>
      <w:r>
        <w:t xml:space="preserve">210 giáo viên người Việt Nam;</w:t>
      </w:r>
    </w:p>
    <w:p>
      <w:pPr>
        <w:numPr>
          <w:ilvl w:val="0"/>
          <w:numId w:val="1002"/>
        </w:numPr>
        <w:pStyle w:val="Compact"/>
      </w:pPr>
      <w:r>
        <w:t xml:space="preserve">26 giáo viên người nước ngoài;</w:t>
      </w:r>
    </w:p>
    <w:p>
      <w:pPr>
        <w:numPr>
          <w:ilvl w:val="0"/>
          <w:numId w:val="1002"/>
        </w:numPr>
        <w:pStyle w:val="Compact"/>
      </w:pPr>
      <w:r>
        <w:t xml:space="preserve">35 cán bộ quản lý người Việt Nam;</w:t>
      </w:r>
    </w:p>
    <w:p>
      <w:pPr>
        <w:numPr>
          <w:ilvl w:val="0"/>
          <w:numId w:val="1002"/>
        </w:numPr>
        <w:pStyle w:val="Compact"/>
      </w:pPr>
      <w:r>
        <w:t xml:space="preserve">10 cán bộ quản lý người nước ngoài.</w:t>
      </w:r>
    </w:p>
    <w:p>
      <w:pPr>
        <w:pStyle w:val="FirstParagraph"/>
      </w:pPr>
      <w:r>
        <w:t xml:space="preserve">Đây là nghiên cứu định lượng, sử dụng bảng hỏi tự báo cáo. Vì dữ liệu được thu thập tại một thời điểm, kết quả cho phép kết luận về</w:t>
      </w:r>
      <w:r>
        <w:t xml:space="preserve"> </w:t>
      </w:r>
      <w:r>
        <w:rPr>
          <w:b/>
        </w:rPr>
        <w:t xml:space="preserve">mối liên hệ và quan hệ dự báo thống kê</w:t>
      </w:r>
      <w:r>
        <w:t xml:space="preserve">, không đủ để khẳng định quan hệ nhân quả.</w:t>
      </w:r>
    </w:p>
    <w:p>
      <w:pPr>
        <w:pStyle w:val="Heading2"/>
      </w:pPr>
      <w:bookmarkStart w:id="23" w:name="nền-tảng-lý-thuyết"/>
      <w:r>
        <w:t xml:space="preserve">2. Nền tảng lý thuyết</w:t>
      </w:r>
      <w:bookmarkEnd w:id="23"/>
    </w:p>
    <w:p>
      <w:pPr>
        <w:pStyle w:val="Heading3"/>
      </w:pPr>
      <w:bookmarkStart w:id="24" w:name="quan-niệm-về-văn-hóa-chất-lượng"/>
      <w:r>
        <w:t xml:space="preserve">2.1. Quan niệm về văn hóa chất lượng</w:t>
      </w:r>
      <w:bookmarkEnd w:id="24"/>
    </w:p>
    <w:p>
      <w:pPr>
        <w:pStyle w:val="FirstParagraph"/>
      </w:pPr>
      <w:r>
        <w:t xml:space="preserve">Nghiên cứu dựa trên quan niệm của European University Association (EUA, 2006): văn hóa chất lượng không chỉ là hệ thống kiểm tra, quy trình hay văn bản bảo đảm chất lượng. Nó gồm hai mặt gắn kết:</w:t>
      </w:r>
    </w:p>
    <w:p>
      <w:pPr>
        <w:numPr>
          <w:ilvl w:val="0"/>
          <w:numId w:val="1003"/>
        </w:numPr>
        <w:pStyle w:val="Compact"/>
      </w:pPr>
      <w:r>
        <w:rPr>
          <w:b/>
        </w:rPr>
        <w:t xml:space="preserve">Mặt cấu trúc – quản lý:</w:t>
      </w:r>
      <w:r>
        <w:t xml:space="preserve"> </w:t>
      </w:r>
      <w:r>
        <w:t xml:space="preserve">chiến lược, chuẩn mực, quy trình, hành động và cơ chế phối hợp để bảo đảm chất lượng.</w:t>
      </w:r>
    </w:p>
    <w:p>
      <w:pPr>
        <w:numPr>
          <w:ilvl w:val="0"/>
          <w:numId w:val="1003"/>
        </w:numPr>
        <w:pStyle w:val="Compact"/>
      </w:pPr>
      <w:r>
        <w:rPr>
          <w:b/>
        </w:rPr>
        <w:t xml:space="preserve">Mặt văn hóa – tâm lý:</w:t>
      </w:r>
      <w:r>
        <w:t xml:space="preserve"> </w:t>
      </w:r>
      <w:r>
        <w:t xml:space="preserve">giá trị, niềm tin, kỳ vọng, cam kết, trách nhiệm và sự tham gia của các thành viên.</w:t>
      </w:r>
    </w:p>
    <w:p>
      <w:pPr>
        <w:pStyle w:val="FirstParagraph"/>
      </w:pPr>
      <w:r>
        <w:t xml:space="preserve">Theo cách hiểu này, một trường có nhiều quy trình kiểm định chưa chắc đã có văn hóa chất lượng mạnh. Văn hóa chất lượng chỉ hình thành khi các quy trình quản lý được nội tâm hóa thành giá trị và hành vi thường ngày.</w:t>
      </w:r>
    </w:p>
    <w:p>
      <w:pPr>
        <w:pStyle w:val="Heading3"/>
      </w:pPr>
      <w:bookmarkStart w:id="25" w:name="mô-hình-ehlers-và-bendermacher"/>
      <w:r>
        <w:t xml:space="preserve">2.2. Mô hình Ehlers và Bendermacher</w:t>
      </w:r>
      <w:bookmarkEnd w:id="25"/>
    </w:p>
    <w:p>
      <w:pPr>
        <w:pStyle w:val="FirstParagraph"/>
      </w:pPr>
      <w:r>
        <w:t xml:space="preserve">Mô hình nghiên cứu vận dụng và tích hợp các lập luận của Ehlers (2009) và Bendermacher cùng cộng sự (2017). Logic chính là:</w:t>
      </w:r>
    </w:p>
    <w:p>
      <w:pPr>
        <w:numPr>
          <w:ilvl w:val="0"/>
          <w:numId w:val="1004"/>
        </w:numPr>
        <w:pStyle w:val="Compact"/>
      </w:pPr>
      <w:r>
        <w:t xml:space="preserve">Các điều kiện</w:t>
      </w:r>
      <w:r>
        <w:t xml:space="preserve"> </w:t>
      </w:r>
      <w:r>
        <w:rPr>
          <w:b/>
        </w:rPr>
        <w:t xml:space="preserve">cấu trúc – quản lý</w:t>
      </w:r>
      <w:r>
        <w:t xml:space="preserve"> </w:t>
      </w:r>
      <w:r>
        <w:t xml:space="preserve">tạo môi trường cho hoạt động tương tác.</w:t>
      </w:r>
    </w:p>
    <w:p>
      <w:pPr>
        <w:numPr>
          <w:ilvl w:val="0"/>
          <w:numId w:val="1004"/>
        </w:numPr>
        <w:pStyle w:val="Compact"/>
      </w:pPr>
      <w:r>
        <w:t xml:space="preserve">Các cơ chế</w:t>
      </w:r>
      <w:r>
        <w:t xml:space="preserve"> </w:t>
      </w:r>
      <w:r>
        <w:rPr>
          <w:b/>
        </w:rPr>
        <w:t xml:space="preserve">tương tác tổ chức</w:t>
      </w:r>
      <w:r>
        <w:t xml:space="preserve"> </w:t>
      </w:r>
      <w:r>
        <w:t xml:space="preserve">hình thành niềm tin và giá trị chung.</w:t>
      </w:r>
    </w:p>
    <w:p>
      <w:pPr>
        <w:numPr>
          <w:ilvl w:val="0"/>
          <w:numId w:val="1004"/>
        </w:numPr>
        <w:pStyle w:val="Compact"/>
      </w:pPr>
      <w:r>
        <w:t xml:space="preserve">Niềm tin và giá trị chung nuôi dưỡng cam kết, trách nhiệm và gắn kết với chất lượng.</w:t>
      </w:r>
    </w:p>
    <w:p>
      <w:pPr>
        <w:numPr>
          <w:ilvl w:val="0"/>
          <w:numId w:val="1004"/>
        </w:numPr>
        <w:pStyle w:val="Compact"/>
      </w:pPr>
      <w:r>
        <w:t xml:space="preserve">Các trạng thái đó cùng tạo nên nhận thức về văn hóa chất lượng tổng thể.</w:t>
      </w:r>
    </w:p>
    <w:p>
      <w:pPr>
        <w:numPr>
          <w:ilvl w:val="0"/>
          <w:numId w:val="1004"/>
        </w:numPr>
        <w:pStyle w:val="Compact"/>
      </w:pPr>
      <w:r>
        <w:t xml:space="preserve">Văn hóa chất lượng có quan hệ dự báo với cam kết tổ chức, hài lòng, gắn kết công việc và phát triển chuyên môn.</w:t>
      </w:r>
    </w:p>
    <w:p>
      <w:pPr>
        <w:pStyle w:val="FirstParagraph"/>
      </w:pPr>
      <w:r>
        <w:t xml:space="preserve">Mô hình gồm 17 khái niệm:</w:t>
      </w:r>
    </w:p>
    <w:p>
      <w:pPr>
        <w:numPr>
          <w:ilvl w:val="0"/>
          <w:numId w:val="1005"/>
        </w:numPr>
        <w:pStyle w:val="Compact"/>
      </w:pPr>
      <w:r>
        <w:t xml:space="preserve">Cấu trúc – quản lý: NOR, STR, OPE.</w:t>
      </w:r>
    </w:p>
    <w:p>
      <w:pPr>
        <w:numPr>
          <w:ilvl w:val="0"/>
          <w:numId w:val="1005"/>
        </w:numPr>
        <w:pStyle w:val="Compact"/>
      </w:pPr>
      <w:r>
        <w:t xml:space="preserve">Tương tác tổ chức: LED, COL, PAR.</w:t>
      </w:r>
    </w:p>
    <w:p>
      <w:pPr>
        <w:numPr>
          <w:ilvl w:val="0"/>
          <w:numId w:val="1005"/>
        </w:numPr>
        <w:pStyle w:val="Compact"/>
      </w:pPr>
      <w:r>
        <w:t xml:space="preserve">Vốn tâm lý – xã hội: TRU, SHA.</w:t>
      </w:r>
    </w:p>
    <w:p>
      <w:pPr>
        <w:numPr>
          <w:ilvl w:val="0"/>
          <w:numId w:val="1005"/>
        </w:numPr>
        <w:pStyle w:val="Compact"/>
      </w:pPr>
      <w:r>
        <w:t xml:space="preserve">Tâm lý cá nhân hướng đến chất lượng: COM, RES, ENG.</w:t>
      </w:r>
    </w:p>
    <w:p>
      <w:pPr>
        <w:numPr>
          <w:ilvl w:val="0"/>
          <w:numId w:val="1005"/>
        </w:numPr>
        <w:pStyle w:val="Compact"/>
      </w:pPr>
      <w:r>
        <w:t xml:space="preserve">Văn hóa chất lượng tổng thể: GLO.</w:t>
      </w:r>
    </w:p>
    <w:p>
      <w:pPr>
        <w:numPr>
          <w:ilvl w:val="0"/>
          <w:numId w:val="1005"/>
        </w:numPr>
        <w:pStyle w:val="Compact"/>
      </w:pPr>
      <w:r>
        <w:t xml:space="preserve">Kết quả nghề nghiệp: OCM, SAT_O, SAT_J, WEG, PRO.</w:t>
      </w:r>
    </w:p>
    <w:p>
      <w:pPr>
        <w:pStyle w:val="Heading3"/>
      </w:pPr>
      <w:bookmarkStart w:id="26" w:name="sáu-nhóm-giả-thuyết"/>
      <w:r>
        <w:t xml:space="preserve">2.3. Sáu nhóm giả thuyết</w:t>
      </w:r>
      <w:bookmarkEnd w:id="26"/>
    </w:p>
    <w:p>
      <w:pPr>
        <w:numPr>
          <w:ilvl w:val="0"/>
          <w:numId w:val="1006"/>
        </w:numPr>
        <w:pStyle w:val="Compact"/>
      </w:pPr>
      <w:r>
        <w:rPr>
          <w:b/>
        </w:rPr>
        <w:t xml:space="preserve">H1:</w:t>
      </w:r>
      <w:r>
        <w:t xml:space="preserve"> </w:t>
      </w:r>
      <w:r>
        <w:t xml:space="preserve">NOR, STR và OPE dự báo tích cực LED, COL và PAR.</w:t>
      </w:r>
    </w:p>
    <w:p>
      <w:pPr>
        <w:numPr>
          <w:ilvl w:val="0"/>
          <w:numId w:val="1006"/>
        </w:numPr>
        <w:pStyle w:val="Compact"/>
      </w:pPr>
      <w:r>
        <w:rPr>
          <w:b/>
        </w:rPr>
        <w:t xml:space="preserve">H2:</w:t>
      </w:r>
      <w:r>
        <w:t xml:space="preserve"> </w:t>
      </w:r>
      <w:r>
        <w:t xml:space="preserve">LED, COL và PAR dự báo tích cực TRU và SHA.</w:t>
      </w:r>
    </w:p>
    <w:p>
      <w:pPr>
        <w:numPr>
          <w:ilvl w:val="0"/>
          <w:numId w:val="1006"/>
        </w:numPr>
        <w:pStyle w:val="Compact"/>
      </w:pPr>
      <w:r>
        <w:rPr>
          <w:b/>
        </w:rPr>
        <w:t xml:space="preserve">H3:</w:t>
      </w:r>
      <w:r>
        <w:t xml:space="preserve"> </w:t>
      </w:r>
      <w:r>
        <w:t xml:space="preserve">TRU và SHA dự báo tích cực COM, RES và ENG.</w:t>
      </w:r>
    </w:p>
    <w:p>
      <w:pPr>
        <w:numPr>
          <w:ilvl w:val="0"/>
          <w:numId w:val="1006"/>
        </w:numPr>
        <w:pStyle w:val="Compact"/>
      </w:pPr>
      <w:r>
        <w:rPr>
          <w:b/>
        </w:rPr>
        <w:t xml:space="preserve">H4:</w:t>
      </w:r>
      <w:r>
        <w:t xml:space="preserve"> </w:t>
      </w:r>
      <w:r>
        <w:t xml:space="preserve">COM, RES và ENG dự báo tích cực GLO.</w:t>
      </w:r>
    </w:p>
    <w:p>
      <w:pPr>
        <w:numPr>
          <w:ilvl w:val="0"/>
          <w:numId w:val="1006"/>
        </w:numPr>
        <w:pStyle w:val="Compact"/>
      </w:pPr>
      <w:r>
        <w:rPr>
          <w:b/>
        </w:rPr>
        <w:t xml:space="preserve">H5:</w:t>
      </w:r>
      <w:r>
        <w:t xml:space="preserve"> </w:t>
      </w:r>
      <w:r>
        <w:t xml:space="preserve">GLO dự báo tích cực OCM, SAT_O, SAT_J, WEG và PRO.</w:t>
      </w:r>
    </w:p>
    <w:p>
      <w:pPr>
        <w:numPr>
          <w:ilvl w:val="0"/>
          <w:numId w:val="1006"/>
        </w:numPr>
        <w:pStyle w:val="Compact"/>
      </w:pPr>
      <w:r>
        <w:rPr>
          <w:b/>
        </w:rPr>
        <w:t xml:space="preserve">H6:</w:t>
      </w:r>
      <w:r>
        <w:t xml:space="preserve"> </w:t>
      </w:r>
      <w:r>
        <w:t xml:space="preserve">LED, COL và PAR còn có các đường dự báo trực tiếp đến GLO.</w:t>
      </w:r>
    </w:p>
    <w:p>
      <w:pPr>
        <w:pStyle w:val="FirstParagraph"/>
      </w:pPr>
      <w:r>
        <w:t xml:space="preserve">Mô hình cạnh tranh M3 bổ sung các đường trực tiếp NOR, STR và OPE đến GLO. Kết quả của M3 cho thấy mô hình lý thuyết ban đầu cần được mở rộng: các yếu tố cấu trúc không chỉ tác động thông qua các cơ chế trung gian mà còn có quan hệ trực tiếp với nhận thức văn hóa chất lượng.</w:t>
      </w:r>
    </w:p>
    <w:p>
      <w:pPr>
        <w:pStyle w:val="Heading2"/>
      </w:pPr>
      <w:bookmarkStart w:id="27" w:name="công-cụ-đo-lường"/>
      <w:r>
        <w:t xml:space="preserve">3. Công cụ đo lường</w:t>
      </w:r>
      <w:bookmarkEnd w:id="27"/>
    </w:p>
    <w:p>
      <w:pPr>
        <w:pStyle w:val="Heading3"/>
      </w:pPr>
      <w:bookmarkStart w:id="28" w:name="thang-đo"/>
      <w:r>
        <w:t xml:space="preserve">3.1. Thang đo</w:t>
      </w:r>
      <w:bookmarkEnd w:id="28"/>
    </w:p>
    <w:p>
      <w:pPr>
        <w:pStyle w:val="FirstParagraph"/>
      </w:pPr>
      <w:r>
        <w:t xml:space="preserve">Bộ công cụ được thiết kế theo</w:t>
      </w:r>
      <w:r>
        <w:t xml:space="preserve"> </w:t>
      </w:r>
      <w:r>
        <w:rPr>
          <w:b/>
        </w:rPr>
        <w:t xml:space="preserve">Bảng đối chiếu mã hóa và nguồn tham khảo</w:t>
      </w:r>
      <w:r>
        <w:t xml:space="preserve"> </w:t>
      </w:r>
      <w:r>
        <w:t xml:space="preserve">(</w:t>
      </w:r>
      <w:r>
        <w:rPr>
          <w:rStyle w:val="VerbatimChar"/>
        </w:rPr>
        <w:t xml:space="preserve">BangThamChieu.pdf</w:t>
      </w:r>
      <w:r>
        <w:t xml:space="preserve">): 87 biến quan sát thuộc 17 thang đo, tổ chức thành 5 khối.</w:t>
      </w:r>
    </w:p>
    <w:p>
      <w:pPr>
        <w:pStyle w:val="BodyText"/>
      </w:pPr>
      <w:r>
        <w:rPr>
          <w:b/>
        </w:rPr>
        <w:t xml:space="preserve">Khối 1 — Yếu tố Tâm lý (TL) – Tổ chức (TC), 20 biến thiết kế</w:t>
      </w:r>
    </w:p>
    <w:p>
      <w:pPr>
        <w:pStyle w:val="BodyText"/>
      </w:pPr>
      <w:r>
        <w:rPr>
          <w:i/>
        </w:rPr>
        <w:t xml:space="preserve">Cấp độ cá nhân:</w:t>
      </w:r>
    </w:p>
    <w:p>
      <w:pPr>
        <w:numPr>
          <w:ilvl w:val="0"/>
          <w:numId w:val="1007"/>
        </w:numPr>
        <w:pStyle w:val="Compact"/>
      </w:pPr>
      <w:r>
        <w:t xml:space="preserve">COM: Cam kết, 4 biến — Jackson (2004); Sattler và cộng sự (2016); Hildesheim &amp; Sonntag (2019);</w:t>
      </w:r>
    </w:p>
    <w:p>
      <w:pPr>
        <w:numPr>
          <w:ilvl w:val="0"/>
          <w:numId w:val="1007"/>
        </w:numPr>
        <w:pStyle w:val="Compact"/>
      </w:pPr>
      <w:r>
        <w:t xml:space="preserve">RES: Trách nhiệm, 4 biến — nguồn như trên;</w:t>
      </w:r>
    </w:p>
    <w:p>
      <w:pPr>
        <w:numPr>
          <w:ilvl w:val="0"/>
          <w:numId w:val="1007"/>
        </w:numPr>
        <w:pStyle w:val="Compact"/>
      </w:pPr>
      <w:r>
        <w:t xml:space="preserve">ENG: Gắn kết, 4 biến — nguồn như trên.</w:t>
      </w:r>
    </w:p>
    <w:p>
      <w:pPr>
        <w:pStyle w:val="FirstParagraph"/>
      </w:pPr>
      <w:r>
        <w:rPr>
          <w:i/>
        </w:rPr>
        <w:t xml:space="preserve">Cấp độ tập thể:</w:t>
      </w:r>
    </w:p>
    <w:p>
      <w:pPr>
        <w:numPr>
          <w:ilvl w:val="0"/>
          <w:numId w:val="1008"/>
        </w:numPr>
        <w:pStyle w:val="Compact"/>
      </w:pPr>
      <w:r>
        <w:t xml:space="preserve">SHA: Các giá trị, 4 biến thiết kế — Sattler và cộng sự (2016); Hildesheim &amp; Sonntag (2019);</w:t>
      </w:r>
    </w:p>
    <w:p>
      <w:pPr>
        <w:numPr>
          <w:ilvl w:val="0"/>
          <w:numId w:val="1008"/>
        </w:numPr>
        <w:pStyle w:val="Compact"/>
      </w:pPr>
      <w:r>
        <w:t xml:space="preserve">TRU: Niềm tin, 4 biến — Zeitz và cộng sự (1997); Hildesheim &amp; Sonntag (2019).</w:t>
      </w:r>
    </w:p>
    <w:p>
      <w:pPr>
        <w:pStyle w:val="FirstParagraph"/>
      </w:pPr>
      <w:r>
        <w:rPr>
          <w:b/>
        </w:rPr>
        <w:t xml:space="preserve">Khối 2 — Yếu tố Cấu trúc (CT) – Hình thức (HT), 9 biến</w:t>
      </w:r>
    </w:p>
    <w:p>
      <w:pPr>
        <w:numPr>
          <w:ilvl w:val="0"/>
          <w:numId w:val="1009"/>
        </w:numPr>
        <w:pStyle w:val="Compact"/>
      </w:pPr>
      <w:r>
        <w:t xml:space="preserve">NOR: Chuẩn mực, 3 biến — Sattler và cộng sự (2016); Verschueren và cộng sự (2023);</w:t>
      </w:r>
    </w:p>
    <w:p>
      <w:pPr>
        <w:numPr>
          <w:ilvl w:val="0"/>
          <w:numId w:val="1009"/>
        </w:numPr>
        <w:pStyle w:val="Compact"/>
      </w:pPr>
      <w:r>
        <w:t xml:space="preserve">STR: Chiến lược, 3 biến — nguồn như trên;</w:t>
      </w:r>
    </w:p>
    <w:p>
      <w:pPr>
        <w:numPr>
          <w:ilvl w:val="0"/>
          <w:numId w:val="1009"/>
        </w:numPr>
        <w:pStyle w:val="Compact"/>
      </w:pPr>
      <w:r>
        <w:t xml:space="preserve">OPE: Hành động, 3 biến — nguồn như trên.</w:t>
      </w:r>
    </w:p>
    <w:p>
      <w:pPr>
        <w:pStyle w:val="FirstParagraph"/>
      </w:pPr>
      <w:r>
        <w:rPr>
          <w:b/>
        </w:rPr>
        <w:t xml:space="preserve">Khối 3 — Yếu tố trung gian kết nối TL–TC và CT–HT, 22 biến</w:t>
      </w:r>
    </w:p>
    <w:p>
      <w:pPr>
        <w:numPr>
          <w:ilvl w:val="0"/>
          <w:numId w:val="1010"/>
        </w:numPr>
        <w:pStyle w:val="Compact"/>
      </w:pPr>
      <w:r>
        <w:t xml:space="preserve">LED: Lãnh đạo, 12 biến — Heinitz &amp; Rowold (2007); Hildesheim &amp; Sonntag (2019);</w:t>
      </w:r>
    </w:p>
    <w:p>
      <w:pPr>
        <w:numPr>
          <w:ilvl w:val="0"/>
          <w:numId w:val="1010"/>
        </w:numPr>
        <w:pStyle w:val="Compact"/>
      </w:pPr>
      <w:r>
        <w:t xml:space="preserve">COL: Giao tiếp, 6 biến — Brodbeck và cộng sự (2000); Hildesheim &amp; Sonntag (2019);</w:t>
      </w:r>
    </w:p>
    <w:p>
      <w:pPr>
        <w:numPr>
          <w:ilvl w:val="0"/>
          <w:numId w:val="1010"/>
        </w:numPr>
        <w:pStyle w:val="Compact"/>
      </w:pPr>
      <w:r>
        <w:t xml:space="preserve">PAR: Tham gia, 4 biến — Staufenbiel &amp; Hartz (2000); Hildesheim &amp; Sonntag (2019).</w:t>
      </w:r>
    </w:p>
    <w:p>
      <w:pPr>
        <w:pStyle w:val="FirstParagraph"/>
      </w:pPr>
      <w:r>
        <w:rPr>
          <w:b/>
        </w:rPr>
        <w:t xml:space="preserve">Khối 4 — Đo văn hóa chất lượng bằng các khía cạnh tổng thể, 8 biến</w:t>
      </w:r>
    </w:p>
    <w:p>
      <w:pPr>
        <w:numPr>
          <w:ilvl w:val="0"/>
          <w:numId w:val="1011"/>
        </w:numPr>
        <w:pStyle w:val="Compact"/>
      </w:pPr>
      <w:r>
        <w:t xml:space="preserve">GLO: Các khía cạnh tổng thể, 8 biến — Sattler và cộng sự (2016); Hildesheim &amp; Sonntag (2019).</w:t>
      </w:r>
    </w:p>
    <w:p>
      <w:pPr>
        <w:pStyle w:val="FirstParagraph"/>
      </w:pPr>
      <w:r>
        <w:rPr>
          <w:b/>
        </w:rPr>
        <w:t xml:space="preserve">Khối 5 — Các biến kết quả, 28 biến</w:t>
      </w:r>
    </w:p>
    <w:p>
      <w:pPr>
        <w:numPr>
          <w:ilvl w:val="0"/>
          <w:numId w:val="1012"/>
        </w:numPr>
        <w:pStyle w:val="Compact"/>
      </w:pPr>
      <w:r>
        <w:t xml:space="preserve">SAT_O: Hài lòng với tổ chức, 6 biến — Hildesheim &amp; Sonntag (2019);</w:t>
      </w:r>
    </w:p>
    <w:p>
      <w:pPr>
        <w:numPr>
          <w:ilvl w:val="0"/>
          <w:numId w:val="1012"/>
        </w:numPr>
        <w:pStyle w:val="Compact"/>
      </w:pPr>
      <w:r>
        <w:t xml:space="preserve">SAT_J: Hài lòng với công việc, 4 biến — Hildesheim &amp; Sonntag (2019);</w:t>
      </w:r>
    </w:p>
    <w:p>
      <w:pPr>
        <w:numPr>
          <w:ilvl w:val="0"/>
          <w:numId w:val="1012"/>
        </w:numPr>
        <w:pStyle w:val="Compact"/>
      </w:pPr>
      <w:r>
        <w:t xml:space="preserve">WEG: Gắn kết công việc, 9 biến — Schaufeli và cộng sự (2006);</w:t>
      </w:r>
    </w:p>
    <w:p>
      <w:pPr>
        <w:numPr>
          <w:ilvl w:val="0"/>
          <w:numId w:val="1012"/>
        </w:numPr>
        <w:pStyle w:val="Compact"/>
      </w:pPr>
      <w:r>
        <w:t xml:space="preserve">PRO: Phát triển chuyên môn, 6 biến — Mourão và cộng sự (2022);</w:t>
      </w:r>
    </w:p>
    <w:p>
      <w:pPr>
        <w:numPr>
          <w:ilvl w:val="0"/>
          <w:numId w:val="1012"/>
        </w:numPr>
        <w:pStyle w:val="Compact"/>
      </w:pPr>
      <w:r>
        <w:t xml:space="preserve">OCM: Cam kết tổ chức, 3 biến — Sattler và cộng sự (2016).</w:t>
      </w:r>
    </w:p>
    <w:p>
      <w:pPr>
        <w:pStyle w:val="FirstParagraph"/>
      </w:pPr>
      <w:r>
        <w:rPr>
          <w:b/>
        </w:rPr>
        <w:t xml:space="preserve">Lưu ý về chênh lệch 87 so với 85.</w:t>
      </w:r>
      <w:r>
        <w:t xml:space="preserve"> </w:t>
      </w:r>
      <w:r>
        <w:t xml:space="preserve">SHA3 và SHA4 trong bảng tham chiếu là câu hỏi nhiều lựa chọn trên danh mục 24 giá trị, không phải thang Likert, nên không thể đưa vào Cronbach’s Alpha, EFA hay SEM. Hai biến này được phân tích riêng bằng thống kê tần suất lựa chọn (mục 13 của notebook). Vì vậy</w:t>
      </w:r>
      <w:r>
        <w:t xml:space="preserve"> </w:t>
      </w:r>
      <w:r>
        <w:rPr>
          <w:b/>
        </w:rPr>
        <w:t xml:space="preserve">87 biến thiết kế tương ứng 85 biến quan sát Likert</w:t>
      </w:r>
      <w:r>
        <w:t xml:space="preserve"> </w:t>
      </w:r>
      <w:r>
        <w:t xml:space="preserve">đưa vào mô hình, trong đó SHA chỉ còn 2 biến (SHA1, SHA2).</w:t>
      </w:r>
    </w:p>
    <w:p>
      <w:pPr>
        <w:pStyle w:val="BodyText"/>
      </w:pPr>
      <w:r>
        <w:t xml:space="preserve">Phần lớn biến sử dụng Likert 6 mức. SAT_O và SAT_J dùng thang 5 mức. Khi so sánh trung bình, phải lưu ý hai nhóm thang đo này có miền giá trị khác nhau.</w:t>
      </w:r>
    </w:p>
    <w:p>
      <w:pPr>
        <w:pStyle w:val="Heading3"/>
      </w:pPr>
      <w:bookmarkStart w:id="29" w:name="mã-hóa-đảo"/>
      <w:r>
        <w:t xml:space="preserve">3.2. Mã hóa đảo</w:t>
      </w:r>
      <w:bookmarkEnd w:id="29"/>
    </w:p>
    <w:p>
      <w:pPr>
        <w:pStyle w:val="FirstParagraph"/>
      </w:pPr>
      <w:r>
        <w:t xml:space="preserve">COM4 và RES4 là câu hỏi diễn đạt theo hướng phủ định. Điểm được đảo bằng công thức:</w:t>
      </w:r>
    </w:p>
    <w:p>
      <w:pPr>
        <w:pStyle w:val="BlockText"/>
      </w:pPr>
      <w:r>
        <w:t xml:space="preserve">Điểm mới = 7 − điểm ban đầu</w:t>
      </w:r>
    </w:p>
    <w:p>
      <w:pPr>
        <w:pStyle w:val="FirstParagraph"/>
      </w:pPr>
      <w:r>
        <w:t xml:space="preserve">Ví dụ, người trả lời chọn 1 cho một phát biểu phủ định sẽ nhận điểm đảo bằng 6. Việc đảo điểm giúp tất cả biến trong cùng thang đo có cùng chiều ý nghĩa: điểm cao đều biểu thị trạng thái tích cực.</w:t>
      </w:r>
    </w:p>
    <w:p>
      <w:pPr>
        <w:pStyle w:val="Heading3"/>
      </w:pPr>
      <w:bookmarkStart w:id="30" w:name="hiệu-chỉnh-thang-đo"/>
      <w:r>
        <w:t xml:space="preserve">3.3. Hiệu chỉnh thang đo</w:t>
      </w:r>
      <w:bookmarkEnd w:id="30"/>
    </w:p>
    <w:p>
      <w:pPr>
        <w:pStyle w:val="FirstParagraph"/>
      </w:pPr>
      <w:r>
        <w:t xml:space="preserve">Kết quả ban đầu cho thấy COM và RES có độ tin cậy thấp. Ba biến COM4r, RES3 và RES4r có tương quan biến–tổng không đạt yêu cầu và được loại. Sau hiệu chỉnh:</w:t>
      </w:r>
    </w:p>
    <w:p>
      <w:pPr>
        <w:numPr>
          <w:ilvl w:val="0"/>
          <w:numId w:val="1013"/>
        </w:numPr>
        <w:pStyle w:val="Compact"/>
      </w:pPr>
      <w:r>
        <w:t xml:space="preserve">COM còn 3 biến, Cronbach’s alpha = 0,753;</w:t>
      </w:r>
    </w:p>
    <w:p>
      <w:pPr>
        <w:numPr>
          <w:ilvl w:val="0"/>
          <w:numId w:val="1013"/>
        </w:numPr>
        <w:pStyle w:val="Compact"/>
      </w:pPr>
      <w:r>
        <w:t xml:space="preserve">RES còn 2 biến, Cronbach’s alpha = 0,761.</w:t>
      </w:r>
    </w:p>
    <w:p>
      <w:pPr>
        <w:pStyle w:val="FirstParagraph"/>
      </w:pPr>
      <w:r>
        <w:t xml:space="preserve">Quyết định này cải thiện độ nhất quán nội tại nhưng làm giảm độ bao phủ nội dung, đặc biệt đối với RES chỉ còn 2 biến. Sau hiệu chỉnh còn 81 biến quan sát (84 ban đầu trừ COM4, RES3, RES4) — con số này đã được thống nhất trong toàn bộ notebook và chuyên đề.</w:t>
      </w:r>
    </w:p>
    <w:p>
      <w:pPr>
        <w:pStyle w:val="BodyText"/>
      </w:pPr>
      <w:r>
        <w:t xml:space="preserve">Kết quả của SHA và RES cần được diễn giải thận trọng và nên bổ sung biến quan sát trong nghiên cứu tiếp theo.</w:t>
      </w:r>
    </w:p>
    <w:p>
      <w:pPr>
        <w:pStyle w:val="Heading2"/>
      </w:pPr>
      <w:bookmarkStart w:id="31" w:name="quản-lý-và-làm-sạch-dữ-liệu"/>
      <w:r>
        <w:t xml:space="preserve">4. Quản lý và làm sạch dữ liệu</w:t>
      </w:r>
      <w:bookmarkEnd w:id="31"/>
    </w:p>
    <w:p>
      <w:pPr>
        <w:pStyle w:val="Heading3"/>
      </w:pPr>
      <w:bookmarkStart w:id="32" w:name="nguồn-dữ-liệu-dùng-trong-phân-tích"/>
      <w:r>
        <w:t xml:space="preserve">4.1. Nguồn dữ liệu dùng trong phân tích</w:t>
      </w:r>
      <w:bookmarkEnd w:id="32"/>
    </w:p>
    <w:p>
      <w:pPr>
        <w:pStyle w:val="FirstParagraph"/>
      </w:pPr>
      <w:r>
        <w:t xml:space="preserve">Notebook sử dụng:</w:t>
      </w:r>
    </w:p>
    <w:p>
      <w:pPr>
        <w:pStyle w:val="BodyText"/>
      </w:pPr>
      <w:r>
        <w:rPr>
          <w:rStyle w:val="VerbatimChar"/>
        </w:rPr>
        <w:t xml:space="preserve">Cleaned_Data/281_PKS_ThongKe_Full_v1.3.xlsx</w:t>
      </w:r>
      <w:r>
        <w:t xml:space="preserve">, sheet</w:t>
      </w:r>
      <w:r>
        <w:t xml:space="preserve"> </w:t>
      </w:r>
      <w:r>
        <w:rPr>
          <w:rStyle w:val="VerbatimChar"/>
        </w:rPr>
        <w:t xml:space="preserve">Statistic</w:t>
      </w:r>
      <w:r>
        <w:t xml:space="preserve">.</w:t>
      </w:r>
    </w:p>
    <w:p>
      <w:pPr>
        <w:pStyle w:val="BodyText"/>
      </w:pPr>
      <w:r>
        <w:t xml:space="preserve">Dữ liệu phân tích có 281 dòng và không có giá trị khuyết. Bốn nhóm phiếu khảo sát cộng lại đúng 281 người.</w:t>
      </w:r>
    </w:p>
    <w:p>
      <w:pPr>
        <w:pStyle w:val="Heading3"/>
      </w:pPr>
      <w:bookmarkStart w:id="33" w:name="các-kiểm-tra-cần-thực-hiện"/>
      <w:r>
        <w:t xml:space="preserve">4.2. Các kiểm tra cần thực hiện</w:t>
      </w:r>
      <w:bookmarkEnd w:id="33"/>
    </w:p>
    <w:p>
      <w:pPr>
        <w:pStyle w:val="FirstParagraph"/>
      </w:pPr>
      <w:r>
        <w:t xml:space="preserve">Một quy trình làm sạch đầy đủ gồm:</w:t>
      </w:r>
    </w:p>
    <w:p>
      <w:pPr>
        <w:numPr>
          <w:ilvl w:val="0"/>
          <w:numId w:val="1014"/>
        </w:numPr>
        <w:pStyle w:val="Compact"/>
      </w:pPr>
      <w:r>
        <w:t xml:space="preserve">Kiểm tra số dòng, số cột và ID trùng lặp.</w:t>
      </w:r>
    </w:p>
    <w:p>
      <w:pPr>
        <w:numPr>
          <w:ilvl w:val="0"/>
          <w:numId w:val="1014"/>
        </w:numPr>
        <w:pStyle w:val="Compact"/>
      </w:pPr>
      <w:r>
        <w:t xml:space="preserve">Kiểm tra giá trị khuyết.</w:t>
      </w:r>
    </w:p>
    <w:p>
      <w:pPr>
        <w:numPr>
          <w:ilvl w:val="0"/>
          <w:numId w:val="1014"/>
        </w:numPr>
        <w:pStyle w:val="Compact"/>
      </w:pPr>
      <w:r>
        <w:t xml:space="preserve">Kiểm tra miền hợp lệ của từng biến: Likert 1–6 hoặc 1–5.</w:t>
      </w:r>
    </w:p>
    <w:p>
      <w:pPr>
        <w:numPr>
          <w:ilvl w:val="0"/>
          <w:numId w:val="1014"/>
        </w:numPr>
        <w:pStyle w:val="Compact"/>
      </w:pPr>
      <w:r>
        <w:t xml:space="preserve">Kiểm tra mã hóa nhóm nhân khẩu học.</w:t>
      </w:r>
    </w:p>
    <w:p>
      <w:pPr>
        <w:numPr>
          <w:ilvl w:val="0"/>
          <w:numId w:val="1014"/>
        </w:numPr>
        <w:pStyle w:val="Compact"/>
      </w:pPr>
      <w:r>
        <w:t xml:space="preserve">Kiểm tra biến phủ định và mã hóa đảo.</w:t>
      </w:r>
    </w:p>
    <w:p>
      <w:pPr>
        <w:numPr>
          <w:ilvl w:val="0"/>
          <w:numId w:val="1014"/>
        </w:numPr>
        <w:pStyle w:val="Compact"/>
      </w:pPr>
      <w:r>
        <w:t xml:space="preserve">So sánh tần số giữa dữ liệu gốc và dữ liệu đã làm sạch.</w:t>
      </w:r>
    </w:p>
    <w:p>
      <w:pPr>
        <w:numPr>
          <w:ilvl w:val="0"/>
          <w:numId w:val="1014"/>
        </w:numPr>
        <w:pStyle w:val="Compact"/>
      </w:pPr>
      <w:r>
        <w:t xml:space="preserve">Tìm mẫu trả lời bất thường như chọn một mức cho toàn bộ câu hỏi.</w:t>
      </w:r>
    </w:p>
    <w:p>
      <w:pPr>
        <w:numPr>
          <w:ilvl w:val="0"/>
          <w:numId w:val="1014"/>
        </w:numPr>
        <w:pStyle w:val="Compact"/>
      </w:pPr>
      <w:r>
        <w:t xml:space="preserve">Lưu nhật ký mọi thay đổi từ dữ liệu thô sang dữ liệu phân tích.</w:t>
      </w:r>
    </w:p>
    <w:p>
      <w:pPr>
        <w:pStyle w:val="FirstParagraph"/>
      </w:pPr>
      <w:r>
        <w:t xml:space="preserve">Số liệu báo cáo và các bảng trong thư mục</w:t>
      </w:r>
      <w:r>
        <w:t xml:space="preserve"> </w:t>
      </w:r>
      <w:r>
        <w:rPr>
          <w:rStyle w:val="VerbatimChar"/>
        </w:rPr>
        <w:t xml:space="preserve">ket_qua</w:t>
      </w:r>
      <w:r>
        <w:t xml:space="preserve"> </w:t>
      </w:r>
      <w:r>
        <w:t xml:space="preserve">được sinh từ bộ dữ liệu đã làm sạch. Việc tái lập kết quả phụ thuộc vào đúng phiên bản dữ liệu và đúng thứ tự chạy notebook.</w:t>
      </w:r>
    </w:p>
    <w:p>
      <w:pPr>
        <w:pStyle w:val="Heading2"/>
      </w:pPr>
      <w:bookmarkStart w:id="34" w:name="thống-kê-mô-tả"/>
      <w:r>
        <w:t xml:space="preserve">5. Thống kê mô tả</w:t>
      </w:r>
      <w:bookmarkEnd w:id="34"/>
    </w:p>
    <w:p>
      <w:pPr>
        <w:pStyle w:val="Heading3"/>
      </w:pPr>
      <w:bookmarkStart w:id="35" w:name="mô-tả-mẫu"/>
      <w:r>
        <w:t xml:space="preserve">5.1. Mô tả mẫu</w:t>
      </w:r>
      <w:bookmarkEnd w:id="35"/>
    </w:p>
    <w:p>
      <w:pPr>
        <w:pStyle w:val="FirstParagraph"/>
      </w:pPr>
      <w:r>
        <w:t xml:space="preserve">Thống kê tần số và tỷ lệ phần trăm được dùng để mô tả giới tính, độ tuổi, trình độ, hợp đồng, thâm niên, trường, vai trò và quốc tịch. Mục đích là:</w:t>
      </w:r>
    </w:p>
    <w:p>
      <w:pPr>
        <w:numPr>
          <w:ilvl w:val="0"/>
          <w:numId w:val="1015"/>
        </w:numPr>
        <w:pStyle w:val="Compact"/>
      </w:pPr>
      <w:r>
        <w:t xml:space="preserve">xác định cơ cấu mẫu;</w:t>
      </w:r>
    </w:p>
    <w:p>
      <w:pPr>
        <w:numPr>
          <w:ilvl w:val="0"/>
          <w:numId w:val="1015"/>
        </w:numPr>
        <w:pStyle w:val="Compact"/>
      </w:pPr>
      <w:r>
        <w:t xml:space="preserve">phát hiện nhóm có số lượng quá nhỏ;</w:t>
      </w:r>
    </w:p>
    <w:p>
      <w:pPr>
        <w:numPr>
          <w:ilvl w:val="0"/>
          <w:numId w:val="1015"/>
        </w:numPr>
        <w:pStyle w:val="Compact"/>
      </w:pPr>
      <w:r>
        <w:t xml:space="preserve">cung cấp bối cảnh cho các phép so sánh;</w:t>
      </w:r>
    </w:p>
    <w:p>
      <w:pPr>
        <w:numPr>
          <w:ilvl w:val="0"/>
          <w:numId w:val="1015"/>
        </w:numPr>
        <w:pStyle w:val="Compact"/>
      </w:pPr>
      <w:r>
        <w:t xml:space="preserve">đánh giá khả năng khái quát hóa.</w:t>
      </w:r>
    </w:p>
    <w:p>
      <w:pPr>
        <w:pStyle w:val="FirstParagraph"/>
      </w:pPr>
      <w:r>
        <w:t xml:space="preserve">Nhóm cán bộ quản lý người nước ngoài chỉ có 10 người. Do đó các kết luận liên quan đến nhóm này có độ bất định cao.</w:t>
      </w:r>
    </w:p>
    <w:p>
      <w:pPr>
        <w:pStyle w:val="Heading3"/>
      </w:pPr>
      <w:bookmarkStart w:id="36" w:name="mô-tả-thang-đo"/>
      <w:r>
        <w:t xml:space="preserve">5.2. Mô tả thang đo</w:t>
      </w:r>
      <w:bookmarkEnd w:id="36"/>
    </w:p>
    <w:p>
      <w:pPr>
        <w:pStyle w:val="FirstParagraph"/>
      </w:pPr>
      <w:r>
        <w:t xml:space="preserve">Mỗi thang đo được mô tả bằng:</w:t>
      </w:r>
    </w:p>
    <w:p>
      <w:pPr>
        <w:numPr>
          <w:ilvl w:val="0"/>
          <w:numId w:val="1016"/>
        </w:numPr>
        <w:pStyle w:val="Compact"/>
      </w:pPr>
      <w:r>
        <w:t xml:space="preserve">Trung bình;</w:t>
      </w:r>
    </w:p>
    <w:p>
      <w:pPr>
        <w:numPr>
          <w:ilvl w:val="0"/>
          <w:numId w:val="1016"/>
        </w:numPr>
        <w:pStyle w:val="Compact"/>
      </w:pPr>
      <w:r>
        <w:t xml:space="preserve">Độ lệch chuẩn;</w:t>
      </w:r>
    </w:p>
    <w:p>
      <w:pPr>
        <w:numPr>
          <w:ilvl w:val="0"/>
          <w:numId w:val="1016"/>
        </w:numPr>
        <w:pStyle w:val="Compact"/>
      </w:pPr>
      <w:r>
        <w:t xml:space="preserve">Skewness;</w:t>
      </w:r>
    </w:p>
    <w:p>
      <w:pPr>
        <w:numPr>
          <w:ilvl w:val="0"/>
          <w:numId w:val="1016"/>
        </w:numPr>
        <w:pStyle w:val="Compact"/>
      </w:pPr>
      <w:r>
        <w:t xml:space="preserve">Kurtosis.</w:t>
      </w:r>
    </w:p>
    <w:p>
      <w:pPr>
        <w:pStyle w:val="FirstParagraph"/>
      </w:pPr>
      <w:r>
        <w:t xml:space="preserve">Trung bình phản ánh mức độ chung; độ lệch chuẩn phản ánh mức độ phân tán; skewness và kurtosis hỗ trợ đánh giá dạng phân phối. Điều kiện |skewness| &lt; 2 và |kurtosis| &lt; 7 được dùng như chỉ báo dữ liệu chưa lệch nghiêm trọng.</w:t>
      </w:r>
    </w:p>
    <w:p>
      <w:pPr>
        <w:pStyle w:val="BodyText"/>
      </w:pPr>
      <w:r>
        <w:t xml:space="preserve">Các thang đo có điểm khá cao và lệch âm cho thấy nhiều người chọn mức đồng ý cao. Đây có thể là trạng thái tích cực thực sự, nhưng cũng có thể chịu ảnh hưởng của hiệu ứng trần, xu hướng trả lời xã hội mong đợi hoặc bối cảnh khảo sát nội bộ.</w:t>
      </w:r>
    </w:p>
    <w:p>
      <w:pPr>
        <w:pStyle w:val="Heading2"/>
      </w:pPr>
      <w:bookmarkStart w:id="37" w:name="Xdebd861db0735f31e16cfcdcc2f83c70edb5663"/>
      <w:r>
        <w:t xml:space="preserve">6. Độ tin cậy: Cronbach’s alpha và tương quan biến–tổng</w:t>
      </w:r>
      <w:bookmarkEnd w:id="37"/>
    </w:p>
    <w:p>
      <w:pPr>
        <w:pStyle w:val="Heading3"/>
      </w:pPr>
      <w:bookmarkStart w:id="38" w:name="cronbachs-alpha"/>
      <w:r>
        <w:t xml:space="preserve">6.1. Cronbach’s alpha</w:t>
      </w:r>
      <w:bookmarkEnd w:id="38"/>
    </w:p>
    <w:p>
      <w:pPr>
        <w:pStyle w:val="FirstParagraph"/>
      </w:pPr>
      <w:r>
        <w:t xml:space="preserve">Cronbach’s alpha đo mức độ các biến trong cùng thang đo cùng phản ánh một khái niệm. Ngưỡng thường dùng:</w:t>
      </w:r>
    </w:p>
    <w:p>
      <w:pPr>
        <w:numPr>
          <w:ilvl w:val="0"/>
          <w:numId w:val="1017"/>
        </w:numPr>
        <w:pStyle w:val="Compact"/>
      </w:pPr>
      <w:r>
        <w:t xml:space="preserve">α ≥ 0,70: chấp nhận;</w:t>
      </w:r>
    </w:p>
    <w:p>
      <w:pPr>
        <w:numPr>
          <w:ilvl w:val="0"/>
          <w:numId w:val="1017"/>
        </w:numPr>
        <w:pStyle w:val="Compact"/>
      </w:pPr>
      <w:r>
        <w:t xml:space="preserve">α ≥ 0,80: tốt;</w:t>
      </w:r>
    </w:p>
    <w:p>
      <w:pPr>
        <w:numPr>
          <w:ilvl w:val="0"/>
          <w:numId w:val="1017"/>
        </w:numPr>
        <w:pStyle w:val="Compact"/>
      </w:pPr>
      <w:r>
        <w:t xml:space="preserve">α quá cao, ví dụ trên 0,95: có thể cho thấy các câu hỏi trùng lặp nội dung.</w:t>
      </w:r>
    </w:p>
    <w:p>
      <w:pPr>
        <w:pStyle w:val="FirstParagraph"/>
      </w:pPr>
      <w:r>
        <w:t xml:space="preserve">Alpha không chứng minh thang đo đơn hướng và cũng không chứng minh giá trị phân biệt. Vì vậy không thể chỉ dựa vào alpha để kết luận thang đo</w:t>
      </w:r>
      <w:r>
        <w:t xml:space="preserve"> </w:t>
      </w:r>
      <w:r>
        <w:t xml:space="preserve">“</w:t>
      </w:r>
      <w:r>
        <w:t xml:space="preserve">đạt chuẩn</w:t>
      </w:r>
      <w:r>
        <w:t xml:space="preserve">”</w:t>
      </w:r>
      <w:r>
        <w:t xml:space="preserve">.</w:t>
      </w:r>
    </w:p>
    <w:p>
      <w:pPr>
        <w:pStyle w:val="Heading3"/>
      </w:pPr>
      <w:bookmarkStart w:id="39" w:name="tương-quan-biếntổng-hiệu-chỉnh"/>
      <w:r>
        <w:t xml:space="preserve">6.2. Tương quan biến–tổng hiệu chỉnh</w:t>
      </w:r>
      <w:bookmarkEnd w:id="39"/>
    </w:p>
    <w:p>
      <w:pPr>
        <w:pStyle w:val="FirstParagraph"/>
      </w:pPr>
      <w:r>
        <w:t xml:space="preserve">Corrected Item–Total Correlation (CITC) đo tương quan giữa một biến và tổng điểm của các biến còn lại trong thang đo. Ngưỡng sử dụng là 0,30. Biến thấp hơn ngưỡng có thể:</w:t>
      </w:r>
    </w:p>
    <w:p>
      <w:pPr>
        <w:numPr>
          <w:ilvl w:val="0"/>
          <w:numId w:val="1018"/>
        </w:numPr>
        <w:pStyle w:val="Compact"/>
      </w:pPr>
      <w:r>
        <w:t xml:space="preserve">không cùng đo khái niệm;</w:t>
      </w:r>
    </w:p>
    <w:p>
      <w:pPr>
        <w:numPr>
          <w:ilvl w:val="0"/>
          <w:numId w:val="1018"/>
        </w:numPr>
        <w:pStyle w:val="Compact"/>
      </w:pPr>
      <w:r>
        <w:t xml:space="preserve">bị hiểu sai;</w:t>
      </w:r>
    </w:p>
    <w:p>
      <w:pPr>
        <w:numPr>
          <w:ilvl w:val="0"/>
          <w:numId w:val="1018"/>
        </w:numPr>
        <w:pStyle w:val="Compact"/>
      </w:pPr>
      <w:r>
        <w:t xml:space="preserve">bị lỗi dịch;</w:t>
      </w:r>
    </w:p>
    <w:p>
      <w:pPr>
        <w:numPr>
          <w:ilvl w:val="0"/>
          <w:numId w:val="1018"/>
        </w:numPr>
        <w:pStyle w:val="Compact"/>
      </w:pPr>
      <w:r>
        <w:t xml:space="preserve">là câu phủ định gây nhiễu;</w:t>
      </w:r>
    </w:p>
    <w:p>
      <w:pPr>
        <w:numPr>
          <w:ilvl w:val="0"/>
          <w:numId w:val="1018"/>
        </w:numPr>
        <w:pStyle w:val="Compact"/>
      </w:pPr>
      <w:r>
        <w:t xml:space="preserve">hoặc phản ánh một khía cạnh khác của khái niệm.</w:t>
      </w:r>
    </w:p>
    <w:p>
      <w:pPr>
        <w:pStyle w:val="FirstParagraph"/>
      </w:pPr>
      <w:r>
        <w:t xml:space="preserve">Việc loại biến phải dựa đồng thời vào thống kê và nội dung lý thuyết, không nên thực hiện chỉ để tăng alpha.</w:t>
      </w:r>
    </w:p>
    <w:p>
      <w:pPr>
        <w:pStyle w:val="Heading2"/>
      </w:pPr>
      <w:bookmarkStart w:id="40" w:name="phân-tích-nhân-tố-khám-phá"/>
      <w:r>
        <w:t xml:space="preserve">7. Phân tích nhân tố khám phá</w:t>
      </w:r>
      <w:bookmarkEnd w:id="40"/>
    </w:p>
    <w:p>
      <w:pPr>
        <w:pStyle w:val="Heading3"/>
      </w:pPr>
      <w:bookmarkStart w:id="41" w:name="mục-đích-của-efa"/>
      <w:r>
        <w:t xml:space="preserve">7.1. Mục đích của EFA</w:t>
      </w:r>
      <w:bookmarkEnd w:id="41"/>
    </w:p>
    <w:p>
      <w:pPr>
        <w:pStyle w:val="FirstParagraph"/>
      </w:pPr>
      <w:r>
        <w:t xml:space="preserve">Exploratory Factor Analysis (EFA) tìm cấu trúc tiềm ẩn của các biến quan sát. Nghiên cứu dùng Principal Axis Factoring và xoay Promax vì:</w:t>
      </w:r>
    </w:p>
    <w:p>
      <w:pPr>
        <w:numPr>
          <w:ilvl w:val="0"/>
          <w:numId w:val="1019"/>
        </w:numPr>
        <w:pStyle w:val="Compact"/>
      </w:pPr>
      <w:r>
        <w:t xml:space="preserve">mục tiêu là tìm nhân tố chung, không chỉ giảm chiều dữ liệu;</w:t>
      </w:r>
    </w:p>
    <w:p>
      <w:pPr>
        <w:numPr>
          <w:ilvl w:val="0"/>
          <w:numId w:val="1019"/>
        </w:numPr>
        <w:pStyle w:val="Compact"/>
      </w:pPr>
      <w:r>
        <w:t xml:space="preserve">các nhân tố trong khoa học xã hội có thể tương quan với nhau;</w:t>
      </w:r>
    </w:p>
    <w:p>
      <w:pPr>
        <w:numPr>
          <w:ilvl w:val="0"/>
          <w:numId w:val="1019"/>
        </w:numPr>
        <w:pStyle w:val="Compact"/>
      </w:pPr>
      <w:r>
        <w:t xml:space="preserve">Promax cho phép các nhân tố tương quan.</w:t>
      </w:r>
    </w:p>
    <w:p>
      <w:pPr>
        <w:pStyle w:val="Heading3"/>
      </w:pPr>
      <w:bookmarkStart w:id="42" w:name="điều-kiện-efa"/>
      <w:r>
        <w:t xml:space="preserve">7.2. Điều kiện EFA</w:t>
      </w:r>
      <w:bookmarkEnd w:id="42"/>
    </w:p>
    <w:p>
      <w:pPr>
        <w:numPr>
          <w:ilvl w:val="0"/>
          <w:numId w:val="1020"/>
        </w:numPr>
        <w:pStyle w:val="Compact"/>
      </w:pPr>
      <w:r>
        <w:t xml:space="preserve">KMO càng gần 1 càng phù hợp; thường yêu cầu ≥ 0,70.</w:t>
      </w:r>
    </w:p>
    <w:p>
      <w:pPr>
        <w:numPr>
          <w:ilvl w:val="0"/>
          <w:numId w:val="1020"/>
        </w:numPr>
        <w:pStyle w:val="Compact"/>
      </w:pPr>
      <w:r>
        <w:t xml:space="preserve">Bartlett có p &lt; 0,05 cho thấy ma trận tương quan không phải ma trận đơn vị.</w:t>
      </w:r>
    </w:p>
    <w:p>
      <w:pPr>
        <w:numPr>
          <w:ilvl w:val="0"/>
          <w:numId w:val="1020"/>
        </w:numPr>
        <w:pStyle w:val="Compact"/>
      </w:pPr>
      <w:r>
        <w:t xml:space="preserve">Hệ số tải cao cho thấy biến đại diện tốt cho nhân tố.</w:t>
      </w:r>
    </w:p>
    <w:p>
      <w:pPr>
        <w:numPr>
          <w:ilvl w:val="0"/>
          <w:numId w:val="1020"/>
        </w:numPr>
        <w:pStyle w:val="Compact"/>
      </w:pPr>
      <w:r>
        <w:t xml:space="preserve">Phương sai trích cho biết tỷ lệ biến thiên được giải thích.</w:t>
      </w:r>
    </w:p>
    <w:p>
      <w:pPr>
        <w:pStyle w:val="FirstParagraph"/>
      </w:pPr>
      <w:r>
        <w:t xml:space="preserve">Kết quả:</w:t>
      </w:r>
    </w:p>
    <w:p>
      <w:pPr>
        <w:numPr>
          <w:ilvl w:val="0"/>
          <w:numId w:val="1021"/>
        </w:numPr>
        <w:pStyle w:val="Compact"/>
      </w:pPr>
      <w:r>
        <w:t xml:space="preserve">Khối biến độc lập: KMO = 0,957; phương sai trích = 73,44%.</w:t>
      </w:r>
    </w:p>
    <w:p>
      <w:pPr>
        <w:numPr>
          <w:ilvl w:val="0"/>
          <w:numId w:val="1021"/>
        </w:numPr>
        <w:pStyle w:val="Compact"/>
      </w:pPr>
      <w:r>
        <w:t xml:space="preserve">GLO: KMO = 0,930; phương sai trích = 73,04%.</w:t>
      </w:r>
    </w:p>
    <w:p>
      <w:pPr>
        <w:numPr>
          <w:ilvl w:val="0"/>
          <w:numId w:val="1021"/>
        </w:numPr>
        <w:pStyle w:val="Compact"/>
      </w:pPr>
      <w:r>
        <w:t xml:space="preserve">Khối kết quả nghề nghiệp: KMO = 0,932; phương sai trích = 65,13%.</w:t>
      </w:r>
    </w:p>
    <w:p>
      <w:pPr>
        <w:pStyle w:val="FirstParagraph"/>
      </w:pPr>
      <w:r>
        <w:t xml:space="preserve">Các chỉ số KMO và phương sai trích cho thấy dữ liệu thích hợp để chạy EFA, nhưng cấu trúc tải không hoàn toàn sạch:</w:t>
      </w:r>
    </w:p>
    <w:p>
      <w:pPr>
        <w:numPr>
          <w:ilvl w:val="0"/>
          <w:numId w:val="1022"/>
        </w:numPr>
        <w:pStyle w:val="Compact"/>
      </w:pPr>
      <w:r>
        <w:t xml:space="preserve">khi ép 11 nhân tố ở khối tiền đề, chỉ khoảng 6 eigenvalue lớn hơn 1;</w:t>
      </w:r>
    </w:p>
    <w:p>
      <w:pPr>
        <w:numPr>
          <w:ilvl w:val="0"/>
          <w:numId w:val="1022"/>
        </w:numPr>
        <w:pStyle w:val="Compact"/>
      </w:pPr>
      <w:r>
        <w:t xml:space="preserve">NOR, STR và OPE có xu hướng tải chung;</w:t>
      </w:r>
    </w:p>
    <w:p>
      <w:pPr>
        <w:numPr>
          <w:ilvl w:val="0"/>
          <w:numId w:val="1022"/>
        </w:numPr>
        <w:pStyle w:val="Compact"/>
      </w:pPr>
      <w:r>
        <w:t xml:space="preserve">COL, TRU và SHA có dấu hiệu chồng lấn;</w:t>
      </w:r>
    </w:p>
    <w:p>
      <w:pPr>
        <w:numPr>
          <w:ilvl w:val="0"/>
          <w:numId w:val="1022"/>
        </w:numPr>
        <w:pStyle w:val="Compact"/>
      </w:pPr>
      <w:r>
        <w:t xml:space="preserve">SAT_O và SAT_J gần nhau ở khối kết quả;</w:t>
      </w:r>
    </w:p>
    <w:p>
      <w:pPr>
        <w:numPr>
          <w:ilvl w:val="0"/>
          <w:numId w:val="1022"/>
        </w:numPr>
        <w:pStyle w:val="Compact"/>
      </w:pPr>
      <w:r>
        <w:t xml:space="preserve">có thể xuất hiện tải bất thường kiểu Heywood case ở một số nghiệm.</w:t>
      </w:r>
    </w:p>
    <w:p>
      <w:pPr>
        <w:pStyle w:val="FirstParagraph"/>
      </w:pPr>
      <w:r>
        <w:t xml:space="preserve">Vì vậy EFA hỗ trợ khám phá và cảnh báo, không thay thế CFA. Khi mô hình đã có cấu trúc lý thuyết rõ, CFA là bước cần thiết để kiểm định mô hình đo lường.</w:t>
      </w:r>
    </w:p>
    <w:p>
      <w:pPr>
        <w:pStyle w:val="Heading2"/>
      </w:pPr>
      <w:bookmarkStart w:id="43" w:name="giá-trị-hội-tụ-và-giá-trị-phân-biệt"/>
      <w:r>
        <w:t xml:space="preserve">8. Giá trị hội tụ và giá trị phân biệt</w:t>
      </w:r>
      <w:bookmarkEnd w:id="43"/>
    </w:p>
    <w:p>
      <w:pPr>
        <w:pStyle w:val="Heading3"/>
      </w:pPr>
      <w:bookmarkStart w:id="44" w:name="composite-reliability"/>
      <w:r>
        <w:t xml:space="preserve">8.1. Composite Reliability</w:t>
      </w:r>
      <w:bookmarkEnd w:id="44"/>
    </w:p>
    <w:p>
      <w:pPr>
        <w:pStyle w:val="FirstParagraph"/>
      </w:pPr>
      <w:r>
        <w:t xml:space="preserve">Composite Reliability (CR) đánh giá độ tin cậy tổng hợp dựa trên tải nhân tố. Ngưỡng thường dùng là CR ≥ 0,70. Cả 17 thang đo có CR từ 0,766 trở lên, vì vậy đạt yêu cầu tối thiểu.</w:t>
      </w:r>
    </w:p>
    <w:p>
      <w:pPr>
        <w:pStyle w:val="Heading3"/>
      </w:pPr>
      <w:bookmarkStart w:id="45" w:name="average-variance-extracted"/>
      <w:r>
        <w:t xml:space="preserve">8.2. Average Variance Extracted</w:t>
      </w:r>
      <w:bookmarkEnd w:id="45"/>
    </w:p>
    <w:p>
      <w:pPr>
        <w:pStyle w:val="FirstParagraph"/>
      </w:pPr>
      <w:r>
        <w:t xml:space="preserve">Average Variance Extracted (AVE) là tỷ lệ phương sai của biến quan sát được nhân tố giải thích. Ngưỡng khuyến nghị là AVE ≥ 0,50.</w:t>
      </w:r>
    </w:p>
    <w:p>
      <w:pPr>
        <w:pStyle w:val="BodyText"/>
      </w:pPr>
      <w:r>
        <w:t xml:space="preserve">Bốn thang đo dưới 0,50:</w:t>
      </w:r>
    </w:p>
    <w:p>
      <w:pPr>
        <w:numPr>
          <w:ilvl w:val="0"/>
          <w:numId w:val="1023"/>
        </w:numPr>
        <w:pStyle w:val="Compact"/>
      </w:pPr>
      <w:r>
        <w:t xml:space="preserve">PAR = 0,459;</w:t>
      </w:r>
    </w:p>
    <w:p>
      <w:pPr>
        <w:numPr>
          <w:ilvl w:val="0"/>
          <w:numId w:val="1023"/>
        </w:numPr>
        <w:pStyle w:val="Compact"/>
      </w:pPr>
      <w:r>
        <w:t xml:space="preserve">ENG = 0,453;</w:t>
      </w:r>
    </w:p>
    <w:p>
      <w:pPr>
        <w:numPr>
          <w:ilvl w:val="0"/>
          <w:numId w:val="1023"/>
        </w:numPr>
        <w:pStyle w:val="Compact"/>
      </w:pPr>
      <w:r>
        <w:t xml:space="preserve">WEG = 0,495;</w:t>
      </w:r>
    </w:p>
    <w:p>
      <w:pPr>
        <w:numPr>
          <w:ilvl w:val="0"/>
          <w:numId w:val="1023"/>
        </w:numPr>
        <w:pStyle w:val="Compact"/>
      </w:pPr>
      <w:r>
        <w:t xml:space="preserve">PRO = 0,469.</w:t>
      </w:r>
    </w:p>
    <w:p>
      <w:pPr>
        <w:pStyle w:val="FirstParagraph"/>
      </w:pPr>
      <w:r>
        <w:t xml:space="preserve">Theo Fornell và Larcker (1981), trong một số trường hợp AVE hơi dưới 0,50 có thể được chấp nhận khi CR đạt yêu cầu. Tuy nhiên đây là sự chấp nhận có điều kiện, không có nghĩa là giá trị hội tụ hoàn toàn tốt. Cần báo cáo minh bạch và cân nhắc cải thiện biến quan sát.</w:t>
      </w:r>
    </w:p>
    <w:p>
      <w:pPr>
        <w:pStyle w:val="Heading3"/>
      </w:pPr>
      <w:bookmarkStart w:id="46" w:name="fornelllarcker"/>
      <w:r>
        <w:t xml:space="preserve">8.3. Fornell–Larcker</w:t>
      </w:r>
      <w:bookmarkEnd w:id="46"/>
    </w:p>
    <w:p>
      <w:pPr>
        <w:pStyle w:val="FirstParagraph"/>
      </w:pPr>
      <w:r>
        <w:t xml:space="preserve">Tiêu chuẩn Fornell–Larcker so sánh căn bậc hai AVE của mỗi khái niệm với tương quan của nó với các khái niệm khác. Nếu căn AVE lớn hơn các tương quan liên quan, khái niệm có dấu hiệu phân biệt tốt.</w:t>
      </w:r>
    </w:p>
    <w:p>
      <w:pPr>
        <w:pStyle w:val="BodyText"/>
      </w:pPr>
      <w:r>
        <w:t xml:space="preserve">Tiêu chuẩn này có thể bỏ sót vấn đề, nên nghiên cứu dùng thêm HTMT.</w:t>
      </w:r>
    </w:p>
    <w:p>
      <w:pPr>
        <w:pStyle w:val="Heading3"/>
      </w:pPr>
      <w:bookmarkStart w:id="47" w:name="htmt"/>
      <w:r>
        <w:t xml:space="preserve">8.4. HTMT</w:t>
      </w:r>
      <w:bookmarkEnd w:id="47"/>
    </w:p>
    <w:p>
      <w:pPr>
        <w:pStyle w:val="FirstParagraph"/>
      </w:pPr>
      <w:r>
        <w:t xml:space="preserve">Heterotrait–Monotrait Ratio đánh giá mức độ hai khái niệm có thể bị chồng lấn. Ngưỡng:</w:t>
      </w:r>
    </w:p>
    <w:p>
      <w:pPr>
        <w:numPr>
          <w:ilvl w:val="0"/>
          <w:numId w:val="1024"/>
        </w:numPr>
      </w:pPr>
      <w:r>
        <w:t xml:space="preserve">&lt; 0,85: nghiêm ngặt;</w:t>
      </w:r>
    </w:p>
    <w:p>
      <w:pPr>
        <w:numPr>
          <w:ilvl w:val="0"/>
          <w:numId w:val="1024"/>
        </w:numPr>
      </w:pPr>
      <w:r>
        <w:t xml:space="preserve">0,85–0,90: cần thận trọng;</w:t>
      </w:r>
    </w:p>
    <w:p>
      <w:pPr>
        <w:numPr>
          <w:ilvl w:val="0"/>
          <w:numId w:val="1024"/>
        </w:numPr>
      </w:pPr>
      <w:r>
        <w:t xml:space="preserve">0,90: vấn đề phân biệt rõ.</w:t>
      </w:r>
    </w:p>
    <w:p>
      <w:pPr>
        <w:pStyle w:val="FirstParagraph"/>
      </w:pPr>
      <w:r>
        <w:t xml:space="preserve">Có 18/136 cặp đạt hoặc vượt 0,85. Ba cặp cao nhất:</w:t>
      </w:r>
    </w:p>
    <w:p>
      <w:pPr>
        <w:numPr>
          <w:ilvl w:val="0"/>
          <w:numId w:val="1025"/>
        </w:numPr>
        <w:pStyle w:val="Compact"/>
      </w:pPr>
      <w:r>
        <w:t xml:space="preserve">STR–OPE = 0,971;</w:t>
      </w:r>
    </w:p>
    <w:p>
      <w:pPr>
        <w:numPr>
          <w:ilvl w:val="0"/>
          <w:numId w:val="1025"/>
        </w:numPr>
        <w:pStyle w:val="Compact"/>
      </w:pPr>
      <w:r>
        <w:t xml:space="preserve">SHA–GLO = 0,952;</w:t>
      </w:r>
    </w:p>
    <w:p>
      <w:pPr>
        <w:numPr>
          <w:ilvl w:val="0"/>
          <w:numId w:val="1025"/>
        </w:numPr>
        <w:pStyle w:val="Compact"/>
      </w:pPr>
      <w:r>
        <w:t xml:space="preserve">SAT_O–SAT_J = 0,947.</w:t>
      </w:r>
    </w:p>
    <w:p>
      <w:pPr>
        <w:pStyle w:val="FirstParagraph"/>
      </w:pPr>
      <w:r>
        <w:t xml:space="preserve">Các vi phạm tập trung vào ba cụm:</w:t>
      </w:r>
    </w:p>
    <w:p>
      <w:pPr>
        <w:numPr>
          <w:ilvl w:val="0"/>
          <w:numId w:val="1026"/>
        </w:numPr>
        <w:pStyle w:val="Compact"/>
      </w:pPr>
      <w:r>
        <w:t xml:space="preserve">NOR–STR–OPE: các mặt gần nhau của cấu trúc quản lý chất lượng.</w:t>
      </w:r>
    </w:p>
    <w:p>
      <w:pPr>
        <w:numPr>
          <w:ilvl w:val="0"/>
          <w:numId w:val="1026"/>
        </w:numPr>
        <w:pStyle w:val="Compact"/>
      </w:pPr>
      <w:r>
        <w:t xml:space="preserve">COL/TRU/SHA/GLO: giao tiếp, tin tưởng, giá trị chung và nhận thức văn hóa chất lượng có nội dung giao nhau.</w:t>
      </w:r>
    </w:p>
    <w:p>
      <w:pPr>
        <w:numPr>
          <w:ilvl w:val="0"/>
          <w:numId w:val="1026"/>
        </w:numPr>
        <w:pStyle w:val="Compact"/>
      </w:pPr>
      <w:r>
        <w:t xml:space="preserve">SAT_O–SAT_J: hài lòng tổ chức và hài lòng công việc khó tách biệt trong bối cảnh khảo sát.</w:t>
      </w:r>
    </w:p>
    <w:p>
      <w:pPr>
        <w:pStyle w:val="FirstParagraph"/>
      </w:pPr>
      <w:r>
        <w:t xml:space="preserve">HTMT cao không nên được</w:t>
      </w:r>
      <w:r>
        <w:t xml:space="preserve"> </w:t>
      </w:r>
      <w:r>
        <w:t xml:space="preserve">“</w:t>
      </w:r>
      <w:r>
        <w:t xml:space="preserve">giải quyết</w:t>
      </w:r>
      <w:r>
        <w:t xml:space="preserve">”</w:t>
      </w:r>
      <w:r>
        <w:t xml:space="preserve"> </w:t>
      </w:r>
      <w:r>
        <w:t xml:space="preserve">chỉ bằng cách xóa biến. Nó có thể cho biết lý thuyết cần mô hình bậc cao, khái niệm gộp hoặc định nghĩa lại ranh giới.</w:t>
      </w:r>
    </w:p>
    <w:p>
      <w:pPr>
        <w:pStyle w:val="Heading2"/>
      </w:pPr>
      <w:bookmarkStart w:id="48" w:name="tương-quan-và-hồi-quy"/>
      <w:r>
        <w:t xml:space="preserve">9. Tương quan và hồi quy</w:t>
      </w:r>
      <w:bookmarkEnd w:id="48"/>
    </w:p>
    <w:p>
      <w:pPr>
        <w:pStyle w:val="Heading3"/>
      </w:pPr>
      <w:bookmarkStart w:id="49" w:name="tương-quan-pearson"/>
      <w:r>
        <w:t xml:space="preserve">9.1. Tương quan Pearson</w:t>
      </w:r>
      <w:bookmarkEnd w:id="49"/>
    </w:p>
    <w:p>
      <w:pPr>
        <w:pStyle w:val="FirstParagraph"/>
      </w:pPr>
      <w:r>
        <w:t xml:space="preserve">Tương quan Pearson đo mức độ hai biến thay đổi cùng nhau. Hệ số r nằm từ −1 đến +1. Tương quan không chứng minh nhân quả.</w:t>
      </w:r>
    </w:p>
    <w:p>
      <w:pPr>
        <w:pStyle w:val="BodyText"/>
      </w:pPr>
      <w:r>
        <w:t xml:space="preserve">GLO tương quan mạnh với nhiều yếu tố tổ chức, như COL = 0,861, SHA = 0,853, OPE = 0,841 và STR = 0,833. Các tương quan rất cao vừa củng cố mối liên hệ, vừa đặt ra vấn đề giá trị phân biệt và đa cộng tuyến.</w:t>
      </w:r>
    </w:p>
    <w:p>
      <w:pPr>
        <w:pStyle w:val="Heading3"/>
      </w:pPr>
      <w:bookmarkStart w:id="50" w:name="hồi-quy-bội-dự-báo-glo"/>
      <w:r>
        <w:t xml:space="preserve">9.2. Hồi quy bội dự báo GLO</w:t>
      </w:r>
      <w:bookmarkEnd w:id="50"/>
    </w:p>
    <w:p>
      <w:pPr>
        <w:pStyle w:val="FirstParagraph"/>
      </w:pPr>
      <w:r>
        <w:t xml:space="preserve">Mô hình hồi quy với 11 biến dự báo giải thích 89,4% phương sai GLO. Các biến dự báo độc lập có ý nghĩa gồm NOR, STR, OPE, LED, COL, SHA và RES.</w:t>
      </w:r>
    </w:p>
    <w:p>
      <w:pPr>
        <w:pStyle w:val="BodyText"/>
      </w:pPr>
      <w:r>
        <w:t xml:space="preserve">R² rất cao cần được hiểu thận trọng vì:</w:t>
      </w:r>
    </w:p>
    <w:p>
      <w:pPr>
        <w:numPr>
          <w:ilvl w:val="0"/>
          <w:numId w:val="1027"/>
        </w:numPr>
        <w:pStyle w:val="Compact"/>
      </w:pPr>
      <w:r>
        <w:t xml:space="preserve">các thang đo cùng được thu tại một thời điểm và từ cùng người trả lời;</w:t>
      </w:r>
    </w:p>
    <w:p>
      <w:pPr>
        <w:numPr>
          <w:ilvl w:val="0"/>
          <w:numId w:val="1027"/>
        </w:numPr>
        <w:pStyle w:val="Compact"/>
      </w:pPr>
      <w:r>
        <w:t xml:space="preserve">một số khái niệm có nội dung chồng lấn;</w:t>
      </w:r>
    </w:p>
    <w:p>
      <w:pPr>
        <w:numPr>
          <w:ilvl w:val="0"/>
          <w:numId w:val="1027"/>
        </w:numPr>
        <w:pStyle w:val="Compact"/>
      </w:pPr>
      <w:r>
        <w:t xml:space="preserve">HTMT và tương quan cao;</w:t>
      </w:r>
    </w:p>
    <w:p>
      <w:pPr>
        <w:numPr>
          <w:ilvl w:val="0"/>
          <w:numId w:val="1027"/>
        </w:numPr>
        <w:pStyle w:val="Compact"/>
      </w:pPr>
      <w:r>
        <w:t xml:space="preserve">có khả năng phương sai phương pháp chung.</w:t>
      </w:r>
    </w:p>
    <w:p>
      <w:pPr>
        <w:pStyle w:val="FirstParagraph"/>
      </w:pPr>
      <w:r>
        <w:t xml:space="preserve">VIF lớn nhất khoảng 5,79. Mức này chưa phải đa cộng tuyến cực đoan theo ngưỡng 10, nhưng đã đủ để làm hệ số hồi quy nhạy với đặc tả mô hình. Với nghiên cứu xã hội, nên xem VIF khoảng 5 là tín hiệu cần chú ý, không nên kết luận</w:t>
      </w:r>
      <w:r>
        <w:t xml:space="preserve"> </w:t>
      </w:r>
      <w:r>
        <w:t xml:space="preserve">“</w:t>
      </w:r>
      <w:r>
        <w:t xml:space="preserve">hoàn toàn không có đa cộng tuyến</w:t>
      </w:r>
      <w:r>
        <w:t xml:space="preserve">”</w:t>
      </w:r>
      <w:r>
        <w:t xml:space="preserve">.</w:t>
      </w:r>
    </w:p>
    <w:p>
      <w:pPr>
        <w:pStyle w:val="Heading2"/>
      </w:pPr>
      <w:bookmarkStart w:id="51" w:name="kiểm-định-khác-biệt-nhóm"/>
      <w:r>
        <w:t xml:space="preserve">10. Kiểm định khác biệt nhóm</w:t>
      </w:r>
      <w:bookmarkEnd w:id="51"/>
    </w:p>
    <w:p>
      <w:pPr>
        <w:pStyle w:val="Heading3"/>
      </w:pPr>
      <w:bookmarkStart w:id="52" w:name="t-test"/>
      <w:r>
        <w:t xml:space="preserve">10.1. t-test</w:t>
      </w:r>
      <w:bookmarkEnd w:id="52"/>
    </w:p>
    <w:p>
      <w:pPr>
        <w:pStyle w:val="FirstParagraph"/>
      </w:pPr>
      <w:r>
        <w:t xml:space="preserve">t-test so sánh trung bình giữa hai nhóm, ví dụ:</w:t>
      </w:r>
    </w:p>
    <w:p>
      <w:pPr>
        <w:numPr>
          <w:ilvl w:val="0"/>
          <w:numId w:val="1028"/>
        </w:numPr>
        <w:pStyle w:val="Compact"/>
      </w:pPr>
      <w:r>
        <w:t xml:space="preserve">giáo viên và cán bộ quản lý;</w:t>
      </w:r>
    </w:p>
    <w:p>
      <w:pPr>
        <w:numPr>
          <w:ilvl w:val="0"/>
          <w:numId w:val="1028"/>
        </w:numPr>
        <w:pStyle w:val="Compact"/>
      </w:pPr>
      <w:r>
        <w:t xml:space="preserve">người Việt Nam và người nước ngoài;</w:t>
      </w:r>
    </w:p>
    <w:p>
      <w:pPr>
        <w:numPr>
          <w:ilvl w:val="0"/>
          <w:numId w:val="1028"/>
        </w:numPr>
        <w:pStyle w:val="Compact"/>
      </w:pPr>
      <w:r>
        <w:t xml:space="preserve">nam và nữ.</w:t>
      </w:r>
    </w:p>
    <w:p>
      <w:pPr>
        <w:pStyle w:val="FirstParagraph"/>
      </w:pPr>
      <w:r>
        <w:t xml:space="preserve">Cần báo cáo đồng thời p-value và kích thước hiệu ứng Cohen’s d. p-value cho biết bằng chứng chống giả thuyết không khác biệt; Cohen’s d cho biết mức độ khác biệt có ý nghĩa thực tiễn hay không.</w:t>
      </w:r>
    </w:p>
    <w:p>
      <w:pPr>
        <w:pStyle w:val="BodyText"/>
      </w:pPr>
      <w:r>
        <w:t xml:space="preserve">Khoảng cách Việt Nam–nước ngoài ở GLO rất lớn, d khoảng 2,08. Đây là phát hiện đáng chú ý nhưng chưa thể giải thích ngay là do quốc tịch. Quốc tịch có thể đồng biến với trường, vị trí, ngôn ngữ, hợp đồng, trải nghiệm quản lý hoặc khác biệt cách hiểu thang đo.</w:t>
      </w:r>
    </w:p>
    <w:p>
      <w:pPr>
        <w:pStyle w:val="Heading3"/>
      </w:pPr>
      <w:bookmarkStart w:id="53" w:name="anova"/>
      <w:r>
        <w:t xml:space="preserve">10.2. ANOVA</w:t>
      </w:r>
      <w:bookmarkEnd w:id="53"/>
    </w:p>
    <w:p>
      <w:pPr>
        <w:pStyle w:val="FirstParagraph"/>
      </w:pPr>
      <w:r>
        <w:t xml:space="preserve">ANOVA so sánh từ ba nhóm trở lên, ví dụ năm trường hoặc các nhóm thâm niên. Khi ANOVA có ý nghĩa, hậu kiểm Tukey giúp xác định cặp nhóm nào khác nhau.</w:t>
      </w:r>
    </w:p>
    <w:p>
      <w:pPr>
        <w:pStyle w:val="BodyText"/>
      </w:pPr>
      <w:r>
        <w:t xml:space="preserve">ANOVA yêu cầu xem xét:</w:t>
      </w:r>
    </w:p>
    <w:p>
      <w:pPr>
        <w:numPr>
          <w:ilvl w:val="0"/>
          <w:numId w:val="1029"/>
        </w:numPr>
        <w:pStyle w:val="Compact"/>
      </w:pPr>
      <w:r>
        <w:t xml:space="preserve">độc lập giữa quan sát;</w:t>
      </w:r>
    </w:p>
    <w:p>
      <w:pPr>
        <w:numPr>
          <w:ilvl w:val="0"/>
          <w:numId w:val="1029"/>
        </w:numPr>
        <w:pStyle w:val="Compact"/>
      </w:pPr>
      <w:r>
        <w:t xml:space="preserve">phân phối và ngoại lệ;</w:t>
      </w:r>
    </w:p>
    <w:p>
      <w:pPr>
        <w:numPr>
          <w:ilvl w:val="0"/>
          <w:numId w:val="1029"/>
        </w:numPr>
        <w:pStyle w:val="Compact"/>
      </w:pPr>
      <w:r>
        <w:t xml:space="preserve">đồng nhất phương sai;</w:t>
      </w:r>
    </w:p>
    <w:p>
      <w:pPr>
        <w:numPr>
          <w:ilvl w:val="0"/>
          <w:numId w:val="1029"/>
        </w:numPr>
        <w:pStyle w:val="Compact"/>
      </w:pPr>
      <w:r>
        <w:t xml:space="preserve">kích thước nhóm.</w:t>
      </w:r>
    </w:p>
    <w:p>
      <w:pPr>
        <w:pStyle w:val="FirstParagraph"/>
      </w:pPr>
      <w:r>
        <w:t xml:space="preserve">Nếu giả định phương sai bằng nhau không đạt, nên cân nhắc Welch ANOVA và Games–Howell.</w:t>
      </w:r>
    </w:p>
    <w:p>
      <w:pPr>
        <w:pStyle w:val="Heading2"/>
      </w:pPr>
      <w:bookmarkStart w:id="54" w:name="X8622f00aa10c47098c7dd0601b4666e7f90856a"/>
      <w:r>
        <w:t xml:space="preserve">11. Mô hình đường dẫn và các mô hình cạnh tranh</w:t>
      </w:r>
      <w:bookmarkEnd w:id="54"/>
    </w:p>
    <w:p>
      <w:pPr>
        <w:pStyle w:val="Heading3"/>
      </w:pPr>
      <w:bookmarkStart w:id="55" w:name="mô-hình-đường-dẫn"/>
      <w:r>
        <w:t xml:space="preserve">11.1. Mô hình đường dẫn</w:t>
      </w:r>
      <w:bookmarkEnd w:id="55"/>
    </w:p>
    <w:p>
      <w:pPr>
        <w:pStyle w:val="FirstParagraph"/>
      </w:pPr>
      <w:r>
        <w:t xml:space="preserve">Path analysis kiểm định đồng thời một hệ thống phương trình giữa các biến tổng hợp. Mô hình này hữu ích hơn các hồi quy rời rạc vì cho phép:</w:t>
      </w:r>
    </w:p>
    <w:p>
      <w:pPr>
        <w:numPr>
          <w:ilvl w:val="0"/>
          <w:numId w:val="1030"/>
        </w:numPr>
        <w:pStyle w:val="Compact"/>
      </w:pPr>
      <w:r>
        <w:t xml:space="preserve">kiểm định nhiều biến phụ thuộc;</w:t>
      </w:r>
    </w:p>
    <w:p>
      <w:pPr>
        <w:numPr>
          <w:ilvl w:val="0"/>
          <w:numId w:val="1030"/>
        </w:numPr>
        <w:pStyle w:val="Compact"/>
      </w:pPr>
      <w:r>
        <w:t xml:space="preserve">ước lượng đường trực tiếp và gián tiếp;</w:t>
      </w:r>
    </w:p>
    <w:p>
      <w:pPr>
        <w:numPr>
          <w:ilvl w:val="0"/>
          <w:numId w:val="1030"/>
        </w:numPr>
        <w:pStyle w:val="Compact"/>
      </w:pPr>
      <w:r>
        <w:t xml:space="preserve">so sánh độ phù hợp tổng thể;</w:t>
      </w:r>
    </w:p>
    <w:p>
      <w:pPr>
        <w:numPr>
          <w:ilvl w:val="0"/>
          <w:numId w:val="1030"/>
        </w:numPr>
        <w:pStyle w:val="Compact"/>
      </w:pPr>
      <w:r>
        <w:t xml:space="preserve">đánh giá mô hình lý thuyết như một hệ thống.</w:t>
      </w:r>
    </w:p>
    <w:p>
      <w:pPr>
        <w:pStyle w:val="FirstParagraph"/>
      </w:pPr>
      <w:r>
        <w:t xml:space="preserve">Tuy nhiên path analysis trên điểm trung bình coi thang đo như biến quan sát không có sai số đo lường. Đây là lý do cần CFA/SEM biến tiềm ẩn ở bước tiếp theo.</w:t>
      </w:r>
    </w:p>
    <w:p>
      <w:pPr>
        <w:pStyle w:val="Heading3"/>
      </w:pPr>
      <w:bookmarkStart w:id="56" w:name="chỉ-số-phù-hợp"/>
      <w:r>
        <w:t xml:space="preserve">11.2. Chỉ số phù hợp</w:t>
      </w:r>
      <w:bookmarkEnd w:id="56"/>
    </w:p>
    <w:p>
      <w:pPr>
        <w:numPr>
          <w:ilvl w:val="0"/>
          <w:numId w:val="1031"/>
        </w:numPr>
        <w:pStyle w:val="Compact"/>
      </w:pPr>
      <w:r>
        <w:t xml:space="preserve">Chi-square: nhỏ hơn thường tốt hơn nhưng nhạy với cỡ mẫu.</w:t>
      </w:r>
    </w:p>
    <w:p>
      <w:pPr>
        <w:numPr>
          <w:ilvl w:val="0"/>
          <w:numId w:val="1031"/>
        </w:numPr>
        <w:pStyle w:val="Compact"/>
      </w:pPr>
      <w:r>
        <w:t xml:space="preserve">CFI và TLI: thường mong đợi ≥ 0,90; ≥ 0,95 là tốt.</w:t>
      </w:r>
    </w:p>
    <w:p>
      <w:pPr>
        <w:numPr>
          <w:ilvl w:val="0"/>
          <w:numId w:val="1031"/>
        </w:numPr>
        <w:pStyle w:val="Compact"/>
      </w:pPr>
      <w:r>
        <w:t xml:space="preserve">RMSEA: thường mong đợi ≤ 0,08; ≤ 0,06 là tốt.</w:t>
      </w:r>
    </w:p>
    <w:p>
      <w:pPr>
        <w:numPr>
          <w:ilvl w:val="0"/>
          <w:numId w:val="1031"/>
        </w:numPr>
        <w:pStyle w:val="Compact"/>
      </w:pPr>
      <w:r>
        <w:t xml:space="preserve">GFI: gần hoặc trên 0,90 thường được xem là chấp nhận.</w:t>
      </w:r>
    </w:p>
    <w:p>
      <w:pPr>
        <w:numPr>
          <w:ilvl w:val="0"/>
          <w:numId w:val="1031"/>
        </w:numPr>
        <w:pStyle w:val="Compact"/>
      </w:pPr>
      <w:r>
        <w:t xml:space="preserve">AIC: dùng để so sánh mô hình; thấp hơn tốt hơn khi các mô hình được ước lượng trên cùng dữ liệu và cùng tập biến quan sát phù hợp.</w:t>
      </w:r>
    </w:p>
    <w:p>
      <w:pPr>
        <w:pStyle w:val="FirstParagraph"/>
      </w:pPr>
      <w:r>
        <w:t xml:space="preserve">Không nên chọn mô hình chỉ dựa vào một chỉ số.</w:t>
      </w:r>
    </w:p>
    <w:p>
      <w:pPr>
        <w:pStyle w:val="Heading3"/>
      </w:pPr>
      <w:bookmarkStart w:id="57" w:name="bốn-mô-hình-cạnh-tranh"/>
      <w:r>
        <w:t xml:space="preserve">11.3. Bốn mô hình cạnh tranh</w:t>
      </w:r>
      <w:bookmarkEnd w:id="57"/>
    </w:p>
    <w:p>
      <w:pPr>
        <w:numPr>
          <w:ilvl w:val="0"/>
          <w:numId w:val="1032"/>
        </w:numPr>
        <w:pStyle w:val="Compact"/>
      </w:pPr>
      <w:r>
        <w:rPr>
          <w:b/>
        </w:rPr>
        <w:t xml:space="preserve">M1:</w:t>
      </w:r>
      <w:r>
        <w:t xml:space="preserve"> </w:t>
      </w:r>
      <w:r>
        <w:t xml:space="preserve">mô hình H1–H6 nguyên gốc; CFI = 0,806; RMSEA = 0,175.</w:t>
      </w:r>
    </w:p>
    <w:p>
      <w:pPr>
        <w:numPr>
          <w:ilvl w:val="0"/>
          <w:numId w:val="1032"/>
        </w:numPr>
        <w:pStyle w:val="Compact"/>
      </w:pPr>
      <w:r>
        <w:rPr>
          <w:b/>
        </w:rPr>
        <w:t xml:space="preserve">M2:</w:t>
      </w:r>
      <w:r>
        <w:t xml:space="preserve"> </w:t>
      </w:r>
      <w:r>
        <w:t xml:space="preserve">M1 cộng hiệp phương sai giữa các biến cùng cấp; CFI = 0,899; RMSEA = 0,138.</w:t>
      </w:r>
    </w:p>
    <w:p>
      <w:pPr>
        <w:numPr>
          <w:ilvl w:val="0"/>
          <w:numId w:val="1032"/>
        </w:numPr>
        <w:pStyle w:val="Compact"/>
      </w:pPr>
      <w:r>
        <w:rPr>
          <w:b/>
        </w:rPr>
        <w:t xml:space="preserve">M3:</w:t>
      </w:r>
      <w:r>
        <w:t xml:space="preserve"> </w:t>
      </w:r>
      <w:r>
        <w:t xml:space="preserve">M2 cộng đường NOR/STR/OPE → GLO; CFI = 0,922; TLI = 0,876; RMSEA = 0,123; GFI = 0,907.</w:t>
      </w:r>
    </w:p>
    <w:p>
      <w:pPr>
        <w:numPr>
          <w:ilvl w:val="0"/>
          <w:numId w:val="1032"/>
        </w:numPr>
        <w:pStyle w:val="Compact"/>
      </w:pPr>
      <w:r>
        <w:rPr>
          <w:b/>
        </w:rPr>
        <w:t xml:space="preserve">M4:</w:t>
      </w:r>
      <w:r>
        <w:t xml:space="preserve"> </w:t>
      </w:r>
      <w:r>
        <w:t xml:space="preserve">mô hình tiết kiệm, gộp STRUC và SAT; CFI = 0,908; RMSEA = 0,148.</w:t>
      </w:r>
    </w:p>
    <w:p>
      <w:pPr>
        <w:pStyle w:val="FirstParagraph"/>
      </w:pPr>
      <w:r>
        <w:t xml:space="preserve">M3 tốt hơn M2 rõ rệt:</w:t>
      </w:r>
    </w:p>
    <w:p>
      <w:pPr>
        <w:numPr>
          <w:ilvl w:val="0"/>
          <w:numId w:val="1033"/>
        </w:numPr>
        <w:pStyle w:val="Compact"/>
      </w:pPr>
      <w:r>
        <w:t xml:space="preserve">Δχ² = 113,9;</w:t>
      </w:r>
    </w:p>
    <w:p>
      <w:pPr>
        <w:numPr>
          <w:ilvl w:val="0"/>
          <w:numId w:val="1033"/>
        </w:numPr>
        <w:pStyle w:val="Compact"/>
      </w:pPr>
      <w:r>
        <w:t xml:space="preserve">Δdf = 3;</w:t>
      </w:r>
    </w:p>
    <w:p>
      <w:pPr>
        <w:numPr>
          <w:ilvl w:val="0"/>
          <w:numId w:val="1033"/>
        </w:numPr>
        <w:pStyle w:val="Compact"/>
      </w:pPr>
      <w:r>
        <w:t xml:space="preserve">p &lt; 0,001.</w:t>
      </w:r>
    </w:p>
    <w:p>
      <w:pPr>
        <w:pStyle w:val="FirstParagraph"/>
      </w:pPr>
      <w:r>
        <w:t xml:space="preserve">Ba đường bổ sung đều có ý nghĩa:</w:t>
      </w:r>
    </w:p>
    <w:p>
      <w:pPr>
        <w:numPr>
          <w:ilvl w:val="0"/>
          <w:numId w:val="1034"/>
        </w:numPr>
        <w:pStyle w:val="Compact"/>
      </w:pPr>
      <w:r>
        <w:t xml:space="preserve">NOR → GLO: β = 0,153;</w:t>
      </w:r>
    </w:p>
    <w:p>
      <w:pPr>
        <w:numPr>
          <w:ilvl w:val="0"/>
          <w:numId w:val="1034"/>
        </w:numPr>
        <w:pStyle w:val="Compact"/>
      </w:pPr>
      <w:r>
        <w:t xml:space="preserve">STR → GLO: β = 0,106;</w:t>
      </w:r>
    </w:p>
    <w:p>
      <w:pPr>
        <w:numPr>
          <w:ilvl w:val="0"/>
          <w:numId w:val="1034"/>
        </w:numPr>
        <w:pStyle w:val="Compact"/>
      </w:pPr>
      <w:r>
        <w:t xml:space="preserve">OPE → GLO: β = 0,178.</w:t>
      </w:r>
    </w:p>
    <w:p>
      <w:pPr>
        <w:pStyle w:val="FirstParagraph"/>
      </w:pPr>
      <w:r>
        <w:t xml:space="preserve">Diễn giải phù hợp: yếu tố cấu trúc – quản lý có quan hệ dự báo trực tiếp với văn hóa chất lượng tổng thể, ngoài các đường gián tiếp qua tương tác và tâm lý.</w:t>
      </w:r>
    </w:p>
    <w:p>
      <w:pPr>
        <w:pStyle w:val="BodyText"/>
      </w:pPr>
      <w:r>
        <w:t xml:space="preserve">M3 là mô hình tốt nhất trong bốn mô hình đã thử, nhưng chưa phải mô hình phù hợp tuyệt đối. RMSEA = 0,123 và TLI = 0,876 vẫn không đạt các ngưỡng thông dụng. Vì vậy không nên viết rằng mô hình đã</w:t>
      </w:r>
      <w:r>
        <w:t xml:space="preserve"> </w:t>
      </w:r>
      <w:r>
        <w:t xml:space="preserve">“</w:t>
      </w:r>
      <w:r>
        <w:t xml:space="preserve">được xác nhận hoàn toàn</w:t>
      </w:r>
      <w:r>
        <w:t xml:space="preserve">”</w:t>
      </w:r>
      <w:r>
        <w:t xml:space="preserve">.</w:t>
      </w:r>
    </w:p>
    <w:p>
      <w:pPr>
        <w:pStyle w:val="Heading3"/>
      </w:pPr>
      <w:bookmarkStart w:id="58" w:name="kiểm-tra-tính-vững"/>
      <w:r>
        <w:t xml:space="preserve">11.4. Kiểm tra tính vững</w:t>
      </w:r>
      <w:bookmarkEnd w:id="58"/>
    </w:p>
    <w:p>
      <w:pPr>
        <w:pStyle w:val="FirstParagraph"/>
      </w:pPr>
      <w:r>
        <w:t xml:space="preserve">GLO4 và GLO5 có nội dung gần với giao tiếp. Sau khi loại hai biến này, đường COL → GLO vẫn có:</w:t>
      </w:r>
    </w:p>
    <w:p>
      <w:pPr>
        <w:numPr>
          <w:ilvl w:val="0"/>
          <w:numId w:val="1035"/>
        </w:numPr>
        <w:pStyle w:val="Compact"/>
      </w:pPr>
      <w:r>
        <w:t xml:space="preserve">β = 0,237;</w:t>
      </w:r>
    </w:p>
    <w:p>
      <w:pPr>
        <w:numPr>
          <w:ilvl w:val="0"/>
          <w:numId w:val="1035"/>
        </w:numPr>
        <w:pStyle w:val="Compact"/>
      </w:pPr>
      <w:r>
        <w:t xml:space="preserve">p &lt; 0,001.</w:t>
      </w:r>
    </w:p>
    <w:p>
      <w:pPr>
        <w:pStyle w:val="FirstParagraph"/>
      </w:pPr>
      <w:r>
        <w:t xml:space="preserve">Điều này cho thấy quan hệ giữa giao tiếp và GLO không chỉ do hai câu hỏi trùng nội dung. Tuy nhiên robustness check không thay thế kiểm định mô hình đo lường đầy đủ.</w:t>
      </w:r>
    </w:p>
    <w:p>
      <w:pPr>
        <w:pStyle w:val="Heading2"/>
      </w:pPr>
      <w:bookmarkStart w:id="59" w:name="phân-tích-trung-gian"/>
      <w:r>
        <w:t xml:space="preserve">12. Phân tích trung gian</w:t>
      </w:r>
      <w:bookmarkEnd w:id="59"/>
    </w:p>
    <w:p>
      <w:pPr>
        <w:pStyle w:val="FirstParagraph"/>
      </w:pPr>
      <w:r>
        <w:t xml:space="preserve">Trung gian xảy ra khi X có quan hệ với Y thông qua M:</w:t>
      </w:r>
    </w:p>
    <w:p>
      <w:pPr>
        <w:pStyle w:val="BlockText"/>
      </w:pPr>
      <w:r>
        <w:t xml:space="preserve">X → M → Y</w:t>
      </w:r>
    </w:p>
    <w:p>
      <w:pPr>
        <w:pStyle w:val="FirstParagraph"/>
      </w:pPr>
      <w:r>
        <w:t xml:space="preserve">Hiệu ứng gián tiếp là tích a × b. Bootstrap 2.000 lần được dùng để tạo khoảng tin cậy 95%. Nếu khoảng tin cậy không chứa 0, hiệu ứng gián tiếp được xem là có ý nghĩa.</w:t>
      </w:r>
    </w:p>
    <w:p>
      <w:pPr>
        <w:pStyle w:val="BodyText"/>
      </w:pPr>
      <w:r>
        <w:t xml:space="preserve">Cần thận trọng đặc biệt trong nghiên cứu này:</w:t>
      </w:r>
    </w:p>
    <w:p>
      <w:pPr>
        <w:numPr>
          <w:ilvl w:val="0"/>
          <w:numId w:val="1036"/>
        </w:numPr>
        <w:pStyle w:val="Compact"/>
      </w:pPr>
      <w:r>
        <w:t xml:space="preserve">bootstrap giúp đánh giá độ bất định của hiệu ứng gián tiếp;</w:t>
      </w:r>
    </w:p>
    <w:p>
      <w:pPr>
        <w:numPr>
          <w:ilvl w:val="0"/>
          <w:numId w:val="1036"/>
        </w:numPr>
        <w:pStyle w:val="Compact"/>
      </w:pPr>
      <w:r>
        <w:t xml:space="preserve">dữ liệu cắt ngang không xác lập thứ tự thời gian;</w:t>
      </w:r>
    </w:p>
    <w:p>
      <w:pPr>
        <w:numPr>
          <w:ilvl w:val="0"/>
          <w:numId w:val="1036"/>
        </w:numPr>
        <w:pStyle w:val="Compact"/>
      </w:pPr>
      <w:r>
        <w:t xml:space="preserve">mỗi phân tích trung gian được chạy riêng, không đồng thời kiểm soát các biến X khác;</w:t>
      </w:r>
    </w:p>
    <w:p>
      <w:pPr>
        <w:numPr>
          <w:ilvl w:val="0"/>
          <w:numId w:val="1036"/>
        </w:numPr>
        <w:pStyle w:val="Compact"/>
      </w:pPr>
      <w:r>
        <w:t xml:space="preserve">có nghịch lý cần lưu ý: trong path model, COM và ENG hầu như không dự báo GLO, nhưng trong mediation đơn nhiều đường gián tiếp của COM/ENG vẫn có ý nghĩa.</w:t>
      </w:r>
    </w:p>
    <w:p>
      <w:pPr>
        <w:pStyle w:val="FirstParagraph"/>
      </w:pPr>
      <w:r>
        <w:t xml:space="preserve">Vì vậy nên gọi là</w:t>
      </w:r>
      <w:r>
        <w:t xml:space="preserve"> </w:t>
      </w:r>
      <w:r>
        <w:t xml:space="preserve">“</w:t>
      </w:r>
      <w:r>
        <w:t xml:space="preserve">mẫu hình trung gian thống kê</w:t>
      </w:r>
      <w:r>
        <w:t xml:space="preserve">”</w:t>
      </w:r>
      <w:r>
        <w:t xml:space="preserve"> </w:t>
      </w:r>
      <w:r>
        <w:t xml:space="preserve">hoặc</w:t>
      </w:r>
      <w:r>
        <w:t xml:space="preserve"> </w:t>
      </w:r>
      <w:r>
        <w:t xml:space="preserve">“</w:t>
      </w:r>
      <w:r>
        <w:t xml:space="preserve">hiệu ứng gián tiếp ước lượng</w:t>
      </w:r>
      <w:r>
        <w:t xml:space="preserve">”</w:t>
      </w:r>
      <w:r>
        <w:t xml:space="preserve">, không khẳng định cơ chế nhân quả và không ưu tiên các đường trung gian mâu thuẫn với mô hình đồng thời.</w:t>
      </w:r>
    </w:p>
    <w:p>
      <w:pPr>
        <w:pStyle w:val="Heading2"/>
      </w:pPr>
      <w:bookmarkStart w:id="60" w:name="phương-sai-phương-pháp-chung"/>
      <w:r>
        <w:t xml:space="preserve">13. Phương sai phương pháp chung</w:t>
      </w:r>
      <w:bookmarkEnd w:id="60"/>
    </w:p>
    <w:p>
      <w:pPr>
        <w:pStyle w:val="FirstParagraph"/>
      </w:pPr>
      <w:r>
        <w:t xml:space="preserve">Harman một nhân tố giải thích 45,6% phương sai, dưới ngưỡng kinh nghiệm 50%. Kết quả này cho thấy chưa có bằng chứng về một nhân tố chung chi phối tuyệt đối, nhưng không chứng minh CMB không tồn tại.</w:t>
      </w:r>
    </w:p>
    <w:p>
      <w:pPr>
        <w:pStyle w:val="BodyText"/>
      </w:pPr>
      <w:r>
        <w:t xml:space="preserve">Harman test có độ nhạy thấp. Các nghiên cứu tiếp theo nên:</w:t>
      </w:r>
    </w:p>
    <w:p>
      <w:pPr>
        <w:numPr>
          <w:ilvl w:val="0"/>
          <w:numId w:val="1037"/>
        </w:numPr>
        <w:pStyle w:val="Compact"/>
      </w:pPr>
      <w:r>
        <w:t xml:space="preserve">tách thời điểm đo biến dự báo và biến kết quả;</w:t>
      </w:r>
    </w:p>
    <w:p>
      <w:pPr>
        <w:numPr>
          <w:ilvl w:val="0"/>
          <w:numId w:val="1037"/>
        </w:numPr>
        <w:pStyle w:val="Compact"/>
      </w:pPr>
      <w:r>
        <w:t xml:space="preserve">thu thập dữ liệu từ nhiều nguồn;</w:t>
      </w:r>
    </w:p>
    <w:p>
      <w:pPr>
        <w:numPr>
          <w:ilvl w:val="0"/>
          <w:numId w:val="1037"/>
        </w:numPr>
        <w:pStyle w:val="Compact"/>
      </w:pPr>
      <w:r>
        <w:t xml:space="preserve">dùng marker variable;</w:t>
      </w:r>
    </w:p>
    <w:p>
      <w:pPr>
        <w:numPr>
          <w:ilvl w:val="0"/>
          <w:numId w:val="1037"/>
        </w:numPr>
        <w:pStyle w:val="Compact"/>
      </w:pPr>
      <w:r>
        <w:t xml:space="preserve">kiểm định latent common method factor;</w:t>
      </w:r>
    </w:p>
    <w:p>
      <w:pPr>
        <w:numPr>
          <w:ilvl w:val="0"/>
          <w:numId w:val="1037"/>
        </w:numPr>
        <w:pStyle w:val="Compact"/>
      </w:pPr>
      <w:r>
        <w:t xml:space="preserve">kiểm soát wording và thứ tự câu hỏi.</w:t>
      </w:r>
    </w:p>
    <w:p>
      <w:pPr>
        <w:pStyle w:val="Heading2"/>
      </w:pPr>
      <w:bookmarkStart w:id="61" w:name="X9bb26d226c554a9349a112a1f555af2b9259ea9"/>
      <w:r>
        <w:t xml:space="preserve">14. CB-SEM đầy đủ: đã chạy, và kết quả nói lên điều gì</w:t>
      </w:r>
      <w:bookmarkEnd w:id="61"/>
    </w:p>
    <w:p>
      <w:pPr>
        <w:pStyle w:val="FirstParagraph"/>
      </w:pPr>
      <w:r>
        <w:t xml:space="preserve">Trong phiên bản notebook hiện tại,</w:t>
      </w:r>
      <w:r>
        <w:t xml:space="preserve"> </w:t>
      </w:r>
      <w:r>
        <w:rPr>
          <w:rStyle w:val="VerbatimChar"/>
        </w:rPr>
        <w:t xml:space="preserve">RUN_FULL_SEM = True</w:t>
      </w:r>
      <w:r>
        <w:t xml:space="preserve"> </w:t>
      </w:r>
      <w:r>
        <w:t xml:space="preserve">đã được bật và CB-SEM đầy đủ trên 81 biến quan sát đã được ước lượng. Kết quả minh họa chính xác cảnh báo lý thuyết ở trên:</w:t>
      </w:r>
    </w:p>
    <w:p>
      <w:pPr>
        <w:numPr>
          <w:ilvl w:val="0"/>
          <w:numId w:val="1038"/>
        </w:numPr>
        <w:pStyle w:val="Compact"/>
      </w:pPr>
      <w:r>
        <w:t xml:space="preserve">Độ phù hợp tuyệt đối chấp nhận được: χ²/df = 2,58 (8.257,2/3.204); RMSEA = 0,075.</w:t>
      </w:r>
    </w:p>
    <w:p>
      <w:pPr>
        <w:numPr>
          <w:ilvl w:val="0"/>
          <w:numId w:val="1038"/>
        </w:numPr>
        <w:pStyle w:val="Compact"/>
      </w:pPr>
      <w:r>
        <w:t xml:space="preserve">Nhưng CFI = 0,777 và TLI = 0,769 dưới ngưỡng 0,90.</w:t>
      </w:r>
    </w:p>
    <w:p>
      <w:pPr>
        <w:numPr>
          <w:ilvl w:val="0"/>
          <w:numId w:val="1038"/>
        </w:numPr>
        <w:pStyle w:val="Compact"/>
      </w:pPr>
      <w:r>
        <w:t xml:space="preserve">Quan trọng nhất: một số hệ số cấu trúc chuẩn hóa vượt xa giới hạn ±1 (ví dụ STR → LED = −8,3; OPE → LED = 8,7) kèm p không có ý nghĩa. Đây là</w:t>
      </w:r>
      <w:r>
        <w:t xml:space="preserve"> </w:t>
      </w:r>
      <w:r>
        <w:t xml:space="preserve">“</w:t>
      </w:r>
      <w:r>
        <w:t xml:space="preserve">nghiệm không hợp lệ</w:t>
      </w:r>
      <w:r>
        <w:t xml:space="preserve">”</w:t>
      </w:r>
      <w:r>
        <w:t xml:space="preserve"> </w:t>
      </w:r>
      <w:r>
        <w:t xml:space="preserve">(improper solution) — dấu hiệu kinh điển của đa cộng tuyến gần hoàn hảo giữa các biến tiềm ẩn NOR–STR–OPE, đúng như HTMT (0,92–0,97) đã dự báo.</w:t>
      </w:r>
    </w:p>
    <w:p>
      <w:pPr>
        <w:pStyle w:val="FirstParagraph"/>
      </w:pPr>
      <w:r>
        <w:t xml:space="preserve">Bài học phương pháp: với 17 khái niệm chồng lấn và N = 281, CB-SEM đầy đủ không phải là công cụ phù hợp để kiểm định mô hình cấu trúc; nó chỉ nên được báo cáo như bằng chứng chẩn đoán. Các phương án cho công bố quốc tế vẫn giữ nguyên giá trị: CFA theo khối, mô hình bậc hai cho NOR–STR–OPE, gộp SAT_O–SAT_J, hoặc rút gọn mô hình.</w:t>
      </w:r>
    </w:p>
    <w:p>
      <w:pPr>
        <w:pStyle w:val="Heading2"/>
      </w:pPr>
      <w:bookmarkStart w:id="62" w:name="b.-pls-sem-kiểm-chứng-biến-tiềm-ẩn-chính"/>
      <w:r>
        <w:t xml:space="preserve">14b. PLS-SEM: kiểm chứng biến tiềm ẩn chính</w:t>
      </w:r>
      <w:bookmarkEnd w:id="62"/>
    </w:p>
    <w:p>
      <w:pPr>
        <w:pStyle w:val="FirstParagraph"/>
      </w:pPr>
      <w:r>
        <w:t xml:space="preserve">Chính vì giới hạn trên, notebook bổ sung mục 11b: PLS-SEM bằng thư viện plspm, cùng cấu trúc H1–H6, với bootstrap 500 lần cho khoảng tin cậy 95%. PLS-SEM (bình phương tối thiểu riêng phần) ước lượng theo hướng dự báo, ít nhạy với đa cộng tuyến tiềm ẩn và cỡ mẫu hơn CB-SEM, nên phù hợp với mô hình phức tạp này.</w:t>
      </w:r>
    </w:p>
    <w:p>
      <w:pPr>
        <w:pStyle w:val="BodyText"/>
      </w:pPr>
      <w:r>
        <w:t xml:space="preserve">Kết quả chính:</w:t>
      </w:r>
    </w:p>
    <w:p>
      <w:pPr>
        <w:numPr>
          <w:ilvl w:val="0"/>
          <w:numId w:val="1039"/>
        </w:numPr>
        <w:pStyle w:val="Compact"/>
      </w:pPr>
      <w:r>
        <w:t xml:space="preserve">Mô hình đo lường ngoài: toàn bộ 17 khái niệm đạt Dillon–Goldstein’s ρ = 0,85–0,97 và AVE = 0,58–0,89 — tất cả vượt 0,50, kể cả bốn thang đo (PAR, ENG, WEG, PRO) có AVE biên khi ước lượng bằng nhân tố chung. Điều này cho thấy vấn đề AVE ở mục 7 một phần là do phương pháp ước lượng, không hẳn do thang đo.</w:t>
      </w:r>
    </w:p>
    <w:p>
      <w:pPr>
        <w:numPr>
          <w:ilvl w:val="0"/>
          <w:numId w:val="1039"/>
        </w:numPr>
        <w:pStyle w:val="Compact"/>
      </w:pPr>
      <w:r>
        <w:t xml:space="preserve">Mô hình cấu trúc: R²_GLO = 0,836; R²_TRU = 0,793; R²_SHA = 0,735; GoF = 0,588 (mức lớn).</w:t>
      </w:r>
    </w:p>
    <w:p>
      <w:pPr>
        <w:numPr>
          <w:ilvl w:val="0"/>
          <w:numId w:val="1039"/>
        </w:numPr>
        <w:pStyle w:val="Compact"/>
      </w:pPr>
      <w:r>
        <w:t xml:space="preserve">Kết luận giả thuyết PLS trùng khớp semopy ở cả 6 nhóm: H5 ủng hộ hoàn toàn, các nhóm còn lại ủng hộ một phần với cùng những đường có ý nghĩa.</w:t>
      </w:r>
    </w:p>
    <w:p>
      <w:pPr>
        <w:numPr>
          <w:ilvl w:val="0"/>
          <w:numId w:val="1039"/>
        </w:numPr>
        <w:pStyle w:val="Compact"/>
      </w:pPr>
      <w:r>
        <w:t xml:space="preserve">Kết quả cũng nhất quán với hồ sơ SmartPLS 4 và CFA AMOS trong thư mục Data_Processing của luận án.</w:t>
      </w:r>
    </w:p>
    <w:p>
      <w:pPr>
        <w:pStyle w:val="FirstParagraph"/>
      </w:pPr>
      <w:r>
        <w:t xml:space="preserve">Ý nghĩa đối với người đọc: các kết luận của nghiên cứu hiện đứng trên ba lớp bằng chứng độc lập về kỹ thuật ước lượng (đường dẫn trên biến đại diện, PLS-SEM trên biến tiềm ẩn, và đối chiếu công cụ thương mại), thay vì chỉ một.</w:t>
      </w:r>
    </w:p>
    <w:p>
      <w:pPr>
        <w:pStyle w:val="Heading2"/>
      </w:pPr>
      <w:bookmarkStart w:id="63" w:name="bất-biến-đo-lường"/>
      <w:r>
        <w:t xml:space="preserve">15. Bất biến đo lường</w:t>
      </w:r>
      <w:bookmarkEnd w:id="63"/>
    </w:p>
    <w:p>
      <w:pPr>
        <w:pStyle w:val="FirstParagraph"/>
      </w:pPr>
      <w:r>
        <w:t xml:space="preserve">Trước khi so sánh người Việt Nam và người nước ngoài, cần kiểm định measurement invariance:</w:t>
      </w:r>
    </w:p>
    <w:p>
      <w:pPr>
        <w:numPr>
          <w:ilvl w:val="0"/>
          <w:numId w:val="1040"/>
        </w:numPr>
        <w:pStyle w:val="Compact"/>
      </w:pPr>
      <w:r>
        <w:t xml:space="preserve">Configural invariance: hai nhóm có cùng cấu trúc nhân tố không?</w:t>
      </w:r>
    </w:p>
    <w:p>
      <w:pPr>
        <w:numPr>
          <w:ilvl w:val="0"/>
          <w:numId w:val="1040"/>
        </w:numPr>
        <w:pStyle w:val="Compact"/>
      </w:pPr>
      <w:r>
        <w:t xml:space="preserve">Metric invariance: tải nhân tố có tương đương không?</w:t>
      </w:r>
    </w:p>
    <w:p>
      <w:pPr>
        <w:numPr>
          <w:ilvl w:val="0"/>
          <w:numId w:val="1040"/>
        </w:numPr>
        <w:pStyle w:val="Compact"/>
      </w:pPr>
      <w:r>
        <w:t xml:space="preserve">Scalar invariance: intercept có tương đương không?</w:t>
      </w:r>
    </w:p>
    <w:p>
      <w:pPr>
        <w:numPr>
          <w:ilvl w:val="0"/>
          <w:numId w:val="1040"/>
        </w:numPr>
        <w:pStyle w:val="Compact"/>
      </w:pPr>
      <w:r>
        <w:t xml:space="preserve">Strict invariance: sai số đo có tương đương không?</w:t>
      </w:r>
    </w:p>
    <w:p>
      <w:pPr>
        <w:pStyle w:val="FirstParagraph"/>
      </w:pPr>
      <w:r>
        <w:t xml:space="preserve">Nếu không đạt scalar invariance, chênh lệch trung bình quan sát có thể do hai nhóm hiểu hoặc sử dụng thang đo khác nhau, không chỉ do khác biệt thực tế.</w:t>
      </w:r>
    </w:p>
    <w:p>
      <w:pPr>
        <w:pStyle w:val="BodyText"/>
      </w:pPr>
      <w:r>
        <w:t xml:space="preserve">Nhóm nước ngoài chỉ có 36 người nên CFA đa nhóm đầy đủ có thể thiếu công suất. Cần tăng mẫu hoặc sử dụng phương pháp phù hợp với mẫu nhỏ và báo cáo giới hạn rõ ràng.</w:t>
      </w:r>
    </w:p>
    <w:p>
      <w:pPr>
        <w:pStyle w:val="Heading3"/>
      </w:pPr>
      <w:bookmarkStart w:id="64" w:name="kết-quả-đã-chạy-bổ-sung-tháng-72026"/>
      <w:r>
        <w:t xml:space="preserve">15.1. Kết quả đã chạy (bổ sung tháng 7/2026)</w:t>
      </w:r>
      <w:bookmarkEnd w:id="64"/>
    </w:p>
    <w:p>
      <w:pPr>
        <w:pStyle w:val="FirstParagraph"/>
      </w:pPr>
      <w:r>
        <w:t xml:space="preserve">Vì n = 36 không đủ cho chuỗi kiểm định metric/scalar đầy đủ theo chuẩn LRT, nghiên cứu dùng</w:t>
      </w:r>
      <w:r>
        <w:t xml:space="preserve"> </w:t>
      </w:r>
      <w:r>
        <w:rPr>
          <w:b/>
        </w:rPr>
        <w:t xml:space="preserve">ba kiểm định thay thế phù hợp với mẫu nhỏ</w:t>
      </w:r>
      <w:r>
        <w:t xml:space="preserve">, tất cả đã được thực hiện và lưu tại</w:t>
      </w:r>
      <w:r>
        <w:t xml:space="preserve"> </w:t>
      </w:r>
      <w:r>
        <w:rPr>
          <w:rStyle w:val="VerbatimChar"/>
        </w:rPr>
        <w:t xml:space="preserve">KetQuaPhanTich/ket_qua_MI_Cluster/</w:t>
      </w:r>
      <w:r>
        <w:t xml:space="preserve">:</w:t>
      </w:r>
    </w:p>
    <w:p>
      <w:pPr>
        <w:pStyle w:val="BodyText"/>
      </w:pPr>
      <w:r>
        <w:rPr>
          <w:b/>
        </w:rPr>
        <w:t xml:space="preserve">(a) Bất biến cấu hình (configural)</w:t>
      </w:r>
      <w:r>
        <w:t xml:space="preserve"> </w:t>
      </w:r>
      <w:r>
        <w:t xml:space="preserve">— CFA một nhân tố chạy riêng từng nhóm:</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Thang đo</w:t>
            </w:r>
          </w:p>
        </w:tc>
        <w:tc>
          <w:tcPr>
            <w:tcBorders>
              <w:bottom w:val="single"/>
            </w:tcBorders>
            <w:vAlign w:val="bottom"/>
          </w:tcPr>
          <w:p>
            <w:pPr>
              <w:pStyle w:val="Compact"/>
              <w:jc w:val="left"/>
            </w:pPr>
            <w:r>
              <w:t xml:space="preserve">CFI (Việt)</w:t>
            </w:r>
          </w:p>
        </w:tc>
        <w:tc>
          <w:tcPr>
            <w:tcBorders>
              <w:bottom w:val="single"/>
            </w:tcBorders>
            <w:vAlign w:val="bottom"/>
          </w:tcPr>
          <w:p>
            <w:pPr>
              <w:pStyle w:val="Compact"/>
              <w:jc w:val="left"/>
            </w:pPr>
            <w:r>
              <w:t xml:space="preserve">CFI (Nước ngoài)</w:t>
            </w:r>
          </w:p>
        </w:tc>
        <w:tc>
          <w:tcPr>
            <w:tcBorders>
              <w:bottom w:val="single"/>
            </w:tcBorders>
            <w:vAlign w:val="bottom"/>
          </w:tcPr>
          <w:p>
            <w:pPr>
              <w:pStyle w:val="Compact"/>
              <w:jc w:val="left"/>
            </w:pPr>
            <w:r>
              <w:t xml:space="preserve">Kết luận</w:t>
            </w:r>
          </w:p>
        </w:tc>
      </w:tr>
      <w:tr>
        <w:tc>
          <w:p>
            <w:pPr>
              <w:pStyle w:val="Compact"/>
              <w:jc w:val="left"/>
            </w:pPr>
            <w:r>
              <w:t xml:space="preserve">GLO</w:t>
            </w:r>
          </w:p>
        </w:tc>
        <w:tc>
          <w:p>
            <w:pPr>
              <w:pStyle w:val="Compact"/>
              <w:jc w:val="left"/>
            </w:pPr>
            <w:r>
              <w:t xml:space="preserve">0,923</w:t>
            </w:r>
          </w:p>
        </w:tc>
        <w:tc>
          <w:p>
            <w:pPr>
              <w:pStyle w:val="Compact"/>
              <w:jc w:val="left"/>
            </w:pPr>
            <w:r>
              <w:t xml:space="preserve">0,886</w:t>
            </w:r>
          </w:p>
        </w:tc>
        <w:tc>
          <w:p>
            <w:pPr>
              <w:pStyle w:val="Compact"/>
              <w:jc w:val="left"/>
            </w:pPr>
            <w:r>
              <w:t xml:space="preserve">Đạt</w:t>
            </w:r>
          </w:p>
        </w:tc>
      </w:tr>
      <w:tr>
        <w:tc>
          <w:p>
            <w:pPr>
              <w:pStyle w:val="Compact"/>
              <w:jc w:val="left"/>
            </w:pPr>
            <w:r>
              <w:t xml:space="preserve">SAT_O</w:t>
            </w:r>
          </w:p>
        </w:tc>
        <w:tc>
          <w:p>
            <w:pPr>
              <w:pStyle w:val="Compact"/>
              <w:jc w:val="left"/>
            </w:pPr>
            <w:r>
              <w:t xml:space="preserve">0,955</w:t>
            </w:r>
          </w:p>
        </w:tc>
        <w:tc>
          <w:p>
            <w:pPr>
              <w:pStyle w:val="Compact"/>
              <w:jc w:val="left"/>
            </w:pPr>
            <w:r>
              <w:t xml:space="preserve">1,038</w:t>
            </w:r>
          </w:p>
        </w:tc>
        <w:tc>
          <w:p>
            <w:pPr>
              <w:pStyle w:val="Compact"/>
              <w:jc w:val="left"/>
            </w:pPr>
            <w:r>
              <w:t xml:space="preserve">Đạt</w:t>
            </w:r>
          </w:p>
        </w:tc>
      </w:tr>
      <w:tr>
        <w:tc>
          <w:p>
            <w:pPr>
              <w:pStyle w:val="Compact"/>
              <w:jc w:val="left"/>
            </w:pPr>
            <w:r>
              <w:t xml:space="preserve">SAT_J</w:t>
            </w:r>
          </w:p>
        </w:tc>
        <w:tc>
          <w:p>
            <w:pPr>
              <w:pStyle w:val="Compact"/>
              <w:jc w:val="left"/>
            </w:pPr>
            <w:r>
              <w:t xml:space="preserve">0,975</w:t>
            </w:r>
          </w:p>
        </w:tc>
        <w:tc>
          <w:p>
            <w:pPr>
              <w:pStyle w:val="Compact"/>
              <w:jc w:val="left"/>
            </w:pPr>
            <w:r>
              <w:t xml:space="preserve">1,005</w:t>
            </w:r>
          </w:p>
        </w:tc>
        <w:tc>
          <w:p>
            <w:pPr>
              <w:pStyle w:val="Compact"/>
              <w:jc w:val="left"/>
            </w:pPr>
            <w:r>
              <w:t xml:space="preserve">Đạt</w:t>
            </w:r>
          </w:p>
        </w:tc>
      </w:tr>
      <w:tr>
        <w:tc>
          <w:p>
            <w:pPr>
              <w:pStyle w:val="Compact"/>
              <w:jc w:val="left"/>
            </w:pPr>
            <w:r>
              <w:t xml:space="preserve">PRO</w:t>
            </w:r>
          </w:p>
        </w:tc>
        <w:tc>
          <w:p>
            <w:pPr>
              <w:pStyle w:val="Compact"/>
              <w:jc w:val="left"/>
            </w:pPr>
            <w:r>
              <w:t xml:space="preserve">0,945</w:t>
            </w:r>
          </w:p>
        </w:tc>
        <w:tc>
          <w:p>
            <w:pPr>
              <w:pStyle w:val="Compact"/>
              <w:jc w:val="left"/>
            </w:pPr>
            <w:r>
              <w:t xml:space="preserve">1,049</w:t>
            </w:r>
          </w:p>
        </w:tc>
        <w:tc>
          <w:p>
            <w:pPr>
              <w:pStyle w:val="Compact"/>
              <w:jc w:val="left"/>
            </w:pPr>
            <w:r>
              <w:t xml:space="preserve">Đạt</w:t>
            </w:r>
          </w:p>
        </w:tc>
      </w:tr>
      <w:tr>
        <w:tc>
          <w:p>
            <w:pPr>
              <w:pStyle w:val="Compact"/>
              <w:jc w:val="left"/>
            </w:pPr>
            <w:r>
              <w:t xml:space="preserve">OCM</w:t>
            </w:r>
          </w:p>
        </w:tc>
        <w:tc>
          <w:p>
            <w:pPr>
              <w:pStyle w:val="Compact"/>
              <w:jc w:val="left"/>
            </w:pPr>
            <w:r>
              <w:t xml:space="preserve">1,000</w:t>
            </w:r>
          </w:p>
        </w:tc>
        <w:tc>
          <w:p>
            <w:pPr>
              <w:pStyle w:val="Compact"/>
              <w:jc w:val="left"/>
            </w:pPr>
            <w:r>
              <w:t xml:space="preserve">1,000</w:t>
            </w:r>
          </w:p>
        </w:tc>
        <w:tc>
          <w:p>
            <w:pPr>
              <w:pStyle w:val="Compact"/>
              <w:jc w:val="left"/>
            </w:pPr>
            <w:r>
              <w:t xml:space="preserve">Đạt</w:t>
            </w:r>
          </w:p>
        </w:tc>
      </w:tr>
      <w:tr>
        <w:tc>
          <w:p>
            <w:pPr>
              <w:pStyle w:val="Compact"/>
              <w:jc w:val="left"/>
            </w:pPr>
            <w:r>
              <w:t xml:space="preserve">LED</w:t>
            </w:r>
          </w:p>
        </w:tc>
        <w:tc>
          <w:p>
            <w:pPr>
              <w:pStyle w:val="Compact"/>
              <w:jc w:val="left"/>
            </w:pPr>
            <w:r>
              <w:t xml:space="preserve">0,863</w:t>
            </w:r>
          </w:p>
        </w:tc>
        <w:tc>
          <w:p>
            <w:pPr>
              <w:pStyle w:val="Compact"/>
              <w:jc w:val="left"/>
            </w:pPr>
            <w:r>
              <w:t xml:space="preserve">0,852</w:t>
            </w:r>
          </w:p>
        </w:tc>
        <w:tc>
          <w:p>
            <w:pPr>
              <w:pStyle w:val="Compact"/>
              <w:jc w:val="left"/>
            </w:pPr>
            <w:r>
              <w:t xml:space="preserve">Đạt (biên)</w:t>
            </w:r>
          </w:p>
        </w:tc>
      </w:tr>
      <w:tr>
        <w:tc>
          <w:p>
            <w:pPr>
              <w:pStyle w:val="Compact"/>
              <w:jc w:val="left"/>
            </w:pPr>
            <w:r>
              <w:t xml:space="preserve">WEG</w:t>
            </w:r>
          </w:p>
        </w:tc>
        <w:tc>
          <w:p>
            <w:pPr>
              <w:pStyle w:val="Compact"/>
              <w:jc w:val="left"/>
            </w:pPr>
            <w:r>
              <w:t xml:space="preserve">0,881</w:t>
            </w:r>
          </w:p>
        </w:tc>
        <w:tc>
          <w:p>
            <w:pPr>
              <w:pStyle w:val="Compact"/>
              <w:jc w:val="left"/>
            </w:pPr>
            <w:r>
              <w:t xml:space="preserve">0,691</w:t>
            </w:r>
          </w:p>
        </w:tc>
        <w:tc>
          <w:p>
            <w:pPr>
              <w:pStyle w:val="Compact"/>
              <w:jc w:val="left"/>
            </w:pPr>
            <w:r>
              <w:rPr>
                <w:b/>
              </w:rPr>
              <w:t xml:space="preserve">Chưa đạt</w:t>
            </w:r>
          </w:p>
        </w:tc>
      </w:tr>
      <w:tr>
        <w:tc>
          <w:p>
            <w:pPr>
              <w:pStyle w:val="Compact"/>
              <w:jc w:val="left"/>
            </w:pPr>
            <w:r>
              <w:t xml:space="preserve">COL</w:t>
            </w:r>
          </w:p>
        </w:tc>
        <w:tc>
          <w:p>
            <w:pPr>
              <w:pStyle w:val="Compact"/>
              <w:jc w:val="left"/>
            </w:pPr>
            <w:r>
              <w:t xml:space="preserve">0,879</w:t>
            </w:r>
          </w:p>
        </w:tc>
        <w:tc>
          <w:p>
            <w:pPr>
              <w:pStyle w:val="Compact"/>
              <w:jc w:val="left"/>
            </w:pPr>
            <w:r>
              <w:t xml:space="preserve">0,809</w:t>
            </w:r>
          </w:p>
        </w:tc>
        <w:tc>
          <w:p>
            <w:pPr>
              <w:pStyle w:val="Compact"/>
              <w:jc w:val="left"/>
            </w:pPr>
            <w:r>
              <w:rPr>
                <w:b/>
              </w:rPr>
              <w:t xml:space="preserve">Chưa đạt</w:t>
            </w:r>
          </w:p>
        </w:tc>
      </w:tr>
    </w:tbl>
    <w:p>
      <w:pPr>
        <w:pStyle w:val="BodyText"/>
      </w:pPr>
      <w:r>
        <w:t xml:space="preserve">Cấu trúc một nhân tố tái hiện được ở cả hai nhóm với 6/8 thang đo. WEG và COL chưa đạt ở nhóm nước ngoài.</w:t>
      </w:r>
    </w:p>
    <w:p>
      <w:pPr>
        <w:pStyle w:val="BodyText"/>
      </w:pPr>
      <w:r>
        <w:rPr>
          <w:b/>
        </w:rPr>
        <w:t xml:space="preserve">(b) Hệ số tương đồng tải nhân tố (Tucker’s φ)</w:t>
      </w:r>
      <w:r>
        <w:t xml:space="preserve"> </w:t>
      </w:r>
      <w:r>
        <w:t xml:space="preserve">— thay cho kiểm định metric:</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Thang đo</w:t>
            </w:r>
          </w:p>
        </w:tc>
        <w:tc>
          <w:tcPr>
            <w:tcBorders>
              <w:bottom w:val="single"/>
            </w:tcBorders>
            <w:vAlign w:val="bottom"/>
          </w:tcPr>
          <w:p>
            <w:pPr>
              <w:pStyle w:val="Compact"/>
              <w:jc w:val="left"/>
            </w:pPr>
            <w:r>
              <w:t xml:space="preserve">φ</w:t>
            </w:r>
          </w:p>
        </w:tc>
        <w:tc>
          <w:tcPr>
            <w:tcBorders>
              <w:bottom w:val="single"/>
            </w:tcBorders>
            <w:vAlign w:val="bottom"/>
          </w:tcPr>
          <w:p>
            <w:pPr>
              <w:pStyle w:val="Compact"/>
              <w:jc w:val="left"/>
            </w:pPr>
            <w:r>
              <w:t xml:space="preserve">Diễn giải</w:t>
            </w:r>
          </w:p>
        </w:tc>
      </w:tr>
      <w:tr>
        <w:tc>
          <w:p>
            <w:pPr>
              <w:pStyle w:val="Compact"/>
              <w:jc w:val="left"/>
            </w:pPr>
            <w:r>
              <w:t xml:space="preserve">GLO</w:t>
            </w:r>
          </w:p>
        </w:tc>
        <w:tc>
          <w:p>
            <w:pPr>
              <w:pStyle w:val="Compact"/>
              <w:jc w:val="left"/>
            </w:pPr>
            <w:r>
              <w:t xml:space="preserve">0,994</w:t>
            </w:r>
          </w:p>
        </w:tc>
        <w:tc>
          <w:p>
            <w:pPr>
              <w:pStyle w:val="Compact"/>
              <w:jc w:val="left"/>
            </w:pPr>
            <w:r>
              <w:t xml:space="preserve">Tương đương</w:t>
            </w:r>
          </w:p>
        </w:tc>
      </w:tr>
      <w:tr>
        <w:tc>
          <w:p>
            <w:pPr>
              <w:pStyle w:val="Compact"/>
              <w:jc w:val="left"/>
            </w:pPr>
            <w:r>
              <w:t xml:space="preserve">LED</w:t>
            </w:r>
          </w:p>
        </w:tc>
        <w:tc>
          <w:p>
            <w:pPr>
              <w:pStyle w:val="Compact"/>
              <w:jc w:val="left"/>
            </w:pPr>
            <w:r>
              <w:t xml:space="preserve">0,990</w:t>
            </w:r>
          </w:p>
        </w:tc>
        <w:tc>
          <w:p>
            <w:pPr>
              <w:pStyle w:val="Compact"/>
              <w:jc w:val="left"/>
            </w:pPr>
            <w:r>
              <w:t xml:space="preserve">Tương đương</w:t>
            </w:r>
          </w:p>
        </w:tc>
      </w:tr>
      <w:tr>
        <w:tc>
          <w:p>
            <w:pPr>
              <w:pStyle w:val="Compact"/>
              <w:jc w:val="left"/>
            </w:pPr>
            <w:r>
              <w:t xml:space="preserve">SAT_O</w:t>
            </w:r>
          </w:p>
        </w:tc>
        <w:tc>
          <w:p>
            <w:pPr>
              <w:pStyle w:val="Compact"/>
              <w:jc w:val="left"/>
            </w:pPr>
            <w:r>
              <w:t xml:space="preserve">0,988</w:t>
            </w:r>
          </w:p>
        </w:tc>
        <w:tc>
          <w:p>
            <w:pPr>
              <w:pStyle w:val="Compact"/>
              <w:jc w:val="left"/>
            </w:pPr>
            <w:r>
              <w:t xml:space="preserve">Tương đương</w:t>
            </w:r>
          </w:p>
        </w:tc>
      </w:tr>
      <w:tr>
        <w:tc>
          <w:p>
            <w:pPr>
              <w:pStyle w:val="Compact"/>
              <w:jc w:val="left"/>
            </w:pPr>
            <w:r>
              <w:t xml:space="preserve">SAT_J</w:t>
            </w:r>
          </w:p>
        </w:tc>
        <w:tc>
          <w:p>
            <w:pPr>
              <w:pStyle w:val="Compact"/>
              <w:jc w:val="left"/>
            </w:pPr>
            <w:r>
              <w:t xml:space="preserve">0,986</w:t>
            </w:r>
          </w:p>
        </w:tc>
        <w:tc>
          <w:p>
            <w:pPr>
              <w:pStyle w:val="Compact"/>
              <w:jc w:val="left"/>
            </w:pPr>
            <w:r>
              <w:t xml:space="preserve">Tương đương</w:t>
            </w:r>
          </w:p>
        </w:tc>
      </w:tr>
      <w:tr>
        <w:tc>
          <w:p>
            <w:pPr>
              <w:pStyle w:val="Compact"/>
              <w:jc w:val="left"/>
            </w:pPr>
            <w:r>
              <w:t xml:space="preserve">PRO</w:t>
            </w:r>
          </w:p>
        </w:tc>
        <w:tc>
          <w:p>
            <w:pPr>
              <w:pStyle w:val="Compact"/>
              <w:jc w:val="left"/>
            </w:pPr>
            <w:r>
              <w:t xml:space="preserve">0,970</w:t>
            </w:r>
          </w:p>
        </w:tc>
        <w:tc>
          <w:p>
            <w:pPr>
              <w:pStyle w:val="Compact"/>
              <w:jc w:val="left"/>
            </w:pPr>
            <w:r>
              <w:t xml:space="preserve">Tương đương</w:t>
            </w:r>
          </w:p>
        </w:tc>
      </w:tr>
      <w:tr>
        <w:tc>
          <w:p>
            <w:pPr>
              <w:pStyle w:val="Compact"/>
              <w:jc w:val="left"/>
            </w:pPr>
            <w:r>
              <w:t xml:space="preserve">OCM</w:t>
            </w:r>
          </w:p>
        </w:tc>
        <w:tc>
          <w:p>
            <w:pPr>
              <w:pStyle w:val="Compact"/>
              <w:jc w:val="left"/>
            </w:pPr>
            <w:r>
              <w:t xml:space="preserve">0,965</w:t>
            </w:r>
          </w:p>
        </w:tc>
        <w:tc>
          <w:p>
            <w:pPr>
              <w:pStyle w:val="Compact"/>
              <w:jc w:val="left"/>
            </w:pPr>
            <w:r>
              <w:t xml:space="preserve">Tương đương</w:t>
            </w:r>
          </w:p>
        </w:tc>
      </w:tr>
      <w:tr>
        <w:tc>
          <w:p>
            <w:pPr>
              <w:pStyle w:val="Compact"/>
              <w:jc w:val="left"/>
            </w:pPr>
            <w:r>
              <w:t xml:space="preserve">WEG</w:t>
            </w:r>
          </w:p>
        </w:tc>
        <w:tc>
          <w:p>
            <w:pPr>
              <w:pStyle w:val="Compact"/>
              <w:jc w:val="left"/>
            </w:pPr>
            <w:r>
              <w:t xml:space="preserve">0,939</w:t>
            </w:r>
          </w:p>
        </w:tc>
        <w:tc>
          <w:p>
            <w:pPr>
              <w:pStyle w:val="Compact"/>
              <w:jc w:val="left"/>
            </w:pPr>
            <w:r>
              <w:t xml:space="preserve">Khá</w:t>
            </w:r>
          </w:p>
        </w:tc>
      </w:tr>
      <w:tr>
        <w:tc>
          <w:p>
            <w:pPr>
              <w:pStyle w:val="Compact"/>
              <w:jc w:val="left"/>
            </w:pPr>
            <w:r>
              <w:t xml:space="preserve">COL</w:t>
            </w:r>
          </w:p>
        </w:tc>
        <w:tc>
          <w:p>
            <w:pPr>
              <w:pStyle w:val="Compact"/>
              <w:jc w:val="left"/>
            </w:pPr>
            <w:r>
              <w:t xml:space="preserve">0,939</w:t>
            </w:r>
          </w:p>
        </w:tc>
        <w:tc>
          <w:p>
            <w:pPr>
              <w:pStyle w:val="Compact"/>
              <w:jc w:val="left"/>
            </w:pPr>
            <w:r>
              <w:t xml:space="preserve">Khá</w:t>
            </w:r>
          </w:p>
        </w:tc>
      </w:tr>
    </w:tbl>
    <w:p>
      <w:pPr>
        <w:pStyle w:val="BodyText"/>
      </w:pPr>
      <w:r>
        <w:t xml:space="preserve">Quy ước: φ ≥ 0,95 tương đương; 0,90–0,95 khá.</w:t>
      </w:r>
      <w:r>
        <w:t xml:space="preserve"> </w:t>
      </w:r>
      <w:r>
        <w:rPr>
          <w:b/>
        </w:rPr>
        <w:t xml:space="preserve">GLO — biến quan trọng nhất cho so sánh nhóm — đạt φ = 0,994.</w:t>
      </w:r>
      <w:r>
        <w:t xml:space="preserve"> </w:t>
      </w:r>
      <w:r>
        <w:t xml:space="preserve">Đây là căn cứ quan trọng để giữ lại kết luận về khoảng cách Việt/nước ngoài.</w:t>
      </w:r>
    </w:p>
    <w:p>
      <w:pPr>
        <w:pStyle w:val="BodyText"/>
      </w:pPr>
      <w:r>
        <w:rPr>
          <w:b/>
        </w:rPr>
        <w:t xml:space="preserve">(c) Sàng lọc DIF cấp item</w:t>
      </w:r>
      <w:r>
        <w:t xml:space="preserve"> </w:t>
      </w:r>
      <w:r>
        <w:t xml:space="preserve">— hồi quy từng item theo điểm tiềm ẩn, nhóm, và tương tác:</w:t>
      </w:r>
    </w:p>
    <w:p>
      <w:pPr>
        <w:pStyle w:val="BodyText"/>
      </w:pPr>
      <w:r>
        <w:t xml:space="preserve">Kết quả:</w:t>
      </w:r>
      <w:r>
        <w:t xml:space="preserve"> </w:t>
      </w:r>
      <w:r>
        <w:rPr>
          <w:b/>
        </w:rPr>
        <w:t xml:space="preserve">4/21 item bị gắn cờ</w:t>
      </w:r>
      <w:r>
        <w:t xml:space="preserve"> </w:t>
      </w:r>
      <w:r>
        <w:t xml:space="preserve">(p &lt; 0,01): SAT_O5 (DIF đều), SAT_J1 và SAT_J3 (DIF không đều), OCM3 (DIF đều). Toàn bộ</w:t>
      </w:r>
      <w:r>
        <w:t xml:space="preserve"> </w:t>
      </w:r>
      <w:r>
        <w:rPr>
          <w:b/>
        </w:rPr>
        <w:t xml:space="preserve">8 item của GLO đều không bị gắn cờ</w:t>
      </w:r>
      <w:r>
        <w:t xml:space="preserve">.</w:t>
      </w:r>
    </w:p>
    <w:p>
      <w:pPr>
        <w:pStyle w:val="Heading3"/>
      </w:pPr>
      <w:bookmarkStart w:id="65" w:name="diễn-giải-đúng-mức"/>
      <w:r>
        <w:t xml:space="preserve">15.2. Diễn giải đúng mức</w:t>
      </w:r>
      <w:bookmarkEnd w:id="65"/>
    </w:p>
    <w:p>
      <w:pPr>
        <w:pStyle w:val="FirstParagraph"/>
      </w:pPr>
      <w:r>
        <w:t xml:space="preserve">Kết luận được phép rút ra: cấu trúc đo lường của GLO và phần lớn thang đo kết quả</w:t>
      </w:r>
      <w:r>
        <w:t xml:space="preserve"> </w:t>
      </w:r>
      <w:r>
        <w:rPr>
          <w:b/>
        </w:rPr>
        <w:t xml:space="preserve">tương đương ở mức khá đến tốt</w:t>
      </w:r>
      <w:r>
        <w:t xml:space="preserve"> </w:t>
      </w:r>
      <w:r>
        <w:t xml:space="preserve">giữa hai nhóm; khoảng cách d = 2,08 ở GLO</w:t>
      </w:r>
      <w:r>
        <w:t xml:space="preserve"> </w:t>
      </w:r>
      <w:r>
        <w:rPr>
          <w:b/>
        </w:rPr>
        <w:t xml:space="preserve">không phải là sản phẩm của việc hai nhóm hiểu thang đo khác nhau</w:t>
      </w:r>
      <w:r>
        <w:t xml:space="preserve">.</w:t>
      </w:r>
    </w:p>
    <w:p>
      <w:pPr>
        <w:pStyle w:val="BodyText"/>
      </w:pPr>
      <w:r>
        <w:t xml:space="preserve">Kết luận</w:t>
      </w:r>
      <w:r>
        <w:t xml:space="preserve"> </w:t>
      </w:r>
      <w:r>
        <w:rPr>
          <w:b/>
        </w:rPr>
        <w:t xml:space="preserve">không</w:t>
      </w:r>
      <w:r>
        <w:t xml:space="preserve"> </w:t>
      </w:r>
      <w:r>
        <w:t xml:space="preserve">được phép rút ra: đây chưa phải bất biến scalar. Không thể loại trừ hoàn toàn khả năng khác biệt intercept. Vì vậy khi viết bài phải ghi rõ:</w:t>
      </w:r>
      <w:r>
        <w:t xml:space="preserve"> </w:t>
      </w:r>
      <w:r>
        <w:rPr>
          <w:i/>
        </w:rPr>
        <w:t xml:space="preserve">“</w:t>
      </w:r>
      <w:r>
        <w:rPr>
          <w:i/>
        </w:rPr>
        <w:t xml:space="preserve">full scalar invariance could not be established due to the small expatriate subsample (n = 36); loading congruence and item-level DIF screening were used as small-sample alternatives</w:t>
      </w:r>
      <w:r>
        <w:rPr>
          <w:i/>
        </w:rPr>
        <w:t xml:space="preserve">”</w:t>
      </w:r>
      <w:r>
        <w:t xml:space="preserve">.</w:t>
      </w:r>
    </w:p>
    <w:p>
      <w:pPr>
        <w:pStyle w:val="BodyText"/>
      </w:pPr>
      <w:r>
        <w:t xml:space="preserve">Ba item hài lòng bị gắn cờ DIF là cảnh báo cụ thể: so sánh trung bình SAT_O và SAT_J giữa hai nhóm cần thận trọng hơn so sánh GLO.</w:t>
      </w:r>
    </w:p>
    <w:p>
      <w:pPr>
        <w:pStyle w:val="Heading2"/>
      </w:pPr>
      <w:bookmarkStart w:id="66" w:name="X9b14a977c35dacb7715a36e5678f37e689d22c1"/>
      <w:r>
        <w:t xml:space="preserve">15b. Cấu trúc lồng nhau và sai số chuẩn theo cụm</w:t>
      </w:r>
      <w:bookmarkEnd w:id="66"/>
    </w:p>
    <w:p>
      <w:pPr>
        <w:pStyle w:val="FirstParagraph"/>
      </w:pPr>
      <w:r>
        <w:t xml:space="preserve">281 cá nhân nằm trong 5 trường. Nếu bỏ qua cấu trúc này, sai số chuẩn bị đánh giá thấp và p-value bị thổi phồng. Ba phân tích đã được thực hiện:</w:t>
      </w:r>
    </w:p>
    <w:p>
      <w:pPr>
        <w:pStyle w:val="BodyText"/>
      </w:pPr>
      <w:r>
        <w:rPr>
          <w:b/>
        </w:rPr>
        <w:t xml:space="preserve">(a) Hệ số tương quan nội cụm ICC(1)</w:t>
      </w:r>
      <w:r>
        <w:t xml:space="preserve"> </w:t>
      </w:r>
      <w:r>
        <w:t xml:space="preserve">— phần phương sai do khác biệt giữa trường: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Biến</w:t>
            </w:r>
          </w:p>
        </w:tc>
        <w:tc>
          <w:tcPr>
            <w:tcBorders>
              <w:bottom w:val="single"/>
            </w:tcBorders>
            <w:vAlign w:val="bottom"/>
          </w:tcPr>
          <w:p>
            <w:pPr>
              <w:pStyle w:val="Compact"/>
              <w:jc w:val="left"/>
            </w:pPr>
            <w:r>
              <w:t xml:space="preserve">ICC(1)</w:t>
            </w:r>
          </w:p>
        </w:tc>
        <w:tc>
          <w:tcPr>
            <w:tcBorders>
              <w:bottom w:val="single"/>
            </w:tcBorders>
            <w:vAlign w:val="bottom"/>
          </w:tcPr>
          <w:p>
            <w:pPr>
              <w:pStyle w:val="Compact"/>
              <w:jc w:val="left"/>
            </w:pPr>
            <w:r>
              <w:t xml:space="preserve">Design effect</w:t>
            </w:r>
          </w:p>
        </w:tc>
        <w:tc>
          <w:tcPr>
            <w:tcBorders>
              <w:bottom w:val="single"/>
            </w:tcBorders>
            <w:vAlign w:val="bottom"/>
          </w:tcPr>
          <w:p>
            <w:pPr>
              <w:pStyle w:val="Compact"/>
              <w:jc w:val="left"/>
            </w:pPr>
            <w:r>
              <w:t xml:space="preserve">N hiệu dụng</w:t>
            </w:r>
          </w:p>
        </w:tc>
        <w:tc>
          <w:tcPr>
            <w:tcBorders>
              <w:bottom w:val="single"/>
            </w:tcBorders>
            <w:vAlign w:val="bottom"/>
          </w:tcPr>
          <w:p>
            <w:pPr>
              <w:pStyle w:val="Compact"/>
              <w:jc w:val="left"/>
            </w:pPr>
            <w:r>
              <w:t xml:space="preserve">Kết luận</w:t>
            </w:r>
          </w:p>
        </w:tc>
      </w:tr>
      <w:tr>
        <w:tc>
          <w:p>
            <w:pPr>
              <w:pStyle w:val="Compact"/>
              <w:jc w:val="left"/>
            </w:pPr>
            <w:r>
              <w:t xml:space="preserve">SAT_O</w:t>
            </w:r>
          </w:p>
        </w:tc>
        <w:tc>
          <w:p>
            <w:pPr>
              <w:pStyle w:val="Compact"/>
              <w:jc w:val="left"/>
            </w:pPr>
            <w:r>
              <w:t xml:space="preserve">0,112</w:t>
            </w:r>
          </w:p>
        </w:tc>
        <w:tc>
          <w:p>
            <w:pPr>
              <w:pStyle w:val="Compact"/>
              <w:jc w:val="left"/>
            </w:pPr>
            <w:r>
              <w:t xml:space="preserve">7,18</w:t>
            </w:r>
          </w:p>
        </w:tc>
        <w:tc>
          <w:p>
            <w:pPr>
              <w:pStyle w:val="Compact"/>
              <w:jc w:val="left"/>
            </w:pPr>
            <w:r>
              <w:t xml:space="preserve">39</w:t>
            </w:r>
          </w:p>
        </w:tc>
        <w:tc>
          <w:p>
            <w:pPr>
              <w:pStyle w:val="Compact"/>
              <w:jc w:val="left"/>
            </w:pPr>
            <w:r>
              <w:t xml:space="preserve">Có ảnh hưởng</w:t>
            </w:r>
          </w:p>
        </w:tc>
      </w:tr>
      <w:tr>
        <w:tc>
          <w:p>
            <w:pPr>
              <w:pStyle w:val="Compact"/>
              <w:jc w:val="left"/>
            </w:pPr>
            <w:r>
              <w:t xml:space="preserve">GLO</w:t>
            </w:r>
          </w:p>
        </w:tc>
        <w:tc>
          <w:p>
            <w:pPr>
              <w:pStyle w:val="Compact"/>
              <w:jc w:val="left"/>
            </w:pPr>
            <w:r>
              <w:t xml:space="preserve">0,081</w:t>
            </w:r>
          </w:p>
        </w:tc>
        <w:tc>
          <w:p>
            <w:pPr>
              <w:pStyle w:val="Compact"/>
              <w:jc w:val="left"/>
            </w:pPr>
            <w:r>
              <w:t xml:space="preserve">5,49</w:t>
            </w:r>
          </w:p>
        </w:tc>
        <w:tc>
          <w:p>
            <w:pPr>
              <w:pStyle w:val="Compact"/>
              <w:jc w:val="left"/>
            </w:pPr>
            <w:r>
              <w:t xml:space="preserve">51</w:t>
            </w:r>
          </w:p>
        </w:tc>
        <w:tc>
          <w:p>
            <w:pPr>
              <w:pStyle w:val="Compact"/>
              <w:jc w:val="left"/>
            </w:pPr>
            <w:r>
              <w:t xml:space="preserve">Có ảnh hưởng</w:t>
            </w:r>
          </w:p>
        </w:tc>
      </w:tr>
      <w:tr>
        <w:tc>
          <w:p>
            <w:pPr>
              <w:pStyle w:val="Compact"/>
              <w:jc w:val="left"/>
            </w:pPr>
            <w:r>
              <w:t xml:space="preserve">COL</w:t>
            </w:r>
          </w:p>
        </w:tc>
        <w:tc>
          <w:p>
            <w:pPr>
              <w:pStyle w:val="Compact"/>
              <w:jc w:val="left"/>
            </w:pPr>
            <w:r>
              <w:t xml:space="preserve">0,072</w:t>
            </w:r>
          </w:p>
        </w:tc>
        <w:tc>
          <w:p>
            <w:pPr>
              <w:pStyle w:val="Compact"/>
              <w:jc w:val="left"/>
            </w:pPr>
            <w:r>
              <w:t xml:space="preserve">4,99</w:t>
            </w:r>
          </w:p>
        </w:tc>
        <w:tc>
          <w:p>
            <w:pPr>
              <w:pStyle w:val="Compact"/>
              <w:jc w:val="left"/>
            </w:pPr>
            <w:r>
              <w:t xml:space="preserve">56</w:t>
            </w:r>
          </w:p>
        </w:tc>
        <w:tc>
          <w:p>
            <w:pPr>
              <w:pStyle w:val="Compact"/>
              <w:jc w:val="left"/>
            </w:pPr>
            <w:r>
              <w:t xml:space="preserve">Có ảnh hưởng</w:t>
            </w:r>
          </w:p>
        </w:tc>
      </w:tr>
      <w:tr>
        <w:tc>
          <w:p>
            <w:pPr>
              <w:pStyle w:val="Compact"/>
              <w:jc w:val="left"/>
            </w:pPr>
            <w:r>
              <w:t xml:space="preserve">TRU</w:t>
            </w:r>
          </w:p>
        </w:tc>
        <w:tc>
          <w:p>
            <w:pPr>
              <w:pStyle w:val="Compact"/>
              <w:jc w:val="left"/>
            </w:pPr>
            <w:r>
              <w:t xml:space="preserve">0,052</w:t>
            </w:r>
          </w:p>
        </w:tc>
        <w:tc>
          <w:p>
            <w:pPr>
              <w:pStyle w:val="Compact"/>
              <w:jc w:val="left"/>
            </w:pPr>
            <w:r>
              <w:t xml:space="preserve">3,84</w:t>
            </w:r>
          </w:p>
        </w:tc>
        <w:tc>
          <w:p>
            <w:pPr>
              <w:pStyle w:val="Compact"/>
              <w:jc w:val="left"/>
            </w:pPr>
            <w:r>
              <w:t xml:space="preserve">73</w:t>
            </w:r>
          </w:p>
        </w:tc>
        <w:tc>
          <w:p>
            <w:pPr>
              <w:pStyle w:val="Compact"/>
              <w:jc w:val="left"/>
            </w:pPr>
            <w:r>
              <w:t xml:space="preserve">Có ảnh hưởng</w:t>
            </w:r>
          </w:p>
        </w:tc>
      </w:tr>
      <w:tr>
        <w:tc>
          <w:p>
            <w:pPr>
              <w:pStyle w:val="Compact"/>
              <w:jc w:val="left"/>
            </w:pPr>
            <w:r>
              <w:t xml:space="preserve">PAR</w:t>
            </w:r>
          </w:p>
        </w:tc>
        <w:tc>
          <w:p>
            <w:pPr>
              <w:pStyle w:val="Compact"/>
              <w:jc w:val="left"/>
            </w:pPr>
            <w:r>
              <w:t xml:space="preserve">0,040</w:t>
            </w:r>
          </w:p>
        </w:tc>
        <w:tc>
          <w:p>
            <w:pPr>
              <w:pStyle w:val="Compact"/>
              <w:jc w:val="left"/>
            </w:pPr>
            <w:r>
              <w:t xml:space="preserve">3,19</w:t>
            </w:r>
          </w:p>
        </w:tc>
        <w:tc>
          <w:p>
            <w:pPr>
              <w:pStyle w:val="Compact"/>
              <w:jc w:val="left"/>
            </w:pPr>
            <w:r>
              <w:t xml:space="preserve">88</w:t>
            </w:r>
          </w:p>
        </w:tc>
        <w:tc>
          <w:p>
            <w:pPr>
              <w:pStyle w:val="Compact"/>
              <w:jc w:val="left"/>
            </w:pPr>
            <w:r>
              <w:t xml:space="preserve">Không đáng kể</w:t>
            </w:r>
          </w:p>
        </w:tc>
      </w:tr>
      <w:tr>
        <w:tc>
          <w:p>
            <w:pPr>
              <w:pStyle w:val="Compact"/>
              <w:jc w:val="left"/>
            </w:pPr>
            <w:r>
              <w:t xml:space="preserve">LED</w:t>
            </w:r>
          </w:p>
        </w:tc>
        <w:tc>
          <w:p>
            <w:pPr>
              <w:pStyle w:val="Compact"/>
              <w:jc w:val="left"/>
            </w:pPr>
            <w:r>
              <w:t xml:space="preserve">0,033</w:t>
            </w:r>
          </w:p>
        </w:tc>
        <w:tc>
          <w:p>
            <w:pPr>
              <w:pStyle w:val="Compact"/>
              <w:jc w:val="left"/>
            </w:pPr>
            <w:r>
              <w:t xml:space="preserve">2,81</w:t>
            </w:r>
          </w:p>
        </w:tc>
        <w:tc>
          <w:p>
            <w:pPr>
              <w:pStyle w:val="Compact"/>
              <w:jc w:val="left"/>
            </w:pPr>
            <w:r>
              <w:t xml:space="preserve">100</w:t>
            </w:r>
          </w:p>
        </w:tc>
        <w:tc>
          <w:p>
            <w:pPr>
              <w:pStyle w:val="Compact"/>
              <w:jc w:val="left"/>
            </w:pPr>
            <w:r>
              <w:t xml:space="preserve">Không đáng kể</w:t>
            </w:r>
          </w:p>
        </w:tc>
      </w:tr>
      <w:tr>
        <w:tc>
          <w:p>
            <w:pPr>
              <w:pStyle w:val="Compact"/>
              <w:jc w:val="left"/>
            </w:pPr>
            <w:r>
              <w:t xml:space="preserve">PRO</w:t>
            </w:r>
          </w:p>
        </w:tc>
        <w:tc>
          <w:p>
            <w:pPr>
              <w:pStyle w:val="Compact"/>
              <w:jc w:val="left"/>
            </w:pPr>
            <w:r>
              <w:t xml:space="preserve">0,026</w:t>
            </w:r>
          </w:p>
        </w:tc>
        <w:tc>
          <w:p>
            <w:pPr>
              <w:pStyle w:val="Compact"/>
              <w:jc w:val="left"/>
            </w:pPr>
            <w:r>
              <w:t xml:space="preserve">2,42</w:t>
            </w:r>
          </w:p>
        </w:tc>
        <w:tc>
          <w:p>
            <w:pPr>
              <w:pStyle w:val="Compact"/>
              <w:jc w:val="left"/>
            </w:pPr>
            <w:r>
              <w:t xml:space="preserve">116</w:t>
            </w:r>
          </w:p>
        </w:tc>
        <w:tc>
          <w:p>
            <w:pPr>
              <w:pStyle w:val="Compact"/>
              <w:jc w:val="left"/>
            </w:pPr>
            <w:r>
              <w:t xml:space="preserve">Không đáng kể</w:t>
            </w:r>
          </w:p>
        </w:tc>
      </w:tr>
      <w:tr>
        <w:tc>
          <w:p>
            <w:pPr>
              <w:pStyle w:val="Compact"/>
              <w:jc w:val="left"/>
            </w:pPr>
            <w:r>
              <w:t xml:space="preserve">WEG</w:t>
            </w:r>
          </w:p>
        </w:tc>
        <w:tc>
          <w:p>
            <w:pPr>
              <w:pStyle w:val="Compact"/>
              <w:jc w:val="left"/>
            </w:pPr>
            <w:r>
              <w:t xml:space="preserve">0,020</w:t>
            </w:r>
          </w:p>
        </w:tc>
        <w:tc>
          <w:p>
            <w:pPr>
              <w:pStyle w:val="Compact"/>
              <w:jc w:val="left"/>
            </w:pPr>
            <w:r>
              <w:t xml:space="preserve">2,12</w:t>
            </w:r>
          </w:p>
        </w:tc>
        <w:tc>
          <w:p>
            <w:pPr>
              <w:pStyle w:val="Compact"/>
              <w:jc w:val="left"/>
            </w:pPr>
            <w:r>
              <w:t xml:space="preserve">132</w:t>
            </w:r>
          </w:p>
        </w:tc>
        <w:tc>
          <w:p>
            <w:pPr>
              <w:pStyle w:val="Compact"/>
              <w:jc w:val="left"/>
            </w:pPr>
            <w:r>
              <w:t xml:space="preserve">Không đáng kể</w:t>
            </w:r>
          </w:p>
        </w:tc>
      </w:tr>
      <w:tr>
        <w:tc>
          <w:p>
            <w:pPr>
              <w:pStyle w:val="Compact"/>
              <w:jc w:val="left"/>
            </w:pPr>
            <w:r>
              <w:t xml:space="preserve">SAT_J</w:t>
            </w:r>
          </w:p>
        </w:tc>
        <w:tc>
          <w:p>
            <w:pPr>
              <w:pStyle w:val="Compact"/>
              <w:jc w:val="left"/>
            </w:pPr>
            <w:r>
              <w:t xml:space="preserve">0,018</w:t>
            </w:r>
          </w:p>
        </w:tc>
        <w:tc>
          <w:p>
            <w:pPr>
              <w:pStyle w:val="Compact"/>
              <w:jc w:val="left"/>
            </w:pPr>
            <w:r>
              <w:t xml:space="preserve">1,98</w:t>
            </w:r>
          </w:p>
        </w:tc>
        <w:tc>
          <w:p>
            <w:pPr>
              <w:pStyle w:val="Compact"/>
              <w:jc w:val="left"/>
            </w:pPr>
            <w:r>
              <w:t xml:space="preserve">142</w:t>
            </w:r>
          </w:p>
        </w:tc>
        <w:tc>
          <w:p>
            <w:pPr>
              <w:pStyle w:val="Compact"/>
              <w:jc w:val="left"/>
            </w:pPr>
            <w:r>
              <w:t xml:space="preserve">Không đáng kể</w:t>
            </w:r>
          </w:p>
        </w:tc>
      </w:tr>
      <w:tr>
        <w:tc>
          <w:p>
            <w:pPr>
              <w:pStyle w:val="Compact"/>
              <w:jc w:val="left"/>
            </w:pPr>
            <w:r>
              <w:t xml:space="preserve">OCM</w:t>
            </w:r>
          </w:p>
        </w:tc>
        <w:tc>
          <w:p>
            <w:pPr>
              <w:pStyle w:val="Compact"/>
              <w:jc w:val="left"/>
            </w:pPr>
            <w:r>
              <w:t xml:space="preserve">−0,002</w:t>
            </w:r>
          </w:p>
        </w:tc>
        <w:tc>
          <w:p>
            <w:pPr>
              <w:pStyle w:val="Compact"/>
              <w:jc w:val="left"/>
            </w:pPr>
            <w:r>
              <w:t xml:space="preserve">0,92</w:t>
            </w:r>
          </w:p>
        </w:tc>
        <w:tc>
          <w:p>
            <w:pPr>
              <w:pStyle w:val="Compact"/>
              <w:jc w:val="left"/>
            </w:pPr>
            <w:r>
              <w:t xml:space="preserve">306</w:t>
            </w:r>
          </w:p>
        </w:tc>
        <w:tc>
          <w:p>
            <w:pPr>
              <w:pStyle w:val="Compact"/>
              <w:jc w:val="left"/>
            </w:pPr>
            <w:r>
              <w:t xml:space="preserve">Không đáng kể</w:t>
            </w:r>
          </w:p>
        </w:tc>
      </w:tr>
    </w:tbl>
    <w:p>
      <w:pPr>
        <w:pStyle w:val="BodyText"/>
      </w:pPr>
      <w:r>
        <w:t xml:space="preserve">ICC ≥ 0,05 là ngưỡng thông dụng cho thấy cần tính đến cụm. Bốn biến vượt ngưỡng, trong đó có GLO và SAT_O.</w:t>
      </w:r>
    </w:p>
    <w:p>
      <w:pPr>
        <w:pStyle w:val="BodyText"/>
      </w:pPr>
      <w:r>
        <w:rPr>
          <w:b/>
        </w:rPr>
        <w:t xml:space="preserve">Điểm cần hiểu đúng:</w:t>
      </w:r>
      <w:r>
        <w:t xml:space="preserve"> </w:t>
      </w:r>
      <w:r>
        <w:t xml:space="preserve">N hiệu dụng của GLO chỉ khoảng 51 chứ không phải 281. Đây là lý do phải dùng sai số chuẩn theo cụm, và cũng là một giới hạn thực chất của nghiên cứu.</w:t>
      </w:r>
    </w:p>
    <w:p>
      <w:pPr>
        <w:pStyle w:val="BodyText"/>
      </w:pPr>
      <w:r>
        <w:rPr>
          <w:b/>
        </w:rPr>
        <w:t xml:space="preserve">(b) So sánh sai số chuẩn thường và theo cụm (cluster-robust, nhóm theo trường):</w:t>
      </w:r>
    </w:p>
    <w:p>
      <w:pPr>
        <w:pStyle w:val="BodyText"/>
      </w:pPr>
      <w:r>
        <w:t xml:space="preserve">Với 5 phương trình kết quả (VHCL dự báo cam kết tổ chức, hài lòng, gắn kết, phát triển chuyên môn):</w:t>
      </w:r>
    </w:p>
    <w:tbl>
      <w:tblPr>
        <w:tblStyle w:val="Table"/>
        <w:tblW w:type="pct" w:w="0.0"/>
        <w:tblLook w:firstRow="1"/>
      </w:tblPr>
      <w:tblGrid/>
      <w:tr>
        <w:trPr>
          <w:cnfStyle w:firstRow="1"/>
        </w:trPr>
        <w:tc>
          <w:tcPr>
            <w:tcBorders>
              <w:bottom w:val="single"/>
            </w:tcBorders>
            <w:vAlign w:val="bottom"/>
          </w:tcPr>
          <w:p>
            <w:pPr>
              <w:pStyle w:val="Compact"/>
              <w:jc w:val="left"/>
            </w:pPr>
            <w:r>
              <w:t xml:space="preserve">Biến kết quả</w:t>
            </w:r>
          </w:p>
        </w:tc>
        <w:tc>
          <w:tcPr>
            <w:tcBorders>
              <w:bottom w:val="single"/>
            </w:tcBorders>
            <w:vAlign w:val="bottom"/>
          </w:tcPr>
          <w:p>
            <w:pPr>
              <w:pStyle w:val="Compact"/>
              <w:jc w:val="left"/>
            </w:pPr>
            <w:r>
              <w:t xml:space="preserve">β của GLO</w:t>
            </w:r>
          </w:p>
        </w:tc>
        <w:tc>
          <w:tcPr>
            <w:tcBorders>
              <w:bottom w:val="single"/>
            </w:tcBorders>
            <w:vAlign w:val="bottom"/>
          </w:tcPr>
          <w:p>
            <w:pPr>
              <w:pStyle w:val="Compact"/>
              <w:jc w:val="left"/>
            </w:pPr>
            <w:r>
              <w:t xml:space="preserve">p thường</w:t>
            </w:r>
          </w:p>
        </w:tc>
        <w:tc>
          <w:tcPr>
            <w:tcBorders>
              <w:bottom w:val="single"/>
            </w:tcBorders>
            <w:vAlign w:val="bottom"/>
          </w:tcPr>
          <w:p>
            <w:pPr>
              <w:pStyle w:val="Compact"/>
              <w:jc w:val="left"/>
            </w:pPr>
            <w:r>
              <w:t xml:space="preserve">p theo cụm</w:t>
            </w:r>
          </w:p>
        </w:tc>
        <w:tc>
          <w:tcPr>
            <w:tcBorders>
              <w:bottom w:val="single"/>
            </w:tcBorders>
            <w:vAlign w:val="bottom"/>
          </w:tcPr>
          <w:p>
            <w:pPr>
              <w:pStyle w:val="Compact"/>
              <w:jc w:val="left"/>
            </w:pPr>
            <w:r>
              <w:t xml:space="preserve">Tỷ lệ SE</w:t>
            </w:r>
          </w:p>
        </w:tc>
        <w:tc>
          <w:tcPr>
            <w:tcBorders>
              <w:bottom w:val="single"/>
            </w:tcBorders>
            <w:vAlign w:val="bottom"/>
          </w:tcPr>
          <w:p>
            <w:pPr>
              <w:pStyle w:val="Compact"/>
              <w:jc w:val="left"/>
            </w:pPr>
            <w:r>
              <w:t xml:space="preserve">Kết luận</w:t>
            </w:r>
          </w:p>
        </w:tc>
      </w:tr>
      <w:tr>
        <w:tc>
          <w:p>
            <w:pPr>
              <w:pStyle w:val="Compact"/>
              <w:jc w:val="left"/>
            </w:pPr>
            <w:r>
              <w:t xml:space="preserve">OCM</w:t>
            </w:r>
          </w:p>
        </w:tc>
        <w:tc>
          <w:p>
            <w:pPr>
              <w:pStyle w:val="Compact"/>
              <w:jc w:val="left"/>
            </w:pPr>
            <w:r>
              <w:t xml:space="preserve">0,662</w:t>
            </w:r>
          </w:p>
        </w:tc>
        <w:tc>
          <w:p>
            <w:pPr>
              <w:pStyle w:val="Compact"/>
              <w:jc w:val="left"/>
            </w:pPr>
            <w:r>
              <w:t xml:space="preserve">&lt; 0,001</w:t>
            </w:r>
          </w:p>
        </w:tc>
        <w:tc>
          <w:p>
            <w:pPr>
              <w:pStyle w:val="Compact"/>
              <w:jc w:val="left"/>
            </w:pPr>
            <w:r>
              <w:t xml:space="preserve">&lt; 0,001</w:t>
            </w:r>
          </w:p>
        </w:tc>
        <w:tc>
          <w:p>
            <w:pPr>
              <w:pStyle w:val="Compact"/>
              <w:jc w:val="left"/>
            </w:pPr>
            <w:r>
              <w:t xml:space="preserve">1,83</w:t>
            </w:r>
          </w:p>
        </w:tc>
        <w:tc>
          <w:p>
            <w:pPr>
              <w:pStyle w:val="Compact"/>
              <w:jc w:val="left"/>
            </w:pPr>
            <w:r>
              <w:t xml:space="preserve">Không đổi</w:t>
            </w:r>
          </w:p>
        </w:tc>
      </w:tr>
      <w:tr>
        <w:tc>
          <w:p>
            <w:pPr>
              <w:pStyle w:val="Compact"/>
              <w:jc w:val="left"/>
            </w:pPr>
            <w:r>
              <w:t xml:space="preserve">SAT_O</w:t>
            </w:r>
          </w:p>
        </w:tc>
        <w:tc>
          <w:p>
            <w:pPr>
              <w:pStyle w:val="Compact"/>
              <w:jc w:val="left"/>
            </w:pPr>
            <w:r>
              <w:t xml:space="preserve">0,762</w:t>
            </w:r>
          </w:p>
        </w:tc>
        <w:tc>
          <w:p>
            <w:pPr>
              <w:pStyle w:val="Compact"/>
              <w:jc w:val="left"/>
            </w:pPr>
            <w:r>
              <w:t xml:space="preserve">&lt; 0,001</w:t>
            </w:r>
          </w:p>
        </w:tc>
        <w:tc>
          <w:p>
            <w:pPr>
              <w:pStyle w:val="Compact"/>
              <w:jc w:val="left"/>
            </w:pPr>
            <w:r>
              <w:t xml:space="preserve">&lt; 0,001</w:t>
            </w:r>
          </w:p>
        </w:tc>
        <w:tc>
          <w:p>
            <w:pPr>
              <w:pStyle w:val="Compact"/>
              <w:jc w:val="left"/>
            </w:pPr>
            <w:r>
              <w:t xml:space="preserve">1,03</w:t>
            </w:r>
          </w:p>
        </w:tc>
        <w:tc>
          <w:p>
            <w:pPr>
              <w:pStyle w:val="Compact"/>
              <w:jc w:val="left"/>
            </w:pPr>
            <w:r>
              <w:t xml:space="preserve">Không đổi</w:t>
            </w:r>
          </w:p>
        </w:tc>
      </w:tr>
      <w:tr>
        <w:tc>
          <w:p>
            <w:pPr>
              <w:pStyle w:val="Compact"/>
              <w:jc w:val="left"/>
            </w:pPr>
            <w:r>
              <w:t xml:space="preserve">SAT_J</w:t>
            </w:r>
          </w:p>
        </w:tc>
        <w:tc>
          <w:p>
            <w:pPr>
              <w:pStyle w:val="Compact"/>
              <w:jc w:val="left"/>
            </w:pPr>
            <w:r>
              <w:t xml:space="preserve">0,656</w:t>
            </w:r>
          </w:p>
        </w:tc>
        <w:tc>
          <w:p>
            <w:pPr>
              <w:pStyle w:val="Compact"/>
              <w:jc w:val="left"/>
            </w:pPr>
            <w:r>
              <w:t xml:space="preserve">&lt; 0,001</w:t>
            </w:r>
          </w:p>
        </w:tc>
        <w:tc>
          <w:p>
            <w:pPr>
              <w:pStyle w:val="Compact"/>
              <w:jc w:val="left"/>
            </w:pPr>
            <w:r>
              <w:t xml:space="preserve">&lt; 0,001</w:t>
            </w:r>
          </w:p>
        </w:tc>
        <w:tc>
          <w:p>
            <w:pPr>
              <w:pStyle w:val="Compact"/>
              <w:jc w:val="left"/>
            </w:pPr>
            <w:r>
              <w:t xml:space="preserve">1,22</w:t>
            </w:r>
          </w:p>
        </w:tc>
        <w:tc>
          <w:p>
            <w:pPr>
              <w:pStyle w:val="Compact"/>
              <w:jc w:val="left"/>
            </w:pPr>
            <w:r>
              <w:t xml:space="preserve">Không đổi</w:t>
            </w:r>
          </w:p>
        </w:tc>
      </w:tr>
      <w:tr>
        <w:tc>
          <w:p>
            <w:pPr>
              <w:pStyle w:val="Compact"/>
              <w:jc w:val="left"/>
            </w:pPr>
            <w:r>
              <w:t xml:space="preserve">WEG</w:t>
            </w:r>
          </w:p>
        </w:tc>
        <w:tc>
          <w:p>
            <w:pPr>
              <w:pStyle w:val="Compact"/>
              <w:jc w:val="left"/>
            </w:pPr>
            <w:r>
              <w:t xml:space="preserve">0,716</w:t>
            </w:r>
          </w:p>
        </w:tc>
        <w:tc>
          <w:p>
            <w:pPr>
              <w:pStyle w:val="Compact"/>
              <w:jc w:val="left"/>
            </w:pPr>
            <w:r>
              <w:t xml:space="preserve">&lt; 0,001</w:t>
            </w:r>
          </w:p>
        </w:tc>
        <w:tc>
          <w:p>
            <w:pPr>
              <w:pStyle w:val="Compact"/>
              <w:jc w:val="left"/>
            </w:pPr>
            <w:r>
              <w:t xml:space="preserve">&lt; 0,001</w:t>
            </w:r>
          </w:p>
        </w:tc>
        <w:tc>
          <w:p>
            <w:pPr>
              <w:pStyle w:val="Compact"/>
              <w:jc w:val="left"/>
            </w:pPr>
            <w:r>
              <w:t xml:space="preserve">1,95</w:t>
            </w:r>
          </w:p>
        </w:tc>
        <w:tc>
          <w:p>
            <w:pPr>
              <w:pStyle w:val="Compact"/>
              <w:jc w:val="left"/>
            </w:pPr>
            <w:r>
              <w:t xml:space="preserve">Không đổi</w:t>
            </w:r>
          </w:p>
        </w:tc>
      </w:tr>
      <w:tr>
        <w:tc>
          <w:p>
            <w:pPr>
              <w:pStyle w:val="Compact"/>
              <w:jc w:val="left"/>
            </w:pPr>
            <w:r>
              <w:t xml:space="preserve">PRO</w:t>
            </w:r>
          </w:p>
        </w:tc>
        <w:tc>
          <w:p>
            <w:pPr>
              <w:pStyle w:val="Compact"/>
              <w:jc w:val="left"/>
            </w:pPr>
            <w:r>
              <w:t xml:space="preserve">0,738</w:t>
            </w:r>
          </w:p>
        </w:tc>
        <w:tc>
          <w:p>
            <w:pPr>
              <w:pStyle w:val="Compact"/>
              <w:jc w:val="left"/>
            </w:pPr>
            <w:r>
              <w:t xml:space="preserve">&lt; 0,001</w:t>
            </w:r>
          </w:p>
        </w:tc>
        <w:tc>
          <w:p>
            <w:pPr>
              <w:pStyle w:val="Compact"/>
              <w:jc w:val="left"/>
            </w:pPr>
            <w:r>
              <w:t xml:space="preserve">&lt; 0,001</w:t>
            </w:r>
          </w:p>
        </w:tc>
        <w:tc>
          <w:p>
            <w:pPr>
              <w:pStyle w:val="Compact"/>
              <w:jc w:val="left"/>
            </w:pPr>
            <w:r>
              <w:t xml:space="preserve">2,05</w:t>
            </w:r>
          </w:p>
        </w:tc>
        <w:tc>
          <w:p>
            <w:pPr>
              <w:pStyle w:val="Compact"/>
              <w:jc w:val="left"/>
            </w:pPr>
            <w:r>
              <w:t xml:space="preserve">Không đổi</w:t>
            </w:r>
          </w:p>
        </w:tc>
      </w:tr>
    </w:tbl>
    <w:p>
      <w:pPr>
        <w:pStyle w:val="BodyText"/>
      </w:pPr>
      <w:r>
        <w:t xml:space="preserve">Sai số chuẩn tăng tới 2,05 lần khi tính đến cụm, nhưng</w:t>
      </w:r>
      <w:r>
        <w:t xml:space="preserve"> </w:t>
      </w:r>
      <w:r>
        <w:rPr>
          <w:b/>
        </w:rPr>
        <w:t xml:space="preserve">toàn bộ kết luận giữ nguyên</w:t>
      </w:r>
      <w:r>
        <w:t xml:space="preserve">. Đây là bằng chứng mạnh cho tính vững của phát hiện trung tâm.</w:t>
      </w:r>
    </w:p>
    <w:p>
      <w:pPr>
        <w:pStyle w:val="BodyText"/>
      </w:pPr>
      <w:r>
        <w:rPr>
          <w:b/>
        </w:rPr>
        <w:t xml:space="preserve">(c) Phương trình tiền đề của GLO:</w:t>
      </w:r>
      <w:r>
        <w:t xml:space="preserve"> </w:t>
      </w:r>
      <w:r>
        <w:t xml:space="preserve">hai hệ số</w:t>
      </w:r>
      <w:r>
        <w:t xml:space="preserve"> </w:t>
      </w:r>
      <w:r>
        <w:rPr>
          <w:b/>
        </w:rPr>
        <w:t xml:space="preserve">đổi kết luận</w:t>
      </w:r>
      <w:r>
        <w:t xml:space="preserve"> </w:t>
      </w:r>
      <w:r>
        <w:t xml:space="preserve">khi dùng SE theo cụm:</w:t>
      </w:r>
    </w:p>
    <w:p>
      <w:pPr>
        <w:numPr>
          <w:ilvl w:val="0"/>
          <w:numId w:val="1041"/>
        </w:numPr>
        <w:pStyle w:val="Compact"/>
      </w:pPr>
      <w:r>
        <w:t xml:space="preserve">STR (chiến lược): p tăng từ 0,012 lên 0,067 →</w:t>
      </w:r>
      <w:r>
        <w:t xml:space="preserve"> </w:t>
      </w:r>
      <w:r>
        <w:rPr>
          <w:b/>
        </w:rPr>
        <w:t xml:space="preserve">mất ý nghĩa</w:t>
      </w:r>
    </w:p>
    <w:p>
      <w:pPr>
        <w:numPr>
          <w:ilvl w:val="0"/>
          <w:numId w:val="1041"/>
        </w:numPr>
        <w:pStyle w:val="Compact"/>
      </w:pPr>
      <w:r>
        <w:t xml:space="preserve">RES (trách nhiệm): p tăng từ 0,049 lên 0,120 →</w:t>
      </w:r>
      <w:r>
        <w:t xml:space="preserve"> </w:t>
      </w:r>
      <w:r>
        <w:rPr>
          <w:b/>
        </w:rPr>
        <w:t xml:space="preserve">mất ý nghĩa</w:t>
      </w:r>
    </w:p>
    <w:p>
      <w:pPr>
        <w:pStyle w:val="FirstParagraph"/>
      </w:pPr>
      <w:r>
        <w:t xml:space="preserve">Các hệ số mạnh (COL, LED, OPE, SHA, NOR) giữ nguyên ý nghĩa. Khi công bố, hai hệ số STR và RES phải được báo cáo là không vững trước hiệu chỉnh cụm.</w:t>
      </w:r>
    </w:p>
    <w:p>
      <w:pPr>
        <w:pStyle w:val="BodyText"/>
      </w:pPr>
      <w:r>
        <w:rPr>
          <w:b/>
        </w:rPr>
        <w:t xml:space="preserve">(d) Mô hình hỗn hợp (random intercept theo trường)</w:t>
      </w:r>
      <w:r>
        <w:t xml:space="preserve"> </w:t>
      </w:r>
      <w:r>
        <w:t xml:space="preserve">xác nhận cùng kết luận, với ICC mô hình 0,000–0,090.</w:t>
      </w:r>
    </w:p>
    <w:p>
      <w:pPr>
        <w:pStyle w:val="Heading2"/>
      </w:pPr>
      <w:bookmarkStart w:id="67" w:name="cách-diễn-giải-kết-quả-đúng-mức"/>
      <w:r>
        <w:t xml:space="preserve">16. Cách diễn giải kết quả đúng mức</w:t>
      </w:r>
      <w:bookmarkEnd w:id="67"/>
    </w:p>
    <w:p>
      <w:pPr>
        <w:pStyle w:val="FirstParagraph"/>
      </w:pPr>
      <w:r>
        <w:t xml:space="preserve">Nên viết:</w:t>
      </w:r>
    </w:p>
    <w:p>
      <w:pPr>
        <w:numPr>
          <w:ilvl w:val="0"/>
          <w:numId w:val="1042"/>
        </w:numPr>
        <w:pStyle w:val="Compact"/>
      </w:pPr>
      <w:r>
        <w:t xml:space="preserve">“</w:t>
      </w:r>
      <w:r>
        <w:t xml:space="preserve">COL có quan hệ dự báo dương với GLO.</w:t>
      </w:r>
      <w:r>
        <w:t xml:space="preserve">”</w:t>
      </w:r>
    </w:p>
    <w:p>
      <w:pPr>
        <w:numPr>
          <w:ilvl w:val="0"/>
          <w:numId w:val="1042"/>
        </w:numPr>
        <w:pStyle w:val="Compact"/>
      </w:pPr>
      <w:r>
        <w:t xml:space="preserve">“</w:t>
      </w:r>
      <w:r>
        <w:t xml:space="preserve">M3 phù hợp tốt hơn M2 trong tập mô hình được so sánh.</w:t>
      </w:r>
      <w:r>
        <w:t xml:space="preserve">”</w:t>
      </w:r>
    </w:p>
    <w:p>
      <w:pPr>
        <w:numPr>
          <w:ilvl w:val="0"/>
          <w:numId w:val="1042"/>
        </w:numPr>
        <w:pStyle w:val="Compact"/>
      </w:pPr>
      <w:r>
        <w:t xml:space="preserve">“</w:t>
      </w:r>
      <w:r>
        <w:t xml:space="preserve">Dữ liệu ủng hộ một phần H1–H6.</w:t>
      </w:r>
      <w:r>
        <w:t xml:space="preserve">”</w:t>
      </w:r>
    </w:p>
    <w:p>
      <w:pPr>
        <w:numPr>
          <w:ilvl w:val="0"/>
          <w:numId w:val="1042"/>
        </w:numPr>
        <w:pStyle w:val="Compact"/>
      </w:pPr>
      <w:r>
        <w:t xml:space="preserve">“</w:t>
      </w:r>
      <w:r>
        <w:t xml:space="preserve">Khoảng cách Việt Nam–nước ngoài cần được kiểm tra thêm bằng bất biến đo lường và dữ liệu định tính.</w:t>
      </w:r>
      <w:r>
        <w:t xml:space="preserve">”</w:t>
      </w:r>
    </w:p>
    <w:p>
      <w:pPr>
        <w:pStyle w:val="FirstParagraph"/>
      </w:pPr>
      <w:r>
        <w:t xml:space="preserve">Không nên viết:</w:t>
      </w:r>
    </w:p>
    <w:p>
      <w:pPr>
        <w:numPr>
          <w:ilvl w:val="0"/>
          <w:numId w:val="1043"/>
        </w:numPr>
        <w:pStyle w:val="Compact"/>
      </w:pPr>
      <w:r>
        <w:t xml:space="preserve">“</w:t>
      </w:r>
      <w:r>
        <w:t xml:space="preserve">Giao tiếp gây ra văn hóa chất lượng.</w:t>
      </w:r>
      <w:r>
        <w:t xml:space="preserve">”</w:t>
      </w:r>
    </w:p>
    <w:p>
      <w:pPr>
        <w:numPr>
          <w:ilvl w:val="0"/>
          <w:numId w:val="1043"/>
        </w:numPr>
        <w:pStyle w:val="Compact"/>
      </w:pPr>
      <w:r>
        <w:t xml:space="preserve">“</w:t>
      </w:r>
      <w:r>
        <w:t xml:space="preserve">M3 đã chứng minh mô hình lý thuyết đúng.</w:t>
      </w:r>
      <w:r>
        <w:t xml:space="preserve">”</w:t>
      </w:r>
    </w:p>
    <w:p>
      <w:pPr>
        <w:numPr>
          <w:ilvl w:val="0"/>
          <w:numId w:val="1043"/>
        </w:numPr>
        <w:pStyle w:val="Compact"/>
      </w:pPr>
      <w:r>
        <w:t xml:space="preserve">“</w:t>
      </w:r>
      <w:r>
        <w:t xml:space="preserve">Quốc tịch là nguyên nhân làm người nước ngoài đánh giá thấp.</w:t>
      </w:r>
      <w:r>
        <w:t xml:space="preserve">”</w:t>
      </w:r>
    </w:p>
    <w:p>
      <w:pPr>
        <w:numPr>
          <w:ilvl w:val="0"/>
          <w:numId w:val="1043"/>
        </w:numPr>
        <w:pStyle w:val="Compact"/>
      </w:pPr>
      <w:r>
        <w:t xml:space="preserve">“</w:t>
      </w:r>
      <w:r>
        <w:t xml:space="preserve">Harman dưới 50% chứng minh không có phương sai phương pháp chung.</w:t>
      </w:r>
      <w:r>
        <w:t xml:space="preserve">”</w:t>
      </w:r>
    </w:p>
    <w:p>
      <w:pPr>
        <w:numPr>
          <w:ilvl w:val="0"/>
          <w:numId w:val="1043"/>
        </w:numPr>
        <w:pStyle w:val="Compact"/>
      </w:pPr>
      <w:r>
        <w:t xml:space="preserve">“</w:t>
      </w:r>
      <w:r>
        <w:t xml:space="preserve">Alpha cao chứng minh thang đo có giá trị.</w:t>
      </w:r>
      <w:r>
        <w:t xml:space="preserve">”</w:t>
      </w:r>
    </w:p>
    <w:p>
      <w:pPr>
        <w:pStyle w:val="Heading2"/>
      </w:pPr>
      <w:bookmarkStart w:id="68" w:name="quy-trình-tái-lập-phân-tích"/>
      <w:r>
        <w:t xml:space="preserve">17. Quy trình tái lập phân tích</w:t>
      </w:r>
      <w:bookmarkEnd w:id="68"/>
    </w:p>
    <w:p>
      <w:pPr>
        <w:numPr>
          <w:ilvl w:val="0"/>
          <w:numId w:val="1044"/>
        </w:numPr>
      </w:pPr>
      <w:r>
        <w:t xml:space="preserve">Mở</w:t>
      </w:r>
      <w:r>
        <w:t xml:space="preserve"> </w:t>
      </w:r>
      <w:r>
        <w:rPr>
          <w:rStyle w:val="VerbatimChar"/>
        </w:rPr>
        <w:t xml:space="preserve">Phan_Tich_VHCL.ipynb</w:t>
      </w:r>
      <w:r>
        <w:t xml:space="preserve">.</w:t>
      </w:r>
    </w:p>
    <w:p>
      <w:pPr>
        <w:numPr>
          <w:ilvl w:val="0"/>
          <w:numId w:val="1044"/>
        </w:numPr>
      </w:pPr>
      <w:r>
        <w:t xml:space="preserve">Xác nhận đường dẫn dữ liệu đến bản v1.3.</w:t>
      </w:r>
    </w:p>
    <w:p>
      <w:pPr>
        <w:numPr>
          <w:ilvl w:val="0"/>
          <w:numId w:val="1044"/>
        </w:numPr>
      </w:pPr>
      <w:r>
        <w:t xml:space="preserve">Chạy toàn bộ từ đầu trong kernel sạch.</w:t>
      </w:r>
    </w:p>
    <w:p>
      <w:pPr>
        <w:numPr>
          <w:ilvl w:val="0"/>
          <w:numId w:val="1044"/>
        </w:numPr>
      </w:pPr>
      <w:r>
        <w:t xml:space="preserve">Kiểm tra N = 281 và missing = 0.</w:t>
      </w:r>
    </w:p>
    <w:p>
      <w:pPr>
        <w:numPr>
          <w:ilvl w:val="0"/>
          <w:numId w:val="1044"/>
        </w:numPr>
      </w:pPr>
      <w:r>
        <w:t xml:space="preserve">Kiểm tra bảng alpha và các biến bị loại.</w:t>
      </w:r>
    </w:p>
    <w:p>
      <w:pPr>
        <w:numPr>
          <w:ilvl w:val="0"/>
          <w:numId w:val="1044"/>
        </w:numPr>
      </w:pPr>
      <w:r>
        <w:t xml:space="preserve">Kiểm tra EFA, CR/AVE, Fornell–Larcker và HTMT.</w:t>
      </w:r>
    </w:p>
    <w:p>
      <w:pPr>
        <w:numPr>
          <w:ilvl w:val="0"/>
          <w:numId w:val="1044"/>
        </w:numPr>
      </w:pPr>
      <w:r>
        <w:t xml:space="preserve">Kiểm tra các biến tổng hợp.</w:t>
      </w:r>
    </w:p>
    <w:p>
      <w:pPr>
        <w:numPr>
          <w:ilvl w:val="0"/>
          <w:numId w:val="1044"/>
        </w:numPr>
      </w:pPr>
      <w:r>
        <w:t xml:space="preserve">Chạy tương quan, t-test, ANOVA và hồi quy.</w:t>
      </w:r>
    </w:p>
    <w:p>
      <w:pPr>
        <w:numPr>
          <w:ilvl w:val="0"/>
          <w:numId w:val="1044"/>
        </w:numPr>
      </w:pPr>
      <w:r>
        <w:t xml:space="preserve">Chạy M1–M4 và robustness.</w:t>
      </w:r>
    </w:p>
    <w:p>
      <w:pPr>
        <w:numPr>
          <w:ilvl w:val="0"/>
          <w:numId w:val="1044"/>
        </w:numPr>
      </w:pPr>
      <w:r>
        <w:t xml:space="preserve">Chạy trung gian bootstrap.</w:t>
      </w:r>
    </w:p>
    <w:p>
      <w:pPr>
        <w:numPr>
          <w:ilvl w:val="0"/>
          <w:numId w:val="1044"/>
        </w:numPr>
      </w:pPr>
      <w:r>
        <w:t xml:space="preserve">Chạy PLS-SEM (mục 11b) và so sánh kết luận giả thuyết với semopy.</w:t>
      </w:r>
    </w:p>
    <w:p>
      <w:pPr>
        <w:numPr>
          <w:ilvl w:val="0"/>
          <w:numId w:val="1044"/>
        </w:numPr>
      </w:pPr>
      <w:r>
        <w:t xml:space="preserve">CB-SEM đầy đủ đã được bật sẵn (</w:t>
      </w:r>
      <w:r>
        <w:rPr>
          <w:rStyle w:val="VerbatimChar"/>
        </w:rPr>
        <w:t xml:space="preserve">RUN_FULL_SEM = True</w:t>
      </w:r>
      <w:r>
        <w:t xml:space="preserve">); đọc kết quả như bằng chứng chẩn đoán, không dùng hệ số cấu trúc của nó.</w:t>
      </w:r>
    </w:p>
    <w:p>
      <w:pPr>
        <w:numPr>
          <w:ilvl w:val="0"/>
          <w:numId w:val="1044"/>
        </w:numPr>
      </w:pPr>
      <w:r>
        <w:t xml:space="preserve">So sánh toàn bộ file CSV/JSON mới với bảng trong chuyên đề. Phiên bản tiếng Anh</w:t>
      </w:r>
      <w:r>
        <w:t xml:space="preserve"> </w:t>
      </w:r>
      <w:r>
        <w:rPr>
          <w:rStyle w:val="VerbatimChar"/>
        </w:rPr>
        <w:t xml:space="preserve">Quality_Culture_Analysis_EN.ipynb</w:t>
      </w:r>
      <w:r>
        <w:t xml:space="preserve"> </w:t>
      </w:r>
      <w:r>
        <w:t xml:space="preserve">cho kết quả tương đương trong thư mục</w:t>
      </w:r>
      <w:r>
        <w:t xml:space="preserve"> </w:t>
      </w:r>
      <w:r>
        <w:rPr>
          <w:rStyle w:val="VerbatimChar"/>
        </w:rPr>
        <w:t xml:space="preserve">results_en</w:t>
      </w:r>
      <w:r>
        <w:t xml:space="preserve">.</w:t>
      </w:r>
    </w:p>
    <w:p>
      <w:pPr>
        <w:numPr>
          <w:ilvl w:val="0"/>
          <w:numId w:val="1044"/>
        </w:numPr>
        <w:pStyle w:val="Heading2"/>
      </w:pPr>
      <w:bookmarkStart w:id="69" w:name="tóm-tắt"/>
      <w:r>
        <w:t xml:space="preserve">Tóm tắt</w:t>
      </w:r>
      <w:bookmarkEnd w:id="69"/>
    </w:p>
    <w:p>
      <w:pPr>
        <w:pStyle w:val="FirstParagraph"/>
      </w:pPr>
      <w:r>
        <w:t xml:space="preserve">Nghiên cứu có quy trình phân tích khá đầy đủ, đi từ mô tả dữ liệu, độ tin cậy, EFA, giá trị hội tụ/phân biệt đến hồi quy, mô hình đường dẫn, trung gian và mô hình cạnh tranh. Điểm mạnh nhất là tác giả không che giấu HTMT cao hoặc độ phù hợp chưa tối ưu mà dùng chúng để phát triển mô hình cạnh tranh.</w:t>
      </w:r>
    </w:p>
    <w:p>
      <w:pPr>
        <w:pStyle w:val="BodyText"/>
      </w:pPr>
      <w:r>
        <w:t xml:space="preserve">Điểm cần giữ thái độ thận trọng là: dữ liệu cắt ngang tự báo cáo; chồng lấn khái niệm (HTMT cao ở ba cụm); SHA và RES chỉ có hai biến; RMSEA của M3 vẫn cao; CB-SEM đầy đủ cho nghiệm không hợp lệ; bất biến scalar chưa thiết lập được (n = 36); và N hiệu dụng của GLO chỉ khoảng 51 sau khi tính đến cấu trúc cụm. Bù lại, PLS-SEM với bootstrap đã cung cấp lớp kiểm chứng tiềm ẩn cho thấy toàn bộ AVE đạt chuẩn và kết luận giả thuyết không đổi. Nghiên cứu hiện cung cấp bằng chứng dự báo thống kê được kiểm chứng chéo khá vững, nhưng vẫn chưa phải bằng chứng nhân quả.</w:t>
      </w:r>
    </w:p>
    <w:p>
      <w:pPr>
        <w:pStyle w:val="Heading2"/>
      </w:pPr>
      <w:bookmarkStart w:id="70" w:name="tài-liệu-nền-tảng-được-sử-dụng"/>
      <w:r>
        <w:t xml:space="preserve">Tài liệu nền tảng được sử dụng</w:t>
      </w:r>
      <w:bookmarkEnd w:id="70"/>
    </w:p>
    <w:p>
      <w:pPr>
        <w:numPr>
          <w:ilvl w:val="0"/>
          <w:numId w:val="1045"/>
        </w:numPr>
        <w:pStyle w:val="Compact"/>
      </w:pPr>
      <w:r>
        <w:t xml:space="preserve">Bendermacher, G. W. G., Oude Egbrink, M. G. A., Wolfhagen, I. H. A. P., &amp; Dolmans, D. H. J. M. (2017). Unravelling quality culture in higher education: A realist review.</w:t>
      </w:r>
      <w:r>
        <w:t xml:space="preserve"> </w:t>
      </w:r>
      <w:r>
        <w:rPr>
          <w:i/>
        </w:rPr>
        <w:t xml:space="preserve">Higher Education</w:t>
      </w:r>
      <w:r>
        <w:t xml:space="preserve">.</w:t>
      </w:r>
    </w:p>
    <w:p>
      <w:pPr>
        <w:numPr>
          <w:ilvl w:val="0"/>
          <w:numId w:val="1045"/>
        </w:numPr>
        <w:pStyle w:val="Compact"/>
      </w:pPr>
      <w:r>
        <w:t xml:space="preserve">Ehlers, U. D. (2009). Understanding quality culture.</w:t>
      </w:r>
      <w:r>
        <w:t xml:space="preserve"> </w:t>
      </w:r>
      <w:r>
        <w:rPr>
          <w:i/>
        </w:rPr>
        <w:t xml:space="preserve">Quality Assurance in Education</w:t>
      </w:r>
      <w:r>
        <w:t xml:space="preserve">.</w:t>
      </w:r>
    </w:p>
    <w:p>
      <w:pPr>
        <w:numPr>
          <w:ilvl w:val="0"/>
          <w:numId w:val="1045"/>
        </w:numPr>
        <w:pStyle w:val="Compact"/>
      </w:pPr>
      <w:r>
        <w:t xml:space="preserve">European University Association. (2006).</w:t>
      </w:r>
      <w:r>
        <w:t xml:space="preserve"> </w:t>
      </w:r>
      <w:r>
        <w:rPr>
          <w:i/>
        </w:rPr>
        <w:t xml:space="preserve">Quality culture in European universities: A bottom-up approach</w:t>
      </w:r>
      <w:r>
        <w:t xml:space="preserve">.</w:t>
      </w:r>
    </w:p>
    <w:p>
      <w:pPr>
        <w:numPr>
          <w:ilvl w:val="0"/>
          <w:numId w:val="1045"/>
        </w:numPr>
        <w:pStyle w:val="Compact"/>
      </w:pPr>
      <w:r>
        <w:t xml:space="preserve">Fornell, C., &amp; Larcker, D. F. (1981). Evaluating structural equation models with unobservable variables and measurement error.</w:t>
      </w:r>
      <w:r>
        <w:t xml:space="preserve"> </w:t>
      </w:r>
      <w:r>
        <w:rPr>
          <w:i/>
        </w:rPr>
        <w:t xml:space="preserve">Journal of Marketing Research</w:t>
      </w:r>
      <w:r>
        <w:t xml:space="preserve">.</w:t>
      </w:r>
    </w:p>
    <w:p>
      <w:pPr>
        <w:numPr>
          <w:ilvl w:val="0"/>
          <w:numId w:val="1045"/>
        </w:numPr>
        <w:pStyle w:val="Compact"/>
      </w:pPr>
      <w:r>
        <w:t xml:space="preserve">Henseler, J., Ringle, C. M., &amp; Sarstedt, M. (2015). A new criterion for assessing discriminant validity in variance-based structural equation modeling.</w:t>
      </w:r>
      <w:r>
        <w:t xml:space="preserve"> </w:t>
      </w:r>
      <w:r>
        <w:rPr>
          <w:i/>
        </w:rPr>
        <w:t xml:space="preserve">Journal of the Academy of Marketing Science</w:t>
      </w:r>
      <w:r>
        <w:t xml:space="preserve">.</w:t>
      </w:r>
    </w:p>
    <w:p>
      <w:pPr>
        <w:numPr>
          <w:ilvl w:val="0"/>
          <w:numId w:val="1045"/>
        </w:numPr>
        <w:pStyle w:val="Compact"/>
      </w:pPr>
      <w:r>
        <w:t xml:space="preserve">Hair, J. F., Black, W. C., Babin, B. J., &amp; Anderson, R. E.</w:t>
      </w:r>
      <w:r>
        <w:t xml:space="preserve"> </w:t>
      </w:r>
      <w:r>
        <w:rPr>
          <w:i/>
        </w:rPr>
        <w:t xml:space="preserve">Multivariate Data Analysis</w:t>
      </w:r>
      <w:r>
        <w:t xml:space="preserve">.</w:t>
      </w:r>
    </w:p>
    <w:p>
      <w:pPr>
        <w:numPr>
          <w:ilvl w:val="0"/>
          <w:numId w:val="1045"/>
        </w:numPr>
        <w:pStyle w:val="Compact"/>
      </w:pPr>
      <w:r>
        <w:t xml:space="preserve">Kline, R. B.</w:t>
      </w:r>
      <w:r>
        <w:t xml:space="preserve"> </w:t>
      </w:r>
      <w:r>
        <w:rPr>
          <w:i/>
        </w:rPr>
        <w:t xml:space="preserve">Principles and Practice of Structural Equation Modeling</w:t>
      </w:r>
      <w:r>
        <w:t xml:space="preserve">.</w:t>
      </w:r>
    </w:p>
    <w:p>
      <w:pPr>
        <w:numPr>
          <w:ilvl w:val="0"/>
          <w:numId w:val="1045"/>
        </w:numPr>
        <w:pStyle w:val="Compact"/>
      </w:pPr>
      <w:r>
        <w:t xml:space="preserve">Nunnally, J. C., &amp; Bernstein, I. H.</w:t>
      </w:r>
      <w:r>
        <w:t xml:space="preserve"> </w:t>
      </w:r>
      <w:r>
        <w:rPr>
          <w:i/>
        </w:rPr>
        <w:t xml:space="preserve">Psychometric Theory</w:t>
      </w:r>
      <w:r>
        <w:t xml:space="preserve">.</w:t>
      </w:r>
    </w:p>
    <w:p>
      <w:pPr>
        <w:numPr>
          <w:ilvl w:val="0"/>
          <w:numId w:val="1045"/>
        </w:numPr>
        <w:pStyle w:val="Compact"/>
      </w:pPr>
      <w:r>
        <w:t xml:space="preserve">Preacher, K. J., &amp; Hayes, A. F. Các công trình về bootstrap và phân tích trung gian.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2026-07-21T05:28:46Z</dcterms:created>
  <dcterms:modified xsi:type="dcterms:W3CDTF">2026-07-21T05:28:46Z</dcterms:modified>
</cp:coreProperties>
</file>

<file path=docProps/custom.xml><?xml version="1.0" encoding="utf-8"?>
<Properties xmlns="http://schemas.openxmlformats.org/officeDocument/2006/custom-properties" xmlns:vt="http://schemas.openxmlformats.org/officeDocument/2006/docPropsVTypes"/>
</file>