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ừ-điển-thuật-ngữ-chuyên-môn"/>
      <w:r>
        <w:t xml:space="preserve">TỪ ĐIỂN THUẬT NGỮ CHUYÊN MÔN</w:t>
      </w:r>
      <w:bookmarkEnd w:id="20"/>
    </w:p>
    <w:p>
      <w:pPr>
        <w:pStyle w:val="Heading2"/>
      </w:pPr>
      <w:bookmarkStart w:id="21" w:name="X22ac2a1c48ee9397e753de987dec66cbf2994f2"/>
      <w:r>
        <w:t xml:space="preserve">Nghiên cứu văn hóa chất lượng và phân tích dữ liệu định lượng</w:t>
      </w:r>
      <w:bookmarkEnd w:id="21"/>
    </w:p>
    <w:p>
      <w:pPr>
        <w:pStyle w:val="FirstParagraph"/>
      </w:pPr>
      <w:r>
        <w:t xml:space="preserve">Tài liệu này giải thích các thuật ngữ theo ngôn ngữ dễ hiểu, đồng thời nêu cách sử dụng trong nghiên cứu.</w:t>
      </w:r>
    </w:p>
    <w:p>
      <w:pPr>
        <w:pStyle w:val="Heading2"/>
      </w:pPr>
      <w:bookmarkStart w:id="22" w:name="a.-thuật-ngữ-về-thiết-kế-nghiên-cứu"/>
      <w:r>
        <w:t xml:space="preserve">A. Thuật ngữ về thiết kế nghiên cứu</w:t>
      </w:r>
      <w:bookmarkEnd w:id="22"/>
    </w:p>
    <w:p>
      <w:pPr>
        <w:pStyle w:val="Heading3"/>
      </w:pPr>
      <w:bookmarkStart w:id="23" w:name="X9529f1208951e80312dd573da074c3915152fc1"/>
      <w:r>
        <w:t xml:space="preserve">Bảng hỏi tự báo cáo — Self-report questionnaire</w:t>
      </w:r>
      <w:bookmarkEnd w:id="23"/>
    </w:p>
    <w:p>
      <w:pPr>
        <w:pStyle w:val="FirstParagraph"/>
      </w:pPr>
      <w:r>
        <w:t xml:space="preserve">Người tham gia tự đánh giá suy nghĩ, thái độ hoặc hành vi của mình. Phương pháp này thuận tiện nhưng dễ chịu ảnh hưởng của mong muốn trả lời tích cực, trí nhớ và cách hiểu câu hỏi.</w:t>
      </w:r>
    </w:p>
    <w:p>
      <w:pPr>
        <w:pStyle w:val="Heading3"/>
      </w:pPr>
      <w:bookmarkStart w:id="24" w:name="biến-quan-sát-observed-variable-item"/>
      <w:r>
        <w:t xml:space="preserve">Biến quan sát — Observed variable / Item</w:t>
      </w:r>
      <w:bookmarkEnd w:id="24"/>
    </w:p>
    <w:p>
      <w:pPr>
        <w:pStyle w:val="FirstParagraph"/>
      </w:pPr>
      <w:r>
        <w:t xml:space="preserve">Câu hỏi hoặc chỉ báo được đo trực tiếp, ví dụ</w:t>
      </w:r>
      <w:r>
        <w:t xml:space="preserve"> </w:t>
      </w:r>
      <w:r>
        <w:t xml:space="preserve">“</w:t>
      </w:r>
      <w:r>
        <w:t xml:space="preserve">Lãnh đạo khuyến khích cải tiến chất lượng</w:t>
      </w:r>
      <w:r>
        <w:t xml:space="preserve">”</w:t>
      </w:r>
      <w:r>
        <w:t xml:space="preserve">. Nhiều biến quan sát được kết hợp để đo một khái niệm trừu tượng.</w:t>
      </w:r>
    </w:p>
    <w:p>
      <w:pPr>
        <w:pStyle w:val="Heading3"/>
      </w:pPr>
      <w:bookmarkStart w:id="25" w:name="biến-tiềm-ẩn-latent-variable-construct"/>
      <w:r>
        <w:t xml:space="preserve">Biến tiềm ẩn — Latent variable / Construct</w:t>
      </w:r>
      <w:bookmarkEnd w:id="25"/>
    </w:p>
    <w:p>
      <w:pPr>
        <w:pStyle w:val="FirstParagraph"/>
      </w:pPr>
      <w:r>
        <w:t xml:space="preserve">Khái niệm không đo trực tiếp được, như văn hóa chất lượng, sự tin tưởng hoặc cam kết tổ chức. Nó được suy ra từ nhiều biến quan sát.</w:t>
      </w:r>
    </w:p>
    <w:p>
      <w:pPr>
        <w:pStyle w:val="Heading3"/>
      </w:pPr>
      <w:bookmarkStart w:id="26" w:name="cỡ-mẫu-sample-size"/>
      <w:r>
        <w:t xml:space="preserve">Cỡ mẫu — Sample size</w:t>
      </w:r>
      <w:bookmarkEnd w:id="26"/>
    </w:p>
    <w:p>
      <w:pPr>
        <w:pStyle w:val="FirstParagraph"/>
      </w:pPr>
      <w:r>
        <w:t xml:space="preserve">Số người tham gia phân tích. Nghiên cứu có N = 281. Cỡ mẫu đủ hay không phụ thuộc số tham số, số nhóm, độ phức tạp mô hình và chất lượng dữ liệu; không có một ngưỡng duy nhất áp dụng cho mọi SEM.</w:t>
      </w:r>
    </w:p>
    <w:p>
      <w:pPr>
        <w:pStyle w:val="Heading3"/>
      </w:pPr>
      <w:bookmarkStart w:id="27" w:name="dữ-liệu-cắt-ngang-cross-sectional-data"/>
      <w:r>
        <w:t xml:space="preserve">Dữ liệu cắt ngang — Cross-sectional data</w:t>
      </w:r>
      <w:bookmarkEnd w:id="27"/>
    </w:p>
    <w:p>
      <w:pPr>
        <w:pStyle w:val="FirstParagraph"/>
      </w:pPr>
      <w:r>
        <w:t xml:space="preserve">Dữ liệu thu tại một thời điểm. Thiết kế này mô tả quan hệ hiện tại nhưng không xác lập thứ tự thời gian và không đủ để kết luận nhân quả.</w:t>
      </w:r>
    </w:p>
    <w:p>
      <w:pPr>
        <w:pStyle w:val="Heading3"/>
      </w:pPr>
      <w:bookmarkStart w:id="28" w:name="dữ-liệu-dọc-longitudinal-data"/>
      <w:r>
        <w:t xml:space="preserve">Dữ liệu dọc — Longitudinal data</w:t>
      </w:r>
      <w:bookmarkEnd w:id="28"/>
    </w:p>
    <w:p>
      <w:pPr>
        <w:pStyle w:val="FirstParagraph"/>
      </w:pPr>
      <w:r>
        <w:t xml:space="preserve">Dữ liệu thu lặp lại qua nhiều thời điểm. Dữ liệu dọc hỗ trợ nghiên cứu thay đổi và thứ tự thời gian tốt hơn dữ liệu cắt ngang.</w:t>
      </w:r>
    </w:p>
    <w:p>
      <w:pPr>
        <w:pStyle w:val="Heading3"/>
      </w:pPr>
      <w:bookmarkStart w:id="29" w:name="khái-quát-hóa-generalizability"/>
      <w:r>
        <w:t xml:space="preserve">Khái quát hóa — Generalizability</w:t>
      </w:r>
      <w:bookmarkEnd w:id="29"/>
    </w:p>
    <w:p>
      <w:pPr>
        <w:pStyle w:val="FirstParagraph"/>
      </w:pPr>
      <w:r>
        <w:t xml:space="preserve">Mức độ kết quả từ mẫu có thể áp dụng cho quần thể rộng hơn. Mẫu 281 người tại 5 trường không đại diện ngẫu nhiên cho toàn bộ trường phổ thông Việt Nam.</w:t>
      </w:r>
    </w:p>
    <w:p>
      <w:pPr>
        <w:pStyle w:val="Heading3"/>
      </w:pPr>
      <w:bookmarkStart w:id="30" w:name="mẫu-thuận-tiện-convenience-sample"/>
      <w:r>
        <w:t xml:space="preserve">Mẫu thuận tiện — Convenience sample</w:t>
      </w:r>
      <w:bookmarkEnd w:id="30"/>
    </w:p>
    <w:p>
      <w:pPr>
        <w:pStyle w:val="FirstParagraph"/>
      </w:pPr>
      <w:r>
        <w:t xml:space="preserve">Mẫu được chọn theo khả năng tiếp cận thay vì chọn ngẫu nhiên. Mẫu thuận tiện thường hạn chế khả năng khái quát hóa.</w:t>
      </w:r>
    </w:p>
    <w:p>
      <w:pPr>
        <w:pStyle w:val="Heading3"/>
      </w:pPr>
      <w:bookmarkStart w:id="31" w:name="Xe758157fab2427bf76f681c59c239df0f6c8502"/>
      <w:r>
        <w:t xml:space="preserve">Nghiên cứu định lượng — Quantitative research</w:t>
      </w:r>
      <w:bookmarkEnd w:id="31"/>
    </w:p>
    <w:p>
      <w:pPr>
        <w:pStyle w:val="FirstParagraph"/>
      </w:pPr>
      <w:r>
        <w:t xml:space="preserve">Nghiên cứu dùng dữ liệu số và mô hình thống kê để mô tả, so sánh hoặc kiểm định giả thuyết.</w:t>
      </w:r>
    </w:p>
    <w:p>
      <w:pPr>
        <w:pStyle w:val="Heading3"/>
      </w:pPr>
      <w:bookmarkStart w:id="32" w:name="X31cd0668b833fefdab58823ae50480c2a6704e6"/>
      <w:r>
        <w:t xml:space="preserve">Nghiên cứu định tính — Qualitative research</w:t>
      </w:r>
      <w:bookmarkEnd w:id="32"/>
    </w:p>
    <w:p>
      <w:pPr>
        <w:pStyle w:val="FirstParagraph"/>
      </w:pPr>
      <w:r>
        <w:t xml:space="preserve">Nghiên cứu dùng phỏng vấn, quan sát hoặc tài liệu để hiểu ý nghĩa, trải nghiệm và cơ chế. Phỏng vấn sâu đặc biệt hữu ích để giải thích khoảng cách Việt Nam–nước ngoài.</w:t>
      </w:r>
    </w:p>
    <w:p>
      <w:pPr>
        <w:pStyle w:val="Heading3"/>
      </w:pPr>
      <w:bookmarkStart w:id="33" w:name="phương-pháp-hỗn-hợp-mixed-methods"/>
      <w:r>
        <w:t xml:space="preserve">Phương pháp hỗn hợp — Mixed methods</w:t>
      </w:r>
      <w:bookmarkEnd w:id="33"/>
    </w:p>
    <w:p>
      <w:pPr>
        <w:pStyle w:val="FirstParagraph"/>
      </w:pPr>
      <w:r>
        <w:t xml:space="preserve">Kết hợp định lượng và định tính. Ví dụ, dùng khảo sát để xác định khoảng cách giữa nhóm, sau đó phỏng vấn để tìm nguyên nhân và bối cảnh.</w:t>
      </w:r>
    </w:p>
    <w:p>
      <w:pPr>
        <w:pStyle w:val="Heading3"/>
      </w:pPr>
      <w:bookmarkStart w:id="34" w:name="Xa3bb7f23efe0eee166304788b7d0ddde7584451"/>
      <w:r>
        <w:t xml:space="preserve">Quan hệ dự báo thống kê — Statistical predictive association</w:t>
      </w:r>
      <w:bookmarkEnd w:id="34"/>
    </w:p>
    <w:p>
      <w:pPr>
        <w:pStyle w:val="FirstParagraph"/>
      </w:pPr>
      <w:r>
        <w:t xml:space="preserve">Một biến giúp dự báo biến khác trong mô hình thống kê. Cụm từ này không đồng nghĩa với</w:t>
      </w:r>
      <w:r>
        <w:t xml:space="preserve"> </w:t>
      </w:r>
      <w:r>
        <w:t xml:space="preserve">“</w:t>
      </w:r>
      <w:r>
        <w:t xml:space="preserve">gây ra</w:t>
      </w:r>
      <w:r>
        <w:t xml:space="preserve">”</w:t>
      </w:r>
      <w:r>
        <w:t xml:space="preserve">.</w:t>
      </w:r>
    </w:p>
    <w:p>
      <w:pPr>
        <w:pStyle w:val="Heading3"/>
      </w:pPr>
      <w:bookmarkStart w:id="35" w:name="tương-quan-không-phải-nhân-quả"/>
      <w:r>
        <w:t xml:space="preserve">Tương quan không phải nhân quả</w:t>
      </w:r>
      <w:bookmarkEnd w:id="35"/>
    </w:p>
    <w:p>
      <w:pPr>
        <w:pStyle w:val="FirstParagraph"/>
      </w:pPr>
      <w:r>
        <w:t xml:space="preserve">Hai biến cùng thay đổi có thể do X ảnh hưởng Y, Y ảnh hưởng X, một biến thứ ba ảnh hưởng cả hai, hoặc sai số/phương pháp đo. Vì vậy hệ số tương quan cao không chứng minh cơ chế nhân quả.</w:t>
      </w:r>
    </w:p>
    <w:p>
      <w:pPr>
        <w:pStyle w:val="Heading2"/>
      </w:pPr>
      <w:bookmarkStart w:id="36" w:name="b.-thuật-ngữ-về-thang-đo"/>
      <w:r>
        <w:t xml:space="preserve">B. Thuật ngữ về thang đo</w:t>
      </w:r>
      <w:bookmarkEnd w:id="36"/>
    </w:p>
    <w:p>
      <w:pPr>
        <w:pStyle w:val="Heading3"/>
      </w:pPr>
      <w:bookmarkStart w:id="37" w:name="likert"/>
      <w:r>
        <w:t xml:space="preserve">Likert</w:t>
      </w:r>
      <w:bookmarkEnd w:id="37"/>
    </w:p>
    <w:p>
      <w:pPr>
        <w:pStyle w:val="FirstParagraph"/>
      </w:pPr>
      <w:r>
        <w:t xml:space="preserve">Thang trả lời theo mức độ đồng ý, hài lòng hoặc tần suất. Nghiên cứu dùng thang 6 mức cho phần lớn biến và 5 mức cho hai thang hài lòng.</w:t>
      </w:r>
    </w:p>
    <w:p>
      <w:pPr>
        <w:pStyle w:val="Heading3"/>
      </w:pPr>
      <w:bookmarkStart w:id="38" w:name="mã-hóa-đảo-reverse-coding"/>
      <w:r>
        <w:t xml:space="preserve">Mã hóa đảo — Reverse coding</w:t>
      </w:r>
      <w:bookmarkEnd w:id="38"/>
    </w:p>
    <w:p>
      <w:pPr>
        <w:pStyle w:val="FirstParagraph"/>
      </w:pPr>
      <w:r>
        <w:t xml:space="preserve">Chuyển điểm của câu hỏi phủ định để cùng chiều với câu hỏi tích cực. Với thang 1–6, công thức là 7 − x.</w:t>
      </w:r>
    </w:p>
    <w:p>
      <w:pPr>
        <w:pStyle w:val="Heading3"/>
      </w:pPr>
      <w:bookmarkStart w:id="39" w:name="hiệu-ứng-trần-ceiling-effect"/>
      <w:r>
        <w:t xml:space="preserve">Hiệu ứng trần — Ceiling effect</w:t>
      </w:r>
      <w:bookmarkEnd w:id="39"/>
    </w:p>
    <w:p>
      <w:pPr>
        <w:pStyle w:val="FirstParagraph"/>
      </w:pPr>
      <w:r>
        <w:t xml:space="preserve">Nhiều người đạt điểm gần mức tối đa, làm giảm khả năng phân biệt giữa người trả lời và có thể làm méo tương quan.</w:t>
      </w:r>
    </w:p>
    <w:p>
      <w:pPr>
        <w:pStyle w:val="Heading3"/>
      </w:pPr>
      <w:bookmarkStart w:id="40" w:name="hiệu-ứng-sàn-floor-effect"/>
      <w:r>
        <w:t xml:space="preserve">Hiệu ứng sàn — Floor effect</w:t>
      </w:r>
      <w:bookmarkEnd w:id="40"/>
    </w:p>
    <w:p>
      <w:pPr>
        <w:pStyle w:val="FirstParagraph"/>
      </w:pPr>
      <w:r>
        <w:t xml:space="preserve">Nhiều người đạt điểm gần mức tối thiểu.</w:t>
      </w:r>
    </w:p>
    <w:p>
      <w:pPr>
        <w:pStyle w:val="Heading3"/>
      </w:pPr>
      <w:bookmarkStart w:id="41" w:name="độ-giá-trị-nội-dung-content-validity"/>
      <w:r>
        <w:t xml:space="preserve">Độ giá trị nội dung — Content validity</w:t>
      </w:r>
      <w:bookmarkEnd w:id="41"/>
    </w:p>
    <w:p>
      <w:pPr>
        <w:pStyle w:val="FirstParagraph"/>
      </w:pPr>
      <w:r>
        <w:t xml:space="preserve">Mức độ các câu hỏi bao phủ đầy đủ nội hàm của khái niệm. Một thang chỉ có hai biến có thể nhất quán nhưng vẫn thiếu độ bao phủ nội dung.</w:t>
      </w:r>
    </w:p>
    <w:p>
      <w:pPr>
        <w:pStyle w:val="Heading3"/>
      </w:pPr>
      <w:bookmarkStart w:id="42" w:name="độ-giá-trị-cấu-trúc-construct-validity"/>
      <w:r>
        <w:t xml:space="preserve">Độ giá trị cấu trúc — Construct validity</w:t>
      </w:r>
      <w:bookmarkEnd w:id="42"/>
    </w:p>
    <w:p>
      <w:pPr>
        <w:pStyle w:val="FirstParagraph"/>
      </w:pPr>
      <w:r>
        <w:t xml:space="preserve">Mức độ bằng chứng cho thấy thang đo thực sự đo đúng khái niệm. Nó bao gồm giá trị hội tụ và giá trị phân biệt.</w:t>
      </w:r>
    </w:p>
    <w:p>
      <w:pPr>
        <w:pStyle w:val="Heading3"/>
      </w:pPr>
      <w:bookmarkStart w:id="43" w:name="độ-giá-trị-hội-tụ-convergent-validity"/>
      <w:r>
        <w:t xml:space="preserve">Độ giá trị hội tụ — Convergent validity</w:t>
      </w:r>
      <w:bookmarkEnd w:id="43"/>
    </w:p>
    <w:p>
      <w:pPr>
        <w:pStyle w:val="FirstParagraph"/>
      </w:pPr>
      <w:r>
        <w:t xml:space="preserve">Các biến dùng để đo cùng một khái niệm phải chia sẻ đủ phương sai và hội tụ với nhau. CR, AVE và tải nhân tố là các chỉ báo thường dùng.</w:t>
      </w:r>
    </w:p>
    <w:p>
      <w:pPr>
        <w:pStyle w:val="Heading3"/>
      </w:pPr>
      <w:bookmarkStart w:id="44" w:name="Xf8bd2b7482268343df31dc246da4dea0b4846f2"/>
      <w:r>
        <w:t xml:space="preserve">Độ giá trị phân biệt — Discriminant validity</w:t>
      </w:r>
      <w:bookmarkEnd w:id="44"/>
    </w:p>
    <w:p>
      <w:pPr>
        <w:pStyle w:val="FirstParagraph"/>
      </w:pPr>
      <w:r>
        <w:t xml:space="preserve">Hai khái niệm khác tên phải thực sự khác nhau trong dữ liệu. HTMT cao cho thấy ranh giới giữa hai khái niệm có thể không rõ.</w:t>
      </w:r>
    </w:p>
    <w:p>
      <w:pPr>
        <w:pStyle w:val="Heading3"/>
      </w:pPr>
      <w:bookmarkStart w:id="45" w:name="sai-số-đo-lường-measurement-error"/>
      <w:r>
        <w:t xml:space="preserve">Sai số đo lường — Measurement error</w:t>
      </w:r>
      <w:bookmarkEnd w:id="45"/>
    </w:p>
    <w:p>
      <w:pPr>
        <w:pStyle w:val="FirstParagraph"/>
      </w:pPr>
      <w:r>
        <w:t xml:space="preserve">Phần điểm số không phản ánh khái niệm thật, do câu hỏi, người trả lời, hoàn cảnh hoặc kỹ thuật đo. Path analysis trên điểm tổng hợp thường không mô hình hóa đầy đủ sai số này.</w:t>
      </w:r>
    </w:p>
    <w:p>
      <w:pPr>
        <w:pStyle w:val="Heading3"/>
      </w:pPr>
      <w:bookmarkStart w:id="46" w:name="Xc75ee468502e784290996f1e9d743041431f4b4"/>
      <w:r>
        <w:t xml:space="preserve">Tính bất biến đo lường — Measurement invariance</w:t>
      </w:r>
      <w:bookmarkEnd w:id="46"/>
    </w:p>
    <w:p>
      <w:pPr>
        <w:pStyle w:val="FirstParagraph"/>
      </w:pPr>
      <w:r>
        <w:t xml:space="preserve">Kiểm tra thang đo có hoạt động tương đương giữa các nhóm hay không. Đây là điều kiện quan trọng trước khi so sánh trung bình người Việt Nam và người nước ngoài.</w:t>
      </w:r>
    </w:p>
    <w:p>
      <w:pPr>
        <w:pStyle w:val="Heading2"/>
      </w:pPr>
      <w:bookmarkStart w:id="47" w:name="c.-thuật-ngữ-thống-kê-mô-tả"/>
      <w:r>
        <w:t xml:space="preserve">C. Thuật ngữ thống kê mô tả</w:t>
      </w:r>
      <w:bookmarkEnd w:id="47"/>
    </w:p>
    <w:p>
      <w:pPr>
        <w:pStyle w:val="Heading3"/>
      </w:pPr>
      <w:bookmarkStart w:id="48" w:name="trung-bình-mean"/>
      <w:r>
        <w:t xml:space="preserve">Trung bình — Mean</w:t>
      </w:r>
      <w:bookmarkEnd w:id="48"/>
    </w:p>
    <w:p>
      <w:pPr>
        <w:pStyle w:val="FirstParagraph"/>
      </w:pPr>
      <w:r>
        <w:t xml:space="preserve">Tổng điểm chia cho số quan sát. Trung bình nhạy với ngoại lệ.</w:t>
      </w:r>
    </w:p>
    <w:p>
      <w:pPr>
        <w:pStyle w:val="Heading3"/>
      </w:pPr>
      <w:bookmarkStart w:id="49" w:name="trung-vị-median"/>
      <w:r>
        <w:t xml:space="preserve">Trung vị — Median</w:t>
      </w:r>
      <w:bookmarkEnd w:id="49"/>
    </w:p>
    <w:p>
      <w:pPr>
        <w:pStyle w:val="FirstParagraph"/>
      </w:pPr>
      <w:r>
        <w:t xml:space="preserve">Giá trị nằm giữa khi sắp xếp dữ liệu. Trung vị ít nhạy với ngoại lệ hơn trung bình.</w:t>
      </w:r>
    </w:p>
    <w:p>
      <w:pPr>
        <w:pStyle w:val="Heading3"/>
      </w:pPr>
      <w:bookmarkStart w:id="50" w:name="độ-lệch-chuẩn-standard-deviation"/>
      <w:r>
        <w:t xml:space="preserve">Độ lệch chuẩn — Standard deviation</w:t>
      </w:r>
      <w:bookmarkEnd w:id="50"/>
    </w:p>
    <w:p>
      <w:pPr>
        <w:pStyle w:val="FirstParagraph"/>
      </w:pPr>
      <w:r>
        <w:t xml:space="preserve">Mức phân tán của điểm xung quanh trung bình. Độ lệch chuẩn nhỏ nghĩa là câu trả lời tập trung; lớn nghĩa là khác biệt nhiều.</w:t>
      </w:r>
    </w:p>
    <w:p>
      <w:pPr>
        <w:pStyle w:val="Heading3"/>
      </w:pPr>
      <w:bookmarkStart w:id="51" w:name="skewness-độ-lệch"/>
      <w:r>
        <w:t xml:space="preserve">Skewness — Độ lệch</w:t>
      </w:r>
      <w:bookmarkEnd w:id="51"/>
    </w:p>
    <w:p>
      <w:pPr>
        <w:pStyle w:val="FirstParagraph"/>
      </w:pPr>
      <w:r>
        <w:t xml:space="preserve">Mô tả phân phối nghiêng trái hoặc phải. Skewness âm thường xuất hiện khi nhiều người chọn điểm cao.</w:t>
      </w:r>
    </w:p>
    <w:p>
      <w:pPr>
        <w:pStyle w:val="Heading3"/>
      </w:pPr>
      <w:bookmarkStart w:id="52" w:name="kurtosis-độ-nhọn"/>
      <w:r>
        <w:t xml:space="preserve">Kurtosis — Độ nhọn</w:t>
      </w:r>
      <w:bookmarkEnd w:id="52"/>
    </w:p>
    <w:p>
      <w:pPr>
        <w:pStyle w:val="FirstParagraph"/>
      </w:pPr>
      <w:r>
        <w:t xml:space="preserve">Mô tả mức độ tập trung ở trung tâm và độ nặng của đuôi phân phối so với phân phối chuẩn.</w:t>
      </w:r>
    </w:p>
    <w:p>
      <w:pPr>
        <w:pStyle w:val="Heading3"/>
      </w:pPr>
      <w:bookmarkStart w:id="53" w:name="ngoại-lệ-outlier"/>
      <w:r>
        <w:t xml:space="preserve">Ngoại lệ — Outlier</w:t>
      </w:r>
      <w:bookmarkEnd w:id="53"/>
    </w:p>
    <w:p>
      <w:pPr>
        <w:pStyle w:val="FirstParagraph"/>
      </w:pPr>
      <w:r>
        <w:t xml:space="preserve">Quan sát khác biệt mạnh với phần còn lại. Ngoại lệ có thể là trường hợp thật hoặc lỗi dữ liệu; không nên xóa tự động.</w:t>
      </w:r>
    </w:p>
    <w:p>
      <w:pPr>
        <w:pStyle w:val="Heading2"/>
      </w:pPr>
      <w:bookmarkStart w:id="54" w:name="d.-độ-tin-cậy-và-phân-tích-nhân-tố"/>
      <w:r>
        <w:t xml:space="preserve">D. Độ tin cậy và phân tích nhân tố</w:t>
      </w:r>
      <w:bookmarkEnd w:id="54"/>
    </w:p>
    <w:p>
      <w:pPr>
        <w:pStyle w:val="Heading3"/>
      </w:pPr>
      <w:bookmarkStart w:id="55" w:name="cronbachs-alpha"/>
      <w:r>
        <w:t xml:space="preserve">Cronbach’s alpha</w:t>
      </w:r>
      <w:bookmarkEnd w:id="55"/>
    </w:p>
    <w:p>
      <w:pPr>
        <w:pStyle w:val="FirstParagraph"/>
      </w:pPr>
      <w:r>
        <w:t xml:space="preserve">Chỉ số độ nhất quán nội tại. Alpha ≥ 0,70 thường được chấp nhận. Alpha cao không chứng minh thang đo đơn hướng hoặc có giá trị phân biệt.</w:t>
      </w:r>
    </w:p>
    <w:p>
      <w:pPr>
        <w:pStyle w:val="Heading3"/>
      </w:pPr>
      <w:bookmarkStart w:id="56" w:name="citc-corrected-itemtotal-correlation"/>
      <w:r>
        <w:t xml:space="preserve">CITC — Corrected Item–Total Correlation</w:t>
      </w:r>
      <w:bookmarkEnd w:id="56"/>
    </w:p>
    <w:p>
      <w:pPr>
        <w:pStyle w:val="FirstParagraph"/>
      </w:pPr>
      <w:r>
        <w:t xml:space="preserve">Tương quan giữa một biến và tổng các biến còn lại trong thang đo. CITC &lt; 0,30 là dấu hiệu biến có thể không phù hợp.</w:t>
      </w:r>
    </w:p>
    <w:p>
      <w:pPr>
        <w:pStyle w:val="Heading3"/>
      </w:pPr>
      <w:bookmarkStart w:id="57" w:name="cr-composite-reliability"/>
      <w:r>
        <w:t xml:space="preserve">CR — Composite Reliability</w:t>
      </w:r>
      <w:bookmarkEnd w:id="57"/>
    </w:p>
    <w:p>
      <w:pPr>
        <w:pStyle w:val="FirstParagraph"/>
      </w:pPr>
      <w:r>
        <w:t xml:space="preserve">Độ tin cậy tổng hợp dựa trên tải nhân tố. Ngưỡng thường dùng là 0,70. Trong nghiên cứu, tất cả CR ≥ 0,766.</w:t>
      </w:r>
    </w:p>
    <w:p>
      <w:pPr>
        <w:pStyle w:val="Heading3"/>
      </w:pPr>
      <w:bookmarkStart w:id="58" w:name="ave-average-variance-extracted"/>
      <w:r>
        <w:t xml:space="preserve">AVE — Average Variance Extracted</w:t>
      </w:r>
      <w:bookmarkEnd w:id="58"/>
    </w:p>
    <w:p>
      <w:pPr>
        <w:pStyle w:val="FirstParagraph"/>
      </w:pPr>
      <w:r>
        <w:t xml:space="preserve">Phương sai trích trung bình. AVE = 0,50 nghĩa là nhân tố giải thích trung bình 50% phương sai các biến quan sát. PAR, ENG, WEG và PRO hơi dưới 0,50.</w:t>
      </w:r>
    </w:p>
    <w:p>
      <w:pPr>
        <w:pStyle w:val="Heading3"/>
      </w:pPr>
      <w:bookmarkStart w:id="59" w:name="efa-exploratory-factor-analysis"/>
      <w:r>
        <w:t xml:space="preserve">EFA — Exploratory Factor Analysis</w:t>
      </w:r>
      <w:bookmarkEnd w:id="59"/>
    </w:p>
    <w:p>
      <w:pPr>
        <w:pStyle w:val="FirstParagraph"/>
      </w:pPr>
      <w:r>
        <w:t xml:space="preserve">Phân tích nhân tố khám phá. EFA dùng khi muốn tìm cấu trúc nhân tố từ dữ liệu hoặc kiểm tra sơ bộ cấu trúc.</w:t>
      </w:r>
    </w:p>
    <w:p>
      <w:pPr>
        <w:pStyle w:val="Heading3"/>
      </w:pPr>
      <w:bookmarkStart w:id="60" w:name="cfa-confirmatory-factor-analysis"/>
      <w:r>
        <w:t xml:space="preserve">CFA — Confirmatory Factor Analysis</w:t>
      </w:r>
      <w:bookmarkEnd w:id="60"/>
    </w:p>
    <w:p>
      <w:pPr>
        <w:pStyle w:val="FirstParagraph"/>
      </w:pPr>
      <w:r>
        <w:t xml:space="preserve">Phân tích nhân tố khẳng định. CFA kiểm định một cấu trúc đã được lý thuyết xác định trước và trực tiếp mô hình hóa sai số đo lường.</w:t>
      </w:r>
    </w:p>
    <w:p>
      <w:pPr>
        <w:pStyle w:val="Heading3"/>
      </w:pPr>
      <w:bookmarkStart w:id="61" w:name="principal-axis-factoring-paf"/>
      <w:r>
        <w:t xml:space="preserve">Principal Axis Factoring — PAF</w:t>
      </w:r>
      <w:bookmarkEnd w:id="61"/>
    </w:p>
    <w:p>
      <w:pPr>
        <w:pStyle w:val="FirstParagraph"/>
      </w:pPr>
      <w:r>
        <w:t xml:space="preserve">Phương pháp trích nhân tố tập trung vào phương sai chung giữa các biến. Phù hợp với mục tiêu tìm khái niệm tiềm ẩn.</w:t>
      </w:r>
    </w:p>
    <w:p>
      <w:pPr>
        <w:pStyle w:val="Heading3"/>
      </w:pPr>
      <w:bookmarkStart w:id="62" w:name="promax"/>
      <w:r>
        <w:t xml:space="preserve">Promax</w:t>
      </w:r>
      <w:bookmarkEnd w:id="62"/>
    </w:p>
    <w:p>
      <w:pPr>
        <w:pStyle w:val="FirstParagraph"/>
      </w:pPr>
      <w:r>
        <w:t xml:space="preserve">Phép xoay chéo cho phép các nhân tố tương quan. Thích hợp khi các khái niệm xã hội có liên hệ với nhau.</w:t>
      </w:r>
    </w:p>
    <w:p>
      <w:pPr>
        <w:pStyle w:val="Heading3"/>
      </w:pPr>
      <w:bookmarkStart w:id="63" w:name="tải-nhân-tố-factor-loading"/>
      <w:r>
        <w:t xml:space="preserve">Tải nhân tố — Factor loading</w:t>
      </w:r>
      <w:bookmarkEnd w:id="63"/>
    </w:p>
    <w:p>
      <w:pPr>
        <w:pStyle w:val="FirstParagraph"/>
      </w:pPr>
      <w:r>
        <w:t xml:space="preserve">Mức độ biến quan sát gắn với nhân tố. Tải càng cao, biến càng đại diện tốt. Tải chéo cao cho thấy biến có thể đo nhiều hơn một nhân tố.</w:t>
      </w:r>
    </w:p>
    <w:p>
      <w:pPr>
        <w:pStyle w:val="Heading3"/>
      </w:pPr>
      <w:bookmarkStart w:id="64" w:name="tải-chéo-cross-loading"/>
      <w:r>
        <w:t xml:space="preserve">Tải chéo — Cross-loading</w:t>
      </w:r>
      <w:bookmarkEnd w:id="64"/>
    </w:p>
    <w:p>
      <w:pPr>
        <w:pStyle w:val="FirstParagraph"/>
      </w:pPr>
      <w:r>
        <w:t xml:space="preserve">Một biến tải đáng kể lên nhiều nhân tố, làm giảm tính rõ ràng của cấu trúc.</w:t>
      </w:r>
    </w:p>
    <w:p>
      <w:pPr>
        <w:pStyle w:val="Heading3"/>
      </w:pPr>
      <w:bookmarkStart w:id="65" w:name="kmo-kaisermeyerolkin"/>
      <w:r>
        <w:t xml:space="preserve">KMO — Kaiser–Meyer–Olkin</w:t>
      </w:r>
      <w:bookmarkEnd w:id="65"/>
    </w:p>
    <w:p>
      <w:pPr>
        <w:pStyle w:val="FirstParagraph"/>
      </w:pPr>
      <w:r>
        <w:t xml:space="preserve">Chỉ số mức độ dữ liệu phù hợp để phân tích nhân tố. KMO ≥ 0,70 thường được xem là tốt.</w:t>
      </w:r>
    </w:p>
    <w:p>
      <w:pPr>
        <w:pStyle w:val="Heading3"/>
      </w:pPr>
      <w:bookmarkStart w:id="66" w:name="bartletts-test"/>
      <w:r>
        <w:t xml:space="preserve">Bartlett’s test</w:t>
      </w:r>
      <w:bookmarkEnd w:id="66"/>
    </w:p>
    <w:p>
      <w:pPr>
        <w:pStyle w:val="FirstParagraph"/>
      </w:pPr>
      <w:r>
        <w:t xml:space="preserve">Kiểm định ma trận tương quan có đủ khác ma trận đơn vị hay không. p &lt; 0,05 ủng hộ việc thực hiện phân tích nhân tố.</w:t>
      </w:r>
    </w:p>
    <w:p>
      <w:pPr>
        <w:pStyle w:val="Heading3"/>
      </w:pPr>
      <w:bookmarkStart w:id="67" w:name="phương-sai-trích"/>
      <w:r>
        <w:t xml:space="preserve">Phương sai trích</w:t>
      </w:r>
      <w:bookmarkEnd w:id="67"/>
    </w:p>
    <w:p>
      <w:pPr>
        <w:pStyle w:val="FirstParagraph"/>
      </w:pPr>
      <w:r>
        <w:t xml:space="preserve">Tỷ lệ phương sai được các nhân tố giải thích. Cao hơn cho thấy cấu trúc nhân tố bao phủ dữ liệu tốt hơn, nhưng không tự động chứng minh mô hình đúng.</w:t>
      </w:r>
    </w:p>
    <w:p>
      <w:pPr>
        <w:pStyle w:val="Heading3"/>
      </w:pPr>
      <w:bookmarkStart w:id="68" w:name="fornelllarcker"/>
      <w:r>
        <w:t xml:space="preserve">Fornell–Larcker</w:t>
      </w:r>
      <w:bookmarkEnd w:id="68"/>
    </w:p>
    <w:p>
      <w:pPr>
        <w:pStyle w:val="FirstParagraph"/>
      </w:pPr>
      <w:r>
        <w:t xml:space="preserve">Tiêu chuẩn so sánh căn AVE với tương quan giữa các khái niệm. Đây là tiêu chuẩn cổ điển, cần dùng cùng HTMT.</w:t>
      </w:r>
    </w:p>
    <w:p>
      <w:pPr>
        <w:pStyle w:val="Heading3"/>
      </w:pPr>
      <w:bookmarkStart w:id="69" w:name="htmt-heterotraitmonotrait-ratio"/>
      <w:r>
        <w:t xml:space="preserve">HTMT — Heterotrait–Monotrait Ratio</w:t>
      </w:r>
      <w:bookmarkEnd w:id="69"/>
    </w:p>
    <w:p>
      <w:pPr>
        <w:pStyle w:val="FirstParagraph"/>
      </w:pPr>
      <w:r>
        <w:t xml:space="preserve">Chỉ số đánh giá giá trị phân biệt. HTMT &lt; 0,85 là chuẩn nghiêm ngặt; trên 0,90 thường báo hiệu chồng lấn đáng kể.</w:t>
      </w:r>
    </w:p>
    <w:p>
      <w:pPr>
        <w:pStyle w:val="Heading2"/>
      </w:pPr>
      <w:bookmarkStart w:id="70" w:name="X98add6780d627442dde94b787afb83121273541"/>
      <w:r>
        <w:t xml:space="preserve">E. Tương quan, kiểm định khác biệt và hồi quy</w:t>
      </w:r>
      <w:bookmarkEnd w:id="70"/>
    </w:p>
    <w:p>
      <w:pPr>
        <w:pStyle w:val="Heading3"/>
      </w:pPr>
      <w:bookmarkStart w:id="71" w:name="tương-quan-pearson-pearsons-r"/>
      <w:r>
        <w:t xml:space="preserve">Tương quan Pearson — Pearson’s r</w:t>
      </w:r>
      <w:bookmarkEnd w:id="71"/>
    </w:p>
    <w:p>
      <w:pPr>
        <w:pStyle w:val="FirstParagraph"/>
      </w:pPr>
      <w:r>
        <w:t xml:space="preserve">Đo quan hệ tuyến tính giữa hai biến liên tục. r gần 0 là yếu; gần ±1 là mạnh. r không chứng minh nhân quả.</w:t>
      </w:r>
    </w:p>
    <w:p>
      <w:pPr>
        <w:pStyle w:val="Heading3"/>
      </w:pPr>
      <w:bookmarkStart w:id="72" w:name="p-value"/>
      <w:r>
        <w:t xml:space="preserve">p-value</w:t>
      </w:r>
      <w:bookmarkEnd w:id="72"/>
    </w:p>
    <w:p>
      <w:pPr>
        <w:pStyle w:val="FirstParagraph"/>
      </w:pPr>
      <w:r>
        <w:t xml:space="preserve">Xác suất quan sát được kết quả ít nhất cực đoan như dữ liệu nếu giả thuyết không đúng là đúng. p nhỏ không đo độ lớn hiệu ứng và không cho biết kết quả quan trọng về thực tiễn.</w:t>
      </w:r>
    </w:p>
    <w:p>
      <w:pPr>
        <w:pStyle w:val="Heading3"/>
      </w:pPr>
      <w:bookmarkStart w:id="73" w:name="mức-ý-nghĩa-α"/>
      <w:r>
        <w:t xml:space="preserve">Mức ý nghĩa α</w:t>
      </w:r>
      <w:bookmarkEnd w:id="73"/>
    </w:p>
    <w:p>
      <w:pPr>
        <w:pStyle w:val="FirstParagraph"/>
      </w:pPr>
      <w:r>
        <w:t xml:space="preserve">Ngưỡng quyết định thống kê, thường là 0,05. Không nên nhầm α này với Cronbach’s alpha.</w:t>
      </w:r>
    </w:p>
    <w:p>
      <w:pPr>
        <w:pStyle w:val="Heading3"/>
      </w:pPr>
      <w:bookmarkStart w:id="74" w:name="khoảng-tin-cậy-confidence-interval"/>
      <w:r>
        <w:t xml:space="preserve">Khoảng tin cậy — Confidence interval</w:t>
      </w:r>
      <w:bookmarkEnd w:id="74"/>
    </w:p>
    <w:p>
      <w:pPr>
        <w:pStyle w:val="FirstParagraph"/>
      </w:pPr>
      <w:r>
        <w:t xml:space="preserve">Khoảng giá trị hợp lý của tham số theo mô hình và phương pháp lấy mẫu. Khoảng tin cậy cung cấp nhiều thông tin hơn một p-value đơn lẻ.</w:t>
      </w:r>
    </w:p>
    <w:p>
      <w:pPr>
        <w:pStyle w:val="Heading3"/>
      </w:pPr>
      <w:bookmarkStart w:id="75" w:name="t-test"/>
      <w:r>
        <w:t xml:space="preserve">t-test</w:t>
      </w:r>
      <w:bookmarkEnd w:id="75"/>
    </w:p>
    <w:p>
      <w:pPr>
        <w:pStyle w:val="FirstParagraph"/>
      </w:pPr>
      <w:r>
        <w:t xml:space="preserve">Kiểm định sự khác biệt trung bình giữa hai nhóm.</w:t>
      </w:r>
    </w:p>
    <w:p>
      <w:pPr>
        <w:pStyle w:val="Heading3"/>
      </w:pPr>
      <w:bookmarkStart w:id="76" w:name="welchs-t-test"/>
      <w:r>
        <w:t xml:space="preserve">Welch’s t-test</w:t>
      </w:r>
      <w:bookmarkEnd w:id="76"/>
    </w:p>
    <w:p>
      <w:pPr>
        <w:pStyle w:val="FirstParagraph"/>
      </w:pPr>
      <w:r>
        <w:t xml:space="preserve">Phiên bản t-test không yêu cầu phương sai hai nhóm bằng nhau. Thích hợp khi cỡ nhóm hoặc phương sai khác nhau.</w:t>
      </w:r>
    </w:p>
    <w:p>
      <w:pPr>
        <w:pStyle w:val="Heading3"/>
      </w:pPr>
      <w:bookmarkStart w:id="77" w:name="anova"/>
      <w:r>
        <w:t xml:space="preserve">ANOVA</w:t>
      </w:r>
      <w:bookmarkEnd w:id="77"/>
    </w:p>
    <w:p>
      <w:pPr>
        <w:pStyle w:val="FirstParagraph"/>
      </w:pPr>
      <w:r>
        <w:t xml:space="preserve">Phân tích phương sai để so sánh trung bình từ ba nhóm trở lên.</w:t>
      </w:r>
    </w:p>
    <w:p>
      <w:pPr>
        <w:pStyle w:val="Heading3"/>
      </w:pPr>
      <w:bookmarkStart w:id="78" w:name="welch-anova"/>
      <w:r>
        <w:t xml:space="preserve">Welch ANOVA</w:t>
      </w:r>
      <w:bookmarkEnd w:id="78"/>
    </w:p>
    <w:p>
      <w:pPr>
        <w:pStyle w:val="FirstParagraph"/>
      </w:pPr>
      <w:r>
        <w:t xml:space="preserve">ANOVA bền vững hơn khi phương sai nhóm không đồng nhất.</w:t>
      </w:r>
    </w:p>
    <w:p>
      <w:pPr>
        <w:pStyle w:val="Heading3"/>
      </w:pPr>
      <w:bookmarkStart w:id="79" w:name="tukey-hsd"/>
      <w:r>
        <w:t xml:space="preserve">Tukey HSD</w:t>
      </w:r>
      <w:bookmarkEnd w:id="79"/>
    </w:p>
    <w:p>
      <w:pPr>
        <w:pStyle w:val="FirstParagraph"/>
      </w:pPr>
      <w:r>
        <w:t xml:space="preserve">Hậu kiểm sau ANOVA để xác định cặp nhóm khác biệt, đồng thời kiểm soát sai số do so sánh nhiều lần.</w:t>
      </w:r>
    </w:p>
    <w:p>
      <w:pPr>
        <w:pStyle w:val="Heading3"/>
      </w:pPr>
      <w:bookmarkStart w:id="80" w:name="gameshowell"/>
      <w:r>
        <w:t xml:space="preserve">Games–Howell</w:t>
      </w:r>
      <w:bookmarkEnd w:id="80"/>
    </w:p>
    <w:p>
      <w:pPr>
        <w:pStyle w:val="FirstParagraph"/>
      </w:pPr>
      <w:r>
        <w:t xml:space="preserve">Hậu kiểm phù hợp khi phương sai hoặc cỡ mẫu nhóm không bằng nhau.</w:t>
      </w:r>
    </w:p>
    <w:p>
      <w:pPr>
        <w:pStyle w:val="Heading3"/>
      </w:pPr>
      <w:bookmarkStart w:id="81" w:name="cohens-d"/>
      <w:r>
        <w:t xml:space="preserve">Cohen’s d</w:t>
      </w:r>
      <w:bookmarkEnd w:id="81"/>
    </w:p>
    <w:p>
      <w:pPr>
        <w:pStyle w:val="FirstParagraph"/>
      </w:pPr>
      <w:r>
        <w:t xml:space="preserve">Kích thước hiệu ứng chuẩn hóa cho khác biệt hai trung bình. Quy ước thô: 0,2 nhỏ; 0,5 vừa; 0,8 lớn. Cần diễn giải theo bối cảnh.</w:t>
      </w:r>
    </w:p>
    <w:p>
      <w:pPr>
        <w:pStyle w:val="Heading3"/>
      </w:pPr>
      <w:bookmarkStart w:id="82" w:name="X73a62e14c87c125ecfb035667aea420d45645e5"/>
      <w:r>
        <w:t xml:space="preserve">Eta bình phương từng phần — Partial eta squared</w:t>
      </w:r>
      <w:bookmarkEnd w:id="82"/>
    </w:p>
    <w:p>
      <w:pPr>
        <w:pStyle w:val="FirstParagraph"/>
      </w:pPr>
      <w:r>
        <w:t xml:space="preserve">Kích thước hiệu ứng trong ANOVA, biểu thị tỷ lệ phương sai liên quan đến một yếu tố sau khi xét các yếu tố khác trong mô hình.</w:t>
      </w:r>
    </w:p>
    <w:p>
      <w:pPr>
        <w:pStyle w:val="Heading3"/>
      </w:pPr>
      <w:bookmarkStart w:id="83" w:name="hồi-quy-bội-multiple-regression"/>
      <w:r>
        <w:t xml:space="preserve">Hồi quy bội — Multiple regression</w:t>
      </w:r>
      <w:bookmarkEnd w:id="83"/>
    </w:p>
    <w:p>
      <w:pPr>
        <w:pStyle w:val="FirstParagraph"/>
      </w:pPr>
      <w:r>
        <w:t xml:space="preserve">Ước lượng quan hệ giữa một biến kết quả và nhiều biến dự báo đồng thời.</w:t>
      </w:r>
    </w:p>
    <w:p>
      <w:pPr>
        <w:pStyle w:val="Heading3"/>
      </w:pPr>
      <w:bookmarkStart w:id="84" w:name="hệ-số-beta-chuẩn-hóa"/>
      <w:r>
        <w:t xml:space="preserve">Hệ số beta chuẩn hóa</w:t>
      </w:r>
      <w:bookmarkEnd w:id="84"/>
    </w:p>
    <w:p>
      <w:pPr>
        <w:pStyle w:val="FirstParagraph"/>
      </w:pPr>
      <w:r>
        <w:t xml:space="preserve">Mức thay đổi theo đơn vị độ lệch chuẩn của biến kết quả khi biến dự báo tăng một độ lệch chuẩn, giữ các biến khác không đổi.</w:t>
      </w:r>
    </w:p>
    <w:p>
      <w:pPr>
        <w:pStyle w:val="Heading3"/>
      </w:pPr>
      <w:bookmarkStart w:id="85" w:name="r²"/>
      <w:r>
        <w:t xml:space="preserve">R²</w:t>
      </w:r>
      <w:bookmarkEnd w:id="85"/>
    </w:p>
    <w:p>
      <w:pPr>
        <w:pStyle w:val="FirstParagraph"/>
      </w:pPr>
      <w:r>
        <w:t xml:space="preserve">Tỷ lệ phương sai biến kết quả được mô hình giải thích. R² cao không chứng minh nhân quả hoặc mô hình đúng; nó có thể tăng do chồng lấn thang đo.</w:t>
      </w:r>
    </w:p>
    <w:p>
      <w:pPr>
        <w:pStyle w:val="Heading3"/>
      </w:pPr>
      <w:bookmarkStart w:id="86" w:name="r²-hiệu-chỉnh"/>
      <w:r>
        <w:t xml:space="preserve">R² hiệu chỉnh</w:t>
      </w:r>
      <w:bookmarkEnd w:id="86"/>
    </w:p>
    <w:p>
      <w:pPr>
        <w:pStyle w:val="FirstParagraph"/>
      </w:pPr>
      <w:r>
        <w:t xml:space="preserve">R² được điều chỉnh theo số biến dự báo và cỡ mẫu, giảm phần</w:t>
      </w:r>
      <w:r>
        <w:t xml:space="preserve"> </w:t>
      </w:r>
      <w:r>
        <w:t xml:space="preserve">“</w:t>
      </w:r>
      <w:r>
        <w:t xml:space="preserve">thưởng</w:t>
      </w:r>
      <w:r>
        <w:t xml:space="preserve">”</w:t>
      </w:r>
      <w:r>
        <w:t xml:space="preserve"> </w:t>
      </w:r>
      <w:r>
        <w:t xml:space="preserve">do thêm biến không cần thiết.</w:t>
      </w:r>
    </w:p>
    <w:p>
      <w:pPr>
        <w:pStyle w:val="Heading3"/>
      </w:pPr>
      <w:bookmarkStart w:id="87" w:name="vif-variance-inflation-factor"/>
      <w:r>
        <w:t xml:space="preserve">VIF — Variance Inflation Factor</w:t>
      </w:r>
      <w:bookmarkEnd w:id="87"/>
    </w:p>
    <w:p>
      <w:pPr>
        <w:pStyle w:val="FirstParagraph"/>
      </w:pPr>
      <w:r>
        <w:t xml:space="preserve">Chỉ số đa cộng tuyến. VIF cao nghĩa là biến dự báo chia sẻ nhiều thông tin, làm hệ số không ổn định. VIF quanh 5 đã đáng chú ý dù chưa vượt ngưỡng 10.</w:t>
      </w:r>
    </w:p>
    <w:p>
      <w:pPr>
        <w:pStyle w:val="Heading3"/>
      </w:pPr>
      <w:bookmarkStart w:id="88" w:name="đa-cộng-tuyến-multicollinearity"/>
      <w:r>
        <w:t xml:space="preserve">Đa cộng tuyến — Multicollinearity</w:t>
      </w:r>
      <w:bookmarkEnd w:id="88"/>
    </w:p>
    <w:p>
      <w:pPr>
        <w:pStyle w:val="FirstParagraph"/>
      </w:pPr>
      <w:r>
        <w:t xml:space="preserve">Nhiều biến dự báo tương quan cao với nhau. Hậu quả là sai số chuẩn tăng, dấu và độ lớn beta có thể nhạy với mô hình.</w:t>
      </w:r>
    </w:p>
    <w:p>
      <w:pPr>
        <w:pStyle w:val="Heading2"/>
      </w:pPr>
      <w:bookmarkStart w:id="89" w:name="f.-sem-và-mô-hình-đường-dẫn"/>
      <w:r>
        <w:t xml:space="preserve">F. SEM và mô hình đường dẫn</w:t>
      </w:r>
      <w:bookmarkEnd w:id="89"/>
    </w:p>
    <w:p>
      <w:pPr>
        <w:pStyle w:val="Heading3"/>
      </w:pPr>
      <w:bookmarkStart w:id="90" w:name="path-analysis-phân-tích-đường-dẫn"/>
      <w:r>
        <w:t xml:space="preserve">Path analysis — Phân tích đường dẫn</w:t>
      </w:r>
      <w:bookmarkEnd w:id="90"/>
    </w:p>
    <w:p>
      <w:pPr>
        <w:pStyle w:val="FirstParagraph"/>
      </w:pPr>
      <w:r>
        <w:t xml:space="preserve">Hệ thống nhiều phương trình hồi quy được ước lượng đồng thời trên biến quan sát hoặc điểm tổng hợp. Nó không tự xử lý sai số đo như SEM biến tiềm ẩn.</w:t>
      </w:r>
    </w:p>
    <w:p>
      <w:pPr>
        <w:pStyle w:val="Heading3"/>
      </w:pPr>
      <w:bookmarkStart w:id="91" w:name="sem-structural-equation-modeling"/>
      <w:r>
        <w:t xml:space="preserve">SEM — Structural Equation Modeling</w:t>
      </w:r>
      <w:bookmarkEnd w:id="91"/>
    </w:p>
    <w:p>
      <w:pPr>
        <w:pStyle w:val="FirstParagraph"/>
      </w:pPr>
      <w:r>
        <w:t xml:space="preserve">Mô hình phương trình cấu trúc kết hợp:</w:t>
      </w:r>
    </w:p>
    <w:p>
      <w:pPr>
        <w:numPr>
          <w:ilvl w:val="0"/>
          <w:numId w:val="1001"/>
        </w:numPr>
        <w:pStyle w:val="Compact"/>
      </w:pPr>
      <w:r>
        <w:t xml:space="preserve">mô hình đo lường: biến quan sát đo biến tiềm ẩn;</w:t>
      </w:r>
    </w:p>
    <w:p>
      <w:pPr>
        <w:numPr>
          <w:ilvl w:val="0"/>
          <w:numId w:val="1001"/>
        </w:numPr>
        <w:pStyle w:val="Compact"/>
      </w:pPr>
      <w:r>
        <w:t xml:space="preserve">mô hình cấu trúc: quan hệ giữa các biến tiềm ẩn.</w:t>
      </w:r>
    </w:p>
    <w:p>
      <w:pPr>
        <w:pStyle w:val="Heading3"/>
      </w:pPr>
      <w:bookmarkStart w:id="92" w:name="mô-hình-đo-lường"/>
      <w:r>
        <w:t xml:space="preserve">Mô hình đo lường</w:t>
      </w:r>
      <w:bookmarkEnd w:id="92"/>
    </w:p>
    <w:p>
      <w:pPr>
        <w:pStyle w:val="FirstParagraph"/>
      </w:pPr>
      <w:r>
        <w:t xml:space="preserve">Phần xác định biến quan sát nào đo khái niệm nào.</w:t>
      </w:r>
    </w:p>
    <w:p>
      <w:pPr>
        <w:pStyle w:val="Heading3"/>
      </w:pPr>
      <w:bookmarkStart w:id="93" w:name="mô-hình-cấu-trúc"/>
      <w:r>
        <w:t xml:space="preserve">Mô hình cấu trúc</w:t>
      </w:r>
      <w:bookmarkEnd w:id="93"/>
    </w:p>
    <w:p>
      <w:pPr>
        <w:pStyle w:val="FirstParagraph"/>
      </w:pPr>
      <w:r>
        <w:t xml:space="preserve">Phần xác định quan hệ dự báo giữa các khái niệm.</w:t>
      </w:r>
    </w:p>
    <w:p>
      <w:pPr>
        <w:pStyle w:val="Heading3"/>
      </w:pPr>
      <w:bookmarkStart w:id="94" w:name="mô-hình-bậc-hai-higher-order-factor"/>
      <w:r>
        <w:t xml:space="preserve">Mô hình bậc hai — Higher-order factor</w:t>
      </w:r>
      <w:bookmarkEnd w:id="94"/>
    </w:p>
    <w:p>
      <w:pPr>
        <w:pStyle w:val="FirstParagraph"/>
      </w:pPr>
      <w:r>
        <w:t xml:space="preserve">Một nhân tố cấp cao giải thích nhiều nhân tố cấp thấp. STRUC có thể là nhân tố cấp cao của NOR, STR và OPE nếu lý thuyết và dữ liệu ủng hộ.</w:t>
      </w:r>
    </w:p>
    <w:p>
      <w:pPr>
        <w:pStyle w:val="Heading3"/>
      </w:pPr>
      <w:bookmarkStart w:id="95" w:name="cb-sem-covariance-based-sem"/>
      <w:r>
        <w:t xml:space="preserve">CB-SEM — Covariance-Based SEM</w:t>
      </w:r>
      <w:bookmarkEnd w:id="95"/>
    </w:p>
    <w:p>
      <w:pPr>
        <w:pStyle w:val="FirstParagraph"/>
      </w:pPr>
      <w:r>
        <w:t xml:space="preserve">Ước lượng SEM dựa trên ma trận hiệp phương sai (như AMOS, semopy với biến tiềm ẩn). Mạnh về kiểm định lý thuyết nhưng đòi hỏi mẫu lớn so với số tham số và nhạy với đa cộng tuyến tiềm ẩn. Trong nghiên cứu này, CB-SEM đầy đủ hội tụ về mặt kỹ thuật (χ²/df = 2,58; RMSEA = 0,075) nhưng cho nghiệm cấu trúc không hợp lệ, nên chỉ dùng làm bằng chứng chẩn đoán.</w:t>
      </w:r>
    </w:p>
    <w:p>
      <w:pPr>
        <w:pStyle w:val="Heading3"/>
      </w:pPr>
      <w:bookmarkStart w:id="96" w:name="pls-sem-partial-least-squares-sem"/>
      <w:r>
        <w:t xml:space="preserve">PLS-SEM — Partial Least Squares SEM</w:t>
      </w:r>
      <w:bookmarkEnd w:id="96"/>
    </w:p>
    <w:p>
      <w:pPr>
        <w:pStyle w:val="FirstParagraph"/>
      </w:pPr>
      <w:r>
        <w:t xml:space="preserve">Ước lượng SEM theo bình phương tối thiểu riêng phần, tối ưu hóa khả năng dự báo phương sai của các biến nội sinh. Ít khắt khe về phân phối, cỡ mẫu và đa cộng tuyến hơn CB-SEM; phù hợp với mô hình phức tạp, thang đo ít item. Nghiên cứu dùng thư viện plspm (Python) và đối chiếu với SmartPLS 4.</w:t>
      </w:r>
    </w:p>
    <w:p>
      <w:pPr>
        <w:pStyle w:val="Heading3"/>
      </w:pPr>
      <w:bookmarkStart w:id="97" w:name="hệ-số-tải-ngoài-outer-loading"/>
      <w:r>
        <w:t xml:space="preserve">Hệ số tải ngoài — Outer loading</w:t>
      </w:r>
      <w:bookmarkEnd w:id="97"/>
    </w:p>
    <w:p>
      <w:pPr>
        <w:pStyle w:val="FirstParagraph"/>
      </w:pPr>
      <w:r>
        <w:t xml:space="preserve">Tương quan giữa biến quan sát và điểm tiềm ẩn của khái niệm trong PLS-SEM. Chuẩn thường dùng: ≥ 0,70 (chấp nhận ≥ 0,60 khi ρ và AVE đạt).</w:t>
      </w:r>
    </w:p>
    <w:p>
      <w:pPr>
        <w:pStyle w:val="Heading3"/>
      </w:pPr>
      <w:bookmarkStart w:id="98" w:name="dillongoldsteins-ρ-rho"/>
      <w:r>
        <w:t xml:space="preserve">Dillon–Goldstein’s ρ (rho)</w:t>
      </w:r>
      <w:bookmarkEnd w:id="98"/>
    </w:p>
    <w:p>
      <w:pPr>
        <w:pStyle w:val="FirstParagraph"/>
      </w:pPr>
      <w:r>
        <w:t xml:space="preserve">Chỉ số độ tin cậy tổng hợp trong PLS-SEM, tương tự CR; chuẩn ≥ 0,70. Trong nghiên cứu này ρ = 0,85–0,97 cho 17 khái niệm.</w:t>
      </w:r>
    </w:p>
    <w:p>
      <w:pPr>
        <w:pStyle w:val="Heading3"/>
      </w:pPr>
      <w:bookmarkStart w:id="99" w:name="f²-effect-size-của-đường-dẫn"/>
      <w:r>
        <w:t xml:space="preserve">f² — Effect size của đường dẫn</w:t>
      </w:r>
      <w:bookmarkEnd w:id="99"/>
    </w:p>
    <w:p>
      <w:pPr>
        <w:pStyle w:val="FirstParagraph"/>
      </w:pPr>
      <w:r>
        <w:t xml:space="preserve">Mức thay đổi R² khi thêm/bớt một biến dự báo: 0,02 nhỏ; 0,15 vừa; 0,35 lớn. Dùng để đánh giá đóng góp riêng của từng đường trong PLS-SEM.</w:t>
      </w:r>
    </w:p>
    <w:p>
      <w:pPr>
        <w:pStyle w:val="Heading3"/>
      </w:pPr>
      <w:bookmarkStart w:id="100" w:name="gof-goodness-of-fit-pls"/>
      <w:r>
        <w:t xml:space="preserve">GoF — Goodness of Fit (PLS)</w:t>
      </w:r>
      <w:bookmarkEnd w:id="100"/>
    </w:p>
    <w:p>
      <w:pPr>
        <w:pStyle w:val="FirstParagraph"/>
      </w:pPr>
      <w:r>
        <w:t xml:space="preserve">Chỉ số phù hợp tổng thể của PLS-SEM, bằng căn bậc hai của tích (AVE trung bình × R² trung bình). Quy ước: 0,10 nhỏ; 0,25 vừa; 0,36 lớn. Nghiên cứu đạt GoF = 0,588.</w:t>
      </w:r>
    </w:p>
    <w:p>
      <w:pPr>
        <w:pStyle w:val="Heading3"/>
      </w:pPr>
      <w:bookmarkStart w:id="101" w:name="bootstrap-ci-trong-pls-sem"/>
      <w:r>
        <w:t xml:space="preserve">Bootstrap CI trong PLS-SEM</w:t>
      </w:r>
      <w:bookmarkEnd w:id="101"/>
    </w:p>
    <w:p>
      <w:pPr>
        <w:pStyle w:val="FirstParagraph"/>
      </w:pPr>
      <w:r>
        <w:t xml:space="preserve">Khoảng tin cậy của hệ số đường dẫn thu được bằng cách lấy mẫu lại có hoàn lại (nghiên cứu dùng 500 lần). Đường có ý nghĩa khi KTC 95% không chứa 0.</w:t>
      </w:r>
    </w:p>
    <w:p>
      <w:pPr>
        <w:pStyle w:val="Heading3"/>
      </w:pPr>
      <w:bookmarkStart w:id="102" w:name="mô-hình-cạnh-tranh"/>
      <w:r>
        <w:t xml:space="preserve">Mô hình cạnh tranh</w:t>
      </w:r>
      <w:bookmarkEnd w:id="102"/>
    </w:p>
    <w:p>
      <w:pPr>
        <w:pStyle w:val="FirstParagraph"/>
      </w:pPr>
      <w:r>
        <w:t xml:space="preserve">Các mô hình lý thuyết hợp lý khác nhau được ước lượng và so sánh. Mục tiêu không phải</w:t>
      </w:r>
      <w:r>
        <w:t xml:space="preserve"> </w:t>
      </w:r>
      <w:r>
        <w:t xml:space="preserve">“</w:t>
      </w:r>
      <w:r>
        <w:t xml:space="preserve">thử đến khi đẹp</w:t>
      </w:r>
      <w:r>
        <w:t xml:space="preserve">”</w:t>
      </w:r>
      <w:r>
        <w:t xml:space="preserve"> </w:t>
      </w:r>
      <w:r>
        <w:t xml:space="preserve">mà kiểm tra cách biểu diễn lý thuyết nào phù hợp hơn.</w:t>
      </w:r>
    </w:p>
    <w:p>
      <w:pPr>
        <w:pStyle w:val="Heading3"/>
      </w:pPr>
      <w:bookmarkStart w:id="103" w:name="mô-hình-lồng-nhau-nested-models"/>
      <w:r>
        <w:t xml:space="preserve">Mô hình lồng nhau — Nested models</w:t>
      </w:r>
      <w:bookmarkEnd w:id="103"/>
    </w:p>
    <w:p>
      <w:pPr>
        <w:pStyle w:val="FirstParagraph"/>
      </w:pPr>
      <w:r>
        <w:t xml:space="preserve">Một mô hình là phiên bản bị ràng buộc của mô hình khác. M2 và M3 lồng nhau vì M3 chỉ thêm ba đường.</w:t>
      </w:r>
    </w:p>
    <w:p>
      <w:pPr>
        <w:pStyle w:val="Heading3"/>
      </w:pPr>
      <w:bookmarkStart w:id="104" w:name="chi-square"/>
      <w:r>
        <w:t xml:space="preserve">Chi-square</w:t>
      </w:r>
      <w:bookmarkEnd w:id="104"/>
    </w:p>
    <w:p>
      <w:pPr>
        <w:pStyle w:val="FirstParagraph"/>
      </w:pPr>
      <w:r>
        <w:t xml:space="preserve">Đánh giá khác biệt giữa ma trận hiệp phương sai quan sát và mô hình. Chi-square dễ có ý nghĩa khi mẫu lớn hoặc mô hình phức tạp.</w:t>
      </w:r>
    </w:p>
    <w:p>
      <w:pPr>
        <w:pStyle w:val="Heading3"/>
      </w:pPr>
      <w:bookmarkStart w:id="105" w:name="δχ²-và-δdf"/>
      <w:r>
        <w:t xml:space="preserve">Δχ² và Δdf</w:t>
      </w:r>
      <w:bookmarkEnd w:id="105"/>
    </w:p>
    <w:p>
      <w:pPr>
        <w:pStyle w:val="FirstParagraph"/>
      </w:pPr>
      <w:r>
        <w:t xml:space="preserve">So sánh hai mô hình lồng nhau. Δχ² có ý nghĩa cho thấy mô hình ít ràng buộc hơn cải thiện độ phù hợp.</w:t>
      </w:r>
    </w:p>
    <w:p>
      <w:pPr>
        <w:pStyle w:val="Heading3"/>
      </w:pPr>
      <w:bookmarkStart w:id="106" w:name="cfi-comparative-fit-index"/>
      <w:r>
        <w:t xml:space="preserve">CFI — Comparative Fit Index</w:t>
      </w:r>
      <w:bookmarkEnd w:id="106"/>
    </w:p>
    <w:p>
      <w:pPr>
        <w:pStyle w:val="FirstParagraph"/>
      </w:pPr>
      <w:r>
        <w:t xml:space="preserve">So sánh mô hình với mô hình độc lập. CFI ≥ 0,90 thường được xem là chấp nhận; ≥ 0,95 là tốt.</w:t>
      </w:r>
    </w:p>
    <w:p>
      <w:pPr>
        <w:pStyle w:val="Heading3"/>
      </w:pPr>
      <w:bookmarkStart w:id="107" w:name="tli-tuckerlewis-index"/>
      <w:r>
        <w:t xml:space="preserve">TLI — Tucker–Lewis Index</w:t>
      </w:r>
      <w:bookmarkEnd w:id="107"/>
    </w:p>
    <w:p>
      <w:pPr>
        <w:pStyle w:val="FirstParagraph"/>
      </w:pPr>
      <w:r>
        <w:t xml:space="preserve">Chỉ số phù hợp có phạt độ phức tạp. TLI ≥ 0,90 thường được mong đợi.</w:t>
      </w:r>
    </w:p>
    <w:p>
      <w:pPr>
        <w:pStyle w:val="Heading3"/>
      </w:pPr>
      <w:bookmarkStart w:id="108" w:name="X36df345f64ea73f5ea3657cc44f20ba0766f6a5"/>
      <w:r>
        <w:t xml:space="preserve">RMSEA — Root Mean Square Error of Approximation</w:t>
      </w:r>
      <w:bookmarkEnd w:id="108"/>
    </w:p>
    <w:p>
      <w:pPr>
        <w:pStyle w:val="FirstParagraph"/>
      </w:pPr>
      <w:r>
        <w:t xml:space="preserve">Đánh giá sai số xấp xỉ theo bậc tự do. ≤ 0,08 thường chấp nhận; ≤ 0,06 tốt; &gt; 0,10 thường là yếu.</w:t>
      </w:r>
    </w:p>
    <w:p>
      <w:pPr>
        <w:pStyle w:val="Heading3"/>
      </w:pPr>
      <w:bookmarkStart w:id="109" w:name="Xdfa038201bd34226a152df5530e71ce24d22854"/>
      <w:r>
        <w:t xml:space="preserve">SRMR — Standardized Root Mean Square Residual</w:t>
      </w:r>
      <w:bookmarkEnd w:id="109"/>
    </w:p>
    <w:p>
      <w:pPr>
        <w:pStyle w:val="FirstParagraph"/>
      </w:pPr>
      <w:r>
        <w:t xml:space="preserve">Trung bình phần dư chuẩn hóa. Thường mong đợi ≤ 0,08.</w:t>
      </w:r>
    </w:p>
    <w:p>
      <w:pPr>
        <w:pStyle w:val="Heading3"/>
      </w:pPr>
      <w:bookmarkStart w:id="110" w:name="gfi-goodness-of-fit-index"/>
      <w:r>
        <w:t xml:space="preserve">GFI — Goodness-of-Fit Index</w:t>
      </w:r>
      <w:bookmarkEnd w:id="110"/>
    </w:p>
    <w:p>
      <w:pPr>
        <w:pStyle w:val="FirstParagraph"/>
      </w:pPr>
      <w:r>
        <w:t xml:space="preserve">Chỉ số phù hợp cổ điển; gần hoặc trên 0,90 thường được dùng làm tham khảo. Không nên dùng riêng GFI để kết luận.</w:t>
      </w:r>
    </w:p>
    <w:p>
      <w:pPr>
        <w:pStyle w:val="Heading3"/>
      </w:pPr>
      <w:bookmarkStart w:id="111" w:name="aic-akaike-information-criterion"/>
      <w:r>
        <w:t xml:space="preserve">AIC — Akaike Information Criterion</w:t>
      </w:r>
      <w:bookmarkEnd w:id="111"/>
    </w:p>
    <w:p>
      <w:pPr>
        <w:pStyle w:val="FirstParagraph"/>
      </w:pPr>
      <w:r>
        <w:t xml:space="preserve">So sánh độ phù hợp và độ phức tạp. AIC thấp hơn tốt hơn khi so các mô hình phù hợp trên cùng dữ liệu.</w:t>
      </w:r>
    </w:p>
    <w:p>
      <w:pPr>
        <w:pStyle w:val="Heading3"/>
      </w:pPr>
      <w:bookmarkStart w:id="112" w:name="modification-index"/>
      <w:r>
        <w:t xml:space="preserve">Modification index</w:t>
      </w:r>
      <w:bookmarkEnd w:id="112"/>
    </w:p>
    <w:p>
      <w:pPr>
        <w:pStyle w:val="FirstParagraph"/>
      </w:pPr>
      <w:r>
        <w:t xml:space="preserve">Ước lượng mức cải thiện nếu giải phóng một tham số đang bị cố định. Chỉ được dùng khi có lý do lý thuyết; chạy theo modification index dễ overfit.</w:t>
      </w:r>
    </w:p>
    <w:p>
      <w:pPr>
        <w:pStyle w:val="Heading3"/>
      </w:pPr>
      <w:bookmarkStart w:id="113" w:name="overfitting-quá-khớp"/>
      <w:r>
        <w:t xml:space="preserve">Overfitting — Quá khớp</w:t>
      </w:r>
      <w:bookmarkEnd w:id="113"/>
    </w:p>
    <w:p>
      <w:pPr>
        <w:pStyle w:val="FirstParagraph"/>
      </w:pPr>
      <w:r>
        <w:t xml:space="preserve">Mô hình phù hợp rất tốt với mẫu hiện tại nhưng kém khi áp dụng mẫu mới. Thêm nhiều đường sau khi xem dữ liệu làm tăng nguy cơ này.</w:t>
      </w:r>
    </w:p>
    <w:p>
      <w:pPr>
        <w:pStyle w:val="Heading3"/>
      </w:pPr>
      <w:bookmarkStart w:id="114" w:name="heywood-case"/>
      <w:r>
        <w:t xml:space="preserve">Heywood case</w:t>
      </w:r>
      <w:bookmarkEnd w:id="114"/>
    </w:p>
    <w:p>
      <w:pPr>
        <w:pStyle w:val="FirstParagraph"/>
      </w:pPr>
      <w:r>
        <w:t xml:space="preserve">Kết quả SEM bất hợp lý, như phương sai âm hoặc tải chuẩn hóa lớn hơn 1. Đây là dấu hiệu mô hình, dữ liệu hoặc nhận dạng có vấn đề.</w:t>
      </w:r>
    </w:p>
    <w:p>
      <w:pPr>
        <w:pStyle w:val="Heading2"/>
      </w:pPr>
      <w:bookmarkStart w:id="115" w:name="g.-trung-gian-và-kiểm-tra-tính-vững"/>
      <w:r>
        <w:t xml:space="preserve">G. Trung gian và kiểm tra tính vững</w:t>
      </w:r>
      <w:bookmarkEnd w:id="115"/>
    </w:p>
    <w:p>
      <w:pPr>
        <w:pStyle w:val="Heading3"/>
      </w:pPr>
      <w:bookmarkStart w:id="116" w:name="biến-trung-gian-mediator"/>
      <w:r>
        <w:t xml:space="preserve">Biến trung gian — Mediator</w:t>
      </w:r>
      <w:bookmarkEnd w:id="116"/>
    </w:p>
    <w:p>
      <w:pPr>
        <w:pStyle w:val="FirstParagraph"/>
      </w:pPr>
      <w:r>
        <w:t xml:space="preserve">Biến M nằm trên đường liên hệ giữa X và Y. X liên hệ với M, M liên hệ với Y.</w:t>
      </w:r>
    </w:p>
    <w:p>
      <w:pPr>
        <w:pStyle w:val="Heading3"/>
      </w:pPr>
      <w:bookmarkStart w:id="117" w:name="hiệu-ứng-trực-tiếp"/>
      <w:r>
        <w:t xml:space="preserve">Hiệu ứng trực tiếp</w:t>
      </w:r>
      <w:bookmarkEnd w:id="117"/>
    </w:p>
    <w:p>
      <w:pPr>
        <w:pStyle w:val="FirstParagraph"/>
      </w:pPr>
      <w:r>
        <w:t xml:space="preserve">Quan hệ X → Y sau khi đã đưa M vào mô hình.</w:t>
      </w:r>
    </w:p>
    <w:p>
      <w:pPr>
        <w:pStyle w:val="Heading3"/>
      </w:pPr>
      <w:bookmarkStart w:id="118" w:name="hiệu-ứng-gián-tiếp"/>
      <w:r>
        <w:t xml:space="preserve">Hiệu ứng gián tiếp</w:t>
      </w:r>
      <w:bookmarkEnd w:id="118"/>
    </w:p>
    <w:p>
      <w:pPr>
        <w:pStyle w:val="FirstParagraph"/>
      </w:pPr>
      <w:r>
        <w:t xml:space="preserve">Phần quan hệ X → M → Y, thường tính bằng a × b.</w:t>
      </w:r>
    </w:p>
    <w:p>
      <w:pPr>
        <w:pStyle w:val="Heading3"/>
      </w:pPr>
      <w:bookmarkStart w:id="119" w:name="trung-gian-toàn-phần"/>
      <w:r>
        <w:t xml:space="preserve">Trung gian toàn phần</w:t>
      </w:r>
      <w:bookmarkEnd w:id="119"/>
    </w:p>
    <w:p>
      <w:pPr>
        <w:pStyle w:val="FirstParagraph"/>
      </w:pPr>
      <w:r>
        <w:t xml:space="preserve">Hiệu ứng gián tiếp có ý nghĩa trong khi đường trực tiếp không có ý nghĩa. Khái niệm này vẫn không chứng minh nhân quả với dữ liệu cắt ngang.</w:t>
      </w:r>
    </w:p>
    <w:p>
      <w:pPr>
        <w:pStyle w:val="Heading3"/>
      </w:pPr>
      <w:bookmarkStart w:id="120" w:name="trung-gian-một-phần"/>
      <w:r>
        <w:t xml:space="preserve">Trung gian một phần</w:t>
      </w:r>
      <w:bookmarkEnd w:id="120"/>
    </w:p>
    <w:p>
      <w:pPr>
        <w:pStyle w:val="FirstParagraph"/>
      </w:pPr>
      <w:r>
        <w:t xml:space="preserve">Cả hiệu ứng gián tiếp và trực tiếp đều còn có ý nghĩa.</w:t>
      </w:r>
    </w:p>
    <w:p>
      <w:pPr>
        <w:pStyle w:val="Heading3"/>
      </w:pPr>
      <w:bookmarkStart w:id="121" w:name="bootstrap"/>
      <w:r>
        <w:t xml:space="preserve">Bootstrap</w:t>
      </w:r>
      <w:bookmarkEnd w:id="121"/>
    </w:p>
    <w:p>
      <w:pPr>
        <w:pStyle w:val="FirstParagraph"/>
      </w:pPr>
      <w:r>
        <w:t xml:space="preserve">Lấy mẫu lặp lại có hoàn lại từ dữ liệu để ước lượng phân phối của tham số. Bootstrap hữu ích cho hiệu ứng gián tiếp vốn thường không phân phối chuẩn.</w:t>
      </w:r>
    </w:p>
    <w:p>
      <w:pPr>
        <w:pStyle w:val="Heading3"/>
      </w:pPr>
      <w:bookmarkStart w:id="122" w:name="robustness-check-kiểm-tra-tính-vững"/>
      <w:r>
        <w:t xml:space="preserve">Robustness check — Kiểm tra tính vững</w:t>
      </w:r>
      <w:bookmarkEnd w:id="122"/>
    </w:p>
    <w:p>
      <w:pPr>
        <w:pStyle w:val="FirstParagraph"/>
      </w:pPr>
      <w:r>
        <w:t xml:space="preserve">Kiểm tra kết luận có giữ khi thay đổi hợp lý cách đo hoặc mô hình không. Việc loại GLO4 và GLO5 rồi kiểm tra lại COL → GLO là một robustness check.</w:t>
      </w:r>
    </w:p>
    <w:p>
      <w:pPr>
        <w:pStyle w:val="Heading3"/>
      </w:pPr>
      <w:bookmarkStart w:id="123" w:name="sensitivity-analysis-phân-tích-độ-nhạy"/>
      <w:r>
        <w:t xml:space="preserve">Sensitivity analysis — Phân tích độ nhạy</w:t>
      </w:r>
      <w:bookmarkEnd w:id="123"/>
    </w:p>
    <w:p>
      <w:pPr>
        <w:pStyle w:val="FirstParagraph"/>
      </w:pPr>
      <w:r>
        <w:t xml:space="preserve">Đánh giá kết quả thay đổi đến đâu khi thay đổi giả định, đặc tả hoặc xử lý dữ liệu.</w:t>
      </w:r>
    </w:p>
    <w:p>
      <w:pPr>
        <w:pStyle w:val="Heading2"/>
      </w:pPr>
      <w:bookmarkStart w:id="124" w:name="h.-sai-lệch-và-chất-lượng-nghiên-cứu"/>
      <w:r>
        <w:t xml:space="preserve">H. Sai lệch và chất lượng nghiên cứu</w:t>
      </w:r>
      <w:bookmarkEnd w:id="124"/>
    </w:p>
    <w:p>
      <w:pPr>
        <w:pStyle w:val="Heading3"/>
      </w:pPr>
      <w:bookmarkStart w:id="125" w:name="common-method-bias-cmb"/>
      <w:r>
        <w:t xml:space="preserve">Common Method Bias — CMB</w:t>
      </w:r>
      <w:bookmarkEnd w:id="125"/>
    </w:p>
    <w:p>
      <w:pPr>
        <w:pStyle w:val="FirstParagraph"/>
      </w:pPr>
      <w:r>
        <w:t xml:space="preserve">Sai lệch do biến dự báo và kết quả được đo cùng nguồn, cùng thời điểm, cùng hình thức. Nó có thể làm tương quan tăng nhân tạo.</w:t>
      </w:r>
    </w:p>
    <w:p>
      <w:pPr>
        <w:pStyle w:val="Heading3"/>
      </w:pPr>
      <w:bookmarkStart w:id="126" w:name="harmans-single-factor-test"/>
      <w:r>
        <w:t xml:space="preserve">Harman’s single-factor test</w:t>
      </w:r>
      <w:bookmarkEnd w:id="126"/>
    </w:p>
    <w:p>
      <w:pPr>
        <w:pStyle w:val="FirstParagraph"/>
      </w:pPr>
      <w:r>
        <w:t xml:space="preserve">Kiểm tra một nhân tố duy nhất giải thích bao nhiêu phương sai. Kết quả 45,6% dưới ngưỡng kinh nghiệm 50%, nhưng test này không đủ mạnh để loại trừ CMB.</w:t>
      </w:r>
    </w:p>
    <w:p>
      <w:pPr>
        <w:pStyle w:val="Heading3"/>
      </w:pPr>
      <w:bookmarkStart w:id="127" w:name="Xe7b95bd42ee766d80f7347e1b12e4850e85edd3"/>
      <w:r>
        <w:t xml:space="preserve">Sai lệch xã hội mong đợi — Social desirability bias</w:t>
      </w:r>
      <w:bookmarkEnd w:id="127"/>
    </w:p>
    <w:p>
      <w:pPr>
        <w:pStyle w:val="FirstParagraph"/>
      </w:pPr>
      <w:r>
        <w:t xml:space="preserve">Người trả lời chọn câu trả lời được xem là tích cực, phù hợp chuẩn mực hoặc an toàn.</w:t>
      </w:r>
    </w:p>
    <w:p>
      <w:pPr>
        <w:pStyle w:val="Heading3"/>
      </w:pPr>
      <w:bookmarkStart w:id="128" w:name="sai-lệch-không-phản-hồi-nonresponse-bias"/>
      <w:r>
        <w:t xml:space="preserve">Sai lệch không phản hồi — Nonresponse bias</w:t>
      </w:r>
      <w:bookmarkEnd w:id="128"/>
    </w:p>
    <w:p>
      <w:pPr>
        <w:pStyle w:val="FirstParagraph"/>
      </w:pPr>
      <w:r>
        <w:t xml:space="preserve">Người không tham gia có thể khác người tham gia. Nếu không có dữ liệu về người từ chối, khó đánh giá sai lệch này.</w:t>
      </w:r>
    </w:p>
    <w:p>
      <w:pPr>
        <w:pStyle w:val="Heading3"/>
      </w:pPr>
      <w:bookmarkStart w:id="129" w:name="sai-lệch-chọn-mẫu-selection-bias"/>
      <w:r>
        <w:t xml:space="preserve">Sai lệch chọn mẫu — Selection bias</w:t>
      </w:r>
      <w:bookmarkEnd w:id="129"/>
    </w:p>
    <w:p>
      <w:pPr>
        <w:pStyle w:val="FirstParagraph"/>
      </w:pPr>
      <w:r>
        <w:t xml:space="preserve">Mẫu được chọn theo cách làm cho một số nhóm có xác suất tham gia khác nhau.</w:t>
      </w:r>
    </w:p>
    <w:p>
      <w:pPr>
        <w:pStyle w:val="Heading3"/>
      </w:pPr>
      <w:bookmarkStart w:id="130" w:name="confounding-nhiễu"/>
      <w:r>
        <w:t xml:space="preserve">Confounding — Nhiễu</w:t>
      </w:r>
      <w:bookmarkEnd w:id="130"/>
    </w:p>
    <w:p>
      <w:pPr>
        <w:pStyle w:val="FirstParagraph"/>
      </w:pPr>
      <w:r>
        <w:t xml:space="preserve">Một biến thứ ba liên quan cả biến dự báo và kết quả, tạo ra hoặc làm thay đổi mối liên hệ quan sát.</w:t>
      </w:r>
    </w:p>
    <w:p>
      <w:pPr>
        <w:pStyle w:val="Heading3"/>
      </w:pPr>
      <w:bookmarkStart w:id="131" w:name="độ-mạnh-thống-kê-statistical-power"/>
      <w:r>
        <w:t xml:space="preserve">Độ mạnh thống kê — Statistical power</w:t>
      </w:r>
      <w:bookmarkEnd w:id="131"/>
    </w:p>
    <w:p>
      <w:pPr>
        <w:pStyle w:val="FirstParagraph"/>
      </w:pPr>
      <w:r>
        <w:t xml:space="preserve">Khả năng phát hiện hiệu ứng thật. Nhóm chỉ có 10 hoặc 36 người thường có power thấp cho mô hình phức tạp.</w:t>
      </w:r>
    </w:p>
    <w:p>
      <w:pPr>
        <w:pStyle w:val="Heading3"/>
      </w:pPr>
      <w:bookmarkStart w:id="132" w:name="kiểm-định-nhiều-lần-multiple-testing"/>
      <w:r>
        <w:t xml:space="preserve">Kiểm định nhiều lần — Multiple testing</w:t>
      </w:r>
      <w:bookmarkEnd w:id="132"/>
    </w:p>
    <w:p>
      <w:pPr>
        <w:pStyle w:val="FirstParagraph"/>
      </w:pPr>
      <w:r>
        <w:t xml:space="preserve">Thực hiện nhiều kiểm định làm tăng xác suất có kết quả p &lt; 0,05 do ngẫu nhiên. Cần điều chỉnh hoặc xác định trước giả thuyết chính.</w:t>
      </w:r>
    </w:p>
    <w:p>
      <w:pPr>
        <w:pStyle w:val="Heading2"/>
      </w:pPr>
      <w:bookmarkStart w:id="133" w:name="i.-thuật-ngữ-xuất-bản"/>
      <w:r>
        <w:t xml:space="preserve">I. Thuật ngữ xuất bản</w:t>
      </w:r>
      <w:bookmarkEnd w:id="133"/>
    </w:p>
    <w:p>
      <w:pPr>
        <w:pStyle w:val="Heading3"/>
      </w:pPr>
      <w:bookmarkStart w:id="134" w:name="desk-reject"/>
      <w:r>
        <w:t xml:space="preserve">Desk reject</w:t>
      </w:r>
      <w:bookmarkEnd w:id="134"/>
    </w:p>
    <w:p>
      <w:pPr>
        <w:pStyle w:val="FirstParagraph"/>
      </w:pPr>
      <w:r>
        <w:t xml:space="preserve">Biên tập viên từ chối trước khi gửi phản biện, thường do lệch phạm vi, đóng góp chưa đủ, phương pháp không đạt hoặc bài chưa theo chuẩn tạp chí.</w:t>
      </w:r>
    </w:p>
    <w:p>
      <w:pPr>
        <w:pStyle w:val="Heading3"/>
      </w:pPr>
      <w:bookmarkStart w:id="135" w:name="peer-review"/>
      <w:r>
        <w:t xml:space="preserve">Peer review</w:t>
      </w:r>
      <w:bookmarkEnd w:id="135"/>
    </w:p>
    <w:p>
      <w:pPr>
        <w:pStyle w:val="FirstParagraph"/>
      </w:pPr>
      <w:r>
        <w:t xml:space="preserve">Quá trình chuyên gia cùng lĩnh vực đánh giá bài về đóng góp, phương pháp, diễn giải và trình bày.</w:t>
      </w:r>
    </w:p>
    <w:p>
      <w:pPr>
        <w:pStyle w:val="Heading3"/>
      </w:pPr>
      <w:bookmarkStart w:id="136" w:name="q1-q2"/>
      <w:r>
        <w:t xml:space="preserve">Q1, Q2</w:t>
      </w:r>
      <w:bookmarkEnd w:id="136"/>
    </w:p>
    <w:p>
      <w:pPr>
        <w:pStyle w:val="FirstParagraph"/>
      </w:pPr>
      <w:r>
        <w:t xml:space="preserve">Quartile của tạp chí trong một hệ thống và ngành cụ thể. Q1 là 25% trên, Q2 là 25–50%. Một tạp chí có thể có quartile khác nhau theo Scopus/SJR, JCR và từng danh mục. Cần xác minh ngay trước khi nộp.</w:t>
      </w:r>
    </w:p>
    <w:p>
      <w:pPr>
        <w:pStyle w:val="Heading3"/>
      </w:pPr>
      <w:bookmarkStart w:id="137" w:name="ssci"/>
      <w:r>
        <w:t xml:space="preserve">SSCI</w:t>
      </w:r>
      <w:bookmarkEnd w:id="137"/>
    </w:p>
    <w:p>
      <w:pPr>
        <w:pStyle w:val="FirstParagraph"/>
      </w:pPr>
      <w:r>
        <w:t xml:space="preserve">Social Sciences Citation Index của Web of Science. Không đồng nghĩa tự động với Q1.</w:t>
      </w:r>
    </w:p>
    <w:p>
      <w:pPr>
        <w:pStyle w:val="Heading3"/>
      </w:pPr>
      <w:bookmarkStart w:id="138" w:name="scopus"/>
      <w:r>
        <w:t xml:space="preserve">Scopus</w:t>
      </w:r>
      <w:bookmarkEnd w:id="138"/>
    </w:p>
    <w:p>
      <w:pPr>
        <w:pStyle w:val="FirstParagraph"/>
      </w:pPr>
      <w:r>
        <w:t xml:space="preserve">Cơ sở dữ liệu tóm tắt và trích dẫn. Việc</w:t>
      </w:r>
      <w:r>
        <w:t xml:space="preserve"> </w:t>
      </w:r>
      <w:r>
        <w:t xml:space="preserve">“</w:t>
      </w:r>
      <w:r>
        <w:t xml:space="preserve">được Scopus lập chỉ mục</w:t>
      </w:r>
      <w:r>
        <w:t xml:space="preserve">”</w:t>
      </w:r>
      <w:r>
        <w:t xml:space="preserve"> </w:t>
      </w:r>
      <w:r>
        <w:t xml:space="preserve">không cho biết quartile nếu chưa xét danh mục và năm.</w:t>
      </w:r>
    </w:p>
    <w:p>
      <w:pPr>
        <w:pStyle w:val="Heading3"/>
      </w:pPr>
      <w:bookmarkStart w:id="139" w:name="novelty-tính-mới"/>
      <w:r>
        <w:t xml:space="preserve">Novelty — Tính mới</w:t>
      </w:r>
      <w:bookmarkEnd w:id="139"/>
    </w:p>
    <w:p>
      <w:pPr>
        <w:pStyle w:val="FirstParagraph"/>
      </w:pPr>
      <w:r>
        <w:t xml:space="preserve">Điều nghiên cứu bổ sung mà tài liệu trước chưa giải thích. Bối cảnh mới đơn thuần thường chưa đủ; cần đóng góp lý thuyết, đo lường hoặc cơ chế.</w:t>
      </w:r>
    </w:p>
    <w:p>
      <w:pPr>
        <w:pStyle w:val="Heading3"/>
      </w:pPr>
      <w:bookmarkStart w:id="140" w:name="X16626b137bf9ffcf04b95ce86bc8da3632537ef"/>
      <w:r>
        <w:t xml:space="preserve">Theoretical contribution — Đóng góp lý thuyết</w:t>
      </w:r>
      <w:bookmarkEnd w:id="140"/>
    </w:p>
    <w:p>
      <w:pPr>
        <w:pStyle w:val="FirstParagraph"/>
      </w:pPr>
      <w:r>
        <w:t xml:space="preserve">Nghiên cứu mở rộng, chỉnh sửa, tích hợp hoặc giới hạn một lý thuyết theo cách có thể áp dụng vượt ra ngoài mẫu cụ thể.</w:t>
      </w:r>
    </w:p>
    <w:p>
      <w:pPr>
        <w:pStyle w:val="Heading3"/>
      </w:pPr>
      <w:bookmarkStart w:id="141" w:name="practical-implication-hàm-ý-thực-tiễn"/>
      <w:r>
        <w:t xml:space="preserve">Practical implication — Hàm ý thực tiễn</w:t>
      </w:r>
      <w:bookmarkEnd w:id="141"/>
    </w:p>
    <w:p>
      <w:pPr>
        <w:pStyle w:val="FirstParagraph"/>
      </w:pPr>
      <w:r>
        <w:t xml:space="preserve">Điều nhà quản lý hoặc chính sách có thể làm dựa trên kết quả. Hàm ý phải bám bằng chứng, không vượt quá thiết kế nghiên cứu.</w:t>
      </w:r>
    </w:p>
    <w:p>
      <w:pPr>
        <w:pStyle w:val="Heading3"/>
      </w:pPr>
      <w:bookmarkStart w:id="142" w:name="registered-report-preregistration"/>
      <w:r>
        <w:t xml:space="preserve">Registered report / Preregistration</w:t>
      </w:r>
      <w:bookmarkEnd w:id="142"/>
    </w:p>
    <w:p>
      <w:pPr>
        <w:pStyle w:val="FirstParagraph"/>
      </w:pPr>
      <w:r>
        <w:t xml:space="preserve">Ghi trước giả thuyết và kế hoạch phân tích. Nó giúp phân biệt kiểm định xác nhận với khám phá sau khi xem dữ liệu.</w:t>
      </w:r>
    </w:p>
    <w:p>
      <w:pPr>
        <w:pStyle w:val="Heading3"/>
      </w:pPr>
      <w:bookmarkStart w:id="143" w:name="open-data-open-code"/>
      <w:r>
        <w:t xml:space="preserve">Open data / Open code</w:t>
      </w:r>
      <w:bookmarkEnd w:id="143"/>
    </w:p>
    <w:p>
      <w:pPr>
        <w:pStyle w:val="FirstParagraph"/>
      </w:pPr>
      <w:r>
        <w:t xml:space="preserve">Công bố dữ liệu đã ẩn danh và mã phân tích khi đạo đức, đồng thuận và bảo mật cho phép. Notebook có thể hỗ trợ tính minh bạch và tái lập.</w:t>
      </w:r>
    </w:p>
    <w:p>
      <w:pPr>
        <w:pStyle w:val="Heading2"/>
      </w:pPr>
      <w:bookmarkStart w:id="144" w:name="j.-mã-các-thang-đo-trong-nghiên-cứu"/>
      <w:r>
        <w:t xml:space="preserve">J. Mã các thang đo trong nghiên cứu</w:t>
      </w:r>
      <w:bookmarkEnd w:id="144"/>
    </w:p>
    <w:p>
      <w:pPr>
        <w:numPr>
          <w:ilvl w:val="0"/>
          <w:numId w:val="1002"/>
        </w:numPr>
        <w:pStyle w:val="Compact"/>
      </w:pPr>
      <w:r>
        <w:rPr>
          <w:b/>
        </w:rPr>
        <w:t xml:space="preserve">NOR:</w:t>
      </w:r>
      <w:r>
        <w:t xml:space="preserve"> </w:t>
      </w:r>
      <w:r>
        <w:t xml:space="preserve">Chuẩn mực.</w:t>
      </w:r>
    </w:p>
    <w:p>
      <w:pPr>
        <w:numPr>
          <w:ilvl w:val="0"/>
          <w:numId w:val="1002"/>
        </w:numPr>
        <w:pStyle w:val="Compact"/>
      </w:pPr>
      <w:r>
        <w:rPr>
          <w:b/>
        </w:rPr>
        <w:t xml:space="preserve">STR:</w:t>
      </w:r>
      <w:r>
        <w:t xml:space="preserve"> </w:t>
      </w:r>
      <w:r>
        <w:t xml:space="preserve">Chiến lược.</w:t>
      </w:r>
    </w:p>
    <w:p>
      <w:pPr>
        <w:numPr>
          <w:ilvl w:val="0"/>
          <w:numId w:val="1002"/>
        </w:numPr>
        <w:pStyle w:val="Compact"/>
      </w:pPr>
      <w:r>
        <w:rPr>
          <w:b/>
        </w:rPr>
        <w:t xml:space="preserve">OPE:</w:t>
      </w:r>
      <w:r>
        <w:t xml:space="preserve"> </w:t>
      </w:r>
      <w:r>
        <w:t xml:space="preserve">Hành động.</w:t>
      </w:r>
    </w:p>
    <w:p>
      <w:pPr>
        <w:numPr>
          <w:ilvl w:val="0"/>
          <w:numId w:val="1002"/>
        </w:numPr>
        <w:pStyle w:val="Compact"/>
      </w:pPr>
      <w:r>
        <w:rPr>
          <w:b/>
        </w:rPr>
        <w:t xml:space="preserve">LED:</w:t>
      </w:r>
      <w:r>
        <w:t xml:space="preserve"> </w:t>
      </w:r>
      <w:r>
        <w:t xml:space="preserve">Lãnh đạo.</w:t>
      </w:r>
    </w:p>
    <w:p>
      <w:pPr>
        <w:numPr>
          <w:ilvl w:val="0"/>
          <w:numId w:val="1002"/>
        </w:numPr>
        <w:pStyle w:val="Compact"/>
      </w:pPr>
      <w:r>
        <w:rPr>
          <w:b/>
        </w:rPr>
        <w:t xml:space="preserve">COL:</w:t>
      </w:r>
      <w:r>
        <w:t xml:space="preserve"> </w:t>
      </w:r>
      <w:r>
        <w:t xml:space="preserve">Giao tiếp.</w:t>
      </w:r>
    </w:p>
    <w:p>
      <w:pPr>
        <w:numPr>
          <w:ilvl w:val="0"/>
          <w:numId w:val="1002"/>
        </w:numPr>
        <w:pStyle w:val="Compact"/>
      </w:pPr>
      <w:r>
        <w:rPr>
          <w:b/>
        </w:rPr>
        <w:t xml:space="preserve">PAR:</w:t>
      </w:r>
      <w:r>
        <w:t xml:space="preserve"> </w:t>
      </w:r>
      <w:r>
        <w:t xml:space="preserve">Tham gia.</w:t>
      </w:r>
    </w:p>
    <w:p>
      <w:pPr>
        <w:numPr>
          <w:ilvl w:val="0"/>
          <w:numId w:val="1002"/>
        </w:numPr>
        <w:pStyle w:val="Compact"/>
      </w:pPr>
      <w:r>
        <w:rPr>
          <w:b/>
        </w:rPr>
        <w:t xml:space="preserve">TRU:</w:t>
      </w:r>
      <w:r>
        <w:t xml:space="preserve"> </w:t>
      </w:r>
      <w:r>
        <w:t xml:space="preserve">Niềm tin (khối Tâm lý – Tổ chức, cấp độ tập thể).</w:t>
      </w:r>
    </w:p>
    <w:p>
      <w:pPr>
        <w:numPr>
          <w:ilvl w:val="0"/>
          <w:numId w:val="1002"/>
        </w:numPr>
        <w:pStyle w:val="Compact"/>
      </w:pPr>
      <w:r>
        <w:rPr>
          <w:b/>
        </w:rPr>
        <w:t xml:space="preserve">SHA:</w:t>
      </w:r>
      <w:r>
        <w:t xml:space="preserve"> </w:t>
      </w:r>
      <w:r>
        <w:t xml:space="preserve">Các giá trị (khối Tâm lý – Tổ chức, cấp độ tập thể).</w:t>
      </w:r>
    </w:p>
    <w:p>
      <w:pPr>
        <w:numPr>
          <w:ilvl w:val="0"/>
          <w:numId w:val="1002"/>
        </w:numPr>
        <w:pStyle w:val="Compact"/>
      </w:pPr>
      <w:r>
        <w:rPr>
          <w:b/>
        </w:rPr>
        <w:t xml:space="preserve">COM:</w:t>
      </w:r>
      <w:r>
        <w:t xml:space="preserve"> </w:t>
      </w:r>
      <w:r>
        <w:t xml:space="preserve">Cam kết (khối Tâm lý – Tổ chức, cấp độ cá nhân).</w:t>
      </w:r>
    </w:p>
    <w:p>
      <w:pPr>
        <w:numPr>
          <w:ilvl w:val="0"/>
          <w:numId w:val="1002"/>
        </w:numPr>
        <w:pStyle w:val="Compact"/>
      </w:pPr>
      <w:r>
        <w:rPr>
          <w:b/>
        </w:rPr>
        <w:t xml:space="preserve">RES:</w:t>
      </w:r>
      <w:r>
        <w:t xml:space="preserve"> </w:t>
      </w:r>
      <w:r>
        <w:t xml:space="preserve">Trách nhiệm (khối Tâm lý – Tổ chức, cấp độ cá nhân).</w:t>
      </w:r>
    </w:p>
    <w:p>
      <w:pPr>
        <w:numPr>
          <w:ilvl w:val="0"/>
          <w:numId w:val="1002"/>
        </w:numPr>
        <w:pStyle w:val="Compact"/>
      </w:pPr>
      <w:r>
        <w:rPr>
          <w:b/>
        </w:rPr>
        <w:t xml:space="preserve">ENG:</w:t>
      </w:r>
      <w:r>
        <w:t xml:space="preserve"> </w:t>
      </w:r>
      <w:r>
        <w:t xml:space="preserve">Gắn kết (khối Tâm lý – Tổ chức, cấp độ cá nhân).</w:t>
      </w:r>
    </w:p>
    <w:p>
      <w:pPr>
        <w:numPr>
          <w:ilvl w:val="0"/>
          <w:numId w:val="1002"/>
        </w:numPr>
        <w:pStyle w:val="Compact"/>
      </w:pPr>
      <w:r>
        <w:rPr>
          <w:b/>
        </w:rPr>
        <w:t xml:space="preserve">GLO:</w:t>
      </w:r>
      <w:r>
        <w:t xml:space="preserve"> </w:t>
      </w:r>
      <w:r>
        <w:t xml:space="preserve">Các khía cạnh tổng thể — thang đo dùng để</w:t>
      </w:r>
      <w:r>
        <w:t xml:space="preserve"> </w:t>
      </w:r>
      <w:r>
        <w:rPr>
          <w:b/>
        </w:rPr>
        <w:t xml:space="preserve">đo</w:t>
      </w:r>
      <w:r>
        <w:t xml:space="preserve"> </w:t>
      </w:r>
      <w:r>
        <w:t xml:space="preserve">văn hóa chất lượng.</w:t>
      </w:r>
    </w:p>
    <w:p>
      <w:pPr>
        <w:numPr>
          <w:ilvl w:val="0"/>
          <w:numId w:val="1002"/>
        </w:numPr>
        <w:pStyle w:val="Compact"/>
      </w:pPr>
      <w:r>
        <w:rPr>
          <w:b/>
        </w:rPr>
        <w:t xml:space="preserve">OCM:</w:t>
      </w:r>
      <w:r>
        <w:t xml:space="preserve"> </w:t>
      </w:r>
      <w:r>
        <w:t xml:space="preserve">Cam kết tổ chức.</w:t>
      </w:r>
    </w:p>
    <w:p>
      <w:pPr>
        <w:numPr>
          <w:ilvl w:val="0"/>
          <w:numId w:val="1002"/>
        </w:numPr>
        <w:pStyle w:val="Compact"/>
      </w:pPr>
      <w:r>
        <w:rPr>
          <w:b/>
        </w:rPr>
        <w:t xml:space="preserve">SAT_O:</w:t>
      </w:r>
      <w:r>
        <w:t xml:space="preserve"> </w:t>
      </w:r>
      <w:r>
        <w:t xml:space="preserve">Hài lòng với tổ chức.</w:t>
      </w:r>
    </w:p>
    <w:p>
      <w:pPr>
        <w:numPr>
          <w:ilvl w:val="0"/>
          <w:numId w:val="1002"/>
        </w:numPr>
        <w:pStyle w:val="Compact"/>
      </w:pPr>
      <w:r>
        <w:rPr>
          <w:b/>
        </w:rPr>
        <w:t xml:space="preserve">SAT_J:</w:t>
      </w:r>
      <w:r>
        <w:t xml:space="preserve"> </w:t>
      </w:r>
      <w:r>
        <w:t xml:space="preserve">Hài lòng với công việc.</w:t>
      </w:r>
    </w:p>
    <w:p>
      <w:pPr>
        <w:numPr>
          <w:ilvl w:val="0"/>
          <w:numId w:val="1002"/>
        </w:numPr>
        <w:pStyle w:val="Compact"/>
      </w:pPr>
      <w:r>
        <w:rPr>
          <w:b/>
        </w:rPr>
        <w:t xml:space="preserve">WEG:</w:t>
      </w:r>
      <w:r>
        <w:t xml:space="preserve"> </w:t>
      </w:r>
      <w:r>
        <w:t xml:space="preserve">Gắn kết công việc.</w:t>
      </w:r>
    </w:p>
    <w:p>
      <w:pPr>
        <w:numPr>
          <w:ilvl w:val="0"/>
          <w:numId w:val="1002"/>
        </w:numPr>
        <w:pStyle w:val="Compact"/>
      </w:pPr>
      <w:r>
        <w:rPr>
          <w:b/>
        </w:rPr>
        <w:t xml:space="preserve">PRO:</w:t>
      </w:r>
      <w:r>
        <w:t xml:space="preserve"> </w:t>
      </w:r>
      <w:r>
        <w:t xml:space="preserve">Phát triển chuyên môn.</w:t>
      </w:r>
    </w:p>
    <w:p>
      <w:pPr>
        <w:pStyle w:val="Heading2"/>
      </w:pPr>
      <w:bookmarkStart w:id="145" w:name="k.-cách-đọc-một-kết-quả-mẫu"/>
      <w:r>
        <w:t xml:space="preserve">K. Cách đọc một kết quả mẫu</w:t>
      </w:r>
      <w:bookmarkEnd w:id="145"/>
    </w:p>
    <w:p>
      <w:pPr>
        <w:pStyle w:val="FirstParagraph"/>
      </w:pPr>
      <w:r>
        <w:t xml:space="preserve">Kết quả:</w:t>
      </w:r>
    </w:p>
    <w:p>
      <w:pPr>
        <w:pStyle w:val="BlockText"/>
      </w:pPr>
      <w:r>
        <w:t xml:space="preserve">COL → GLO: β = 0,237; p &lt; 0,001 sau khi loại GLO4 và GLO5.</w:t>
      </w:r>
    </w:p>
    <w:p>
      <w:pPr>
        <w:pStyle w:val="FirstParagraph"/>
      </w:pPr>
      <w:r>
        <w:t xml:space="preserve">Cách hiểu đúng:</w:t>
      </w:r>
    </w:p>
    <w:p>
      <w:pPr>
        <w:numPr>
          <w:ilvl w:val="0"/>
          <w:numId w:val="1003"/>
        </w:numPr>
        <w:pStyle w:val="Compact"/>
      </w:pPr>
      <w:r>
        <w:t xml:space="preserve">Quan hệ có chiều dương.</w:t>
      </w:r>
    </w:p>
    <w:p>
      <w:pPr>
        <w:numPr>
          <w:ilvl w:val="0"/>
          <w:numId w:val="1003"/>
        </w:numPr>
        <w:pStyle w:val="Compact"/>
      </w:pPr>
      <w:r>
        <w:t xml:space="preserve">Khi COL tăng một độ lệch chuẩn, GLO dự báo tăng khoảng 0,237 độ lệch chuẩn trong mô hình cụ thể.</w:t>
      </w:r>
    </w:p>
    <w:p>
      <w:pPr>
        <w:numPr>
          <w:ilvl w:val="0"/>
          <w:numId w:val="1003"/>
        </w:numPr>
        <w:pStyle w:val="Compact"/>
      </w:pPr>
      <w:r>
        <w:t xml:space="preserve">Dữ liệu chống lại giả thuyết hệ số bằng 0.</w:t>
      </w:r>
    </w:p>
    <w:p>
      <w:pPr>
        <w:numPr>
          <w:ilvl w:val="0"/>
          <w:numId w:val="1003"/>
        </w:numPr>
        <w:pStyle w:val="Compact"/>
      </w:pPr>
      <w:r>
        <w:t xml:space="preserve">Kết quả vẫn giữ sau một thay đổi hợp lý của thang GLO.</w:t>
      </w:r>
    </w:p>
    <w:p>
      <w:pPr>
        <w:pStyle w:val="FirstParagraph"/>
      </w:pPr>
      <w:r>
        <w:t xml:space="preserve">Kết quả không cho phép kết luận:</w:t>
      </w:r>
    </w:p>
    <w:p>
      <w:pPr>
        <w:numPr>
          <w:ilvl w:val="0"/>
          <w:numId w:val="1004"/>
        </w:numPr>
        <w:pStyle w:val="Compact"/>
      </w:pPr>
      <w:r>
        <w:t xml:space="preserve">Cải thiện giao tiếp chắc chắn gây ra tăng GLO 0,237 đơn vị.</w:t>
      </w:r>
    </w:p>
    <w:p>
      <w:pPr>
        <w:numPr>
          <w:ilvl w:val="0"/>
          <w:numId w:val="1004"/>
        </w:numPr>
        <w:pStyle w:val="Compact"/>
      </w:pPr>
      <w:r>
        <w:t xml:space="preserve">Quan hệ đúng cho mọi trường.</w:t>
      </w:r>
    </w:p>
    <w:p>
      <w:pPr>
        <w:numPr>
          <w:ilvl w:val="0"/>
          <w:numId w:val="1004"/>
        </w:numPr>
        <w:pStyle w:val="Compact"/>
      </w:pPr>
      <w:r>
        <w:t xml:space="preserve">Không còn sai lệch phương pháp hoặc nhiễu.</w:t>
      </w:r>
    </w:p>
    <w:p>
      <w:pPr>
        <w:pStyle w:val="FirstParagraph"/>
      </w:pPr>
      <w:r>
        <w:rPr>
          <w:b/>
        </w:rPr>
        <w:t xml:space="preserve">Nguyên tắc quan trọng nhất:</w:t>
      </w:r>
      <w:r>
        <w:t xml:space="preserve"> </w:t>
      </w:r>
      <w:r>
        <w:t xml:space="preserve">một chỉ số thống kê chỉ có ý nghĩa khi được đặt trong lý thuyết, chất lượng đo lường, thiết kế lấy mẫu và giới hạn suy luận của nghiên cứu.</w:t>
      </w:r>
    </w:p>
    <w:p>
      <w:pPr>
        <w:pStyle w:val="Heading2"/>
      </w:pPr>
      <w:bookmarkStart w:id="146" w:name="X318561a8106a89d9411e180fb00ae21f855c456"/>
      <w:r>
        <w:t xml:space="preserve">M. Thuật ngữ bất biến đo lường, cấu trúc lồng nhau và phân tích hỗn hợp</w:t>
      </w:r>
      <w:bookmarkEnd w:id="146"/>
    </w:p>
    <w:p>
      <w:pPr>
        <w:pStyle w:val="Heading3"/>
      </w:pPr>
      <w:bookmarkStart w:id="147" w:name="Xb4fafd245c2182d3a774597148acb972f1b0e58"/>
      <w:r>
        <w:t xml:space="preserve">Bất biến đo lường — Measurement invariance (MI)</w:t>
      </w:r>
      <w:bookmarkEnd w:id="147"/>
    </w:p>
    <w:p>
      <w:pPr>
        <w:pStyle w:val="FirstParagraph"/>
      </w:pPr>
      <w:r>
        <w:t xml:space="preserve">Điều kiện để so sánh trung bình giữa hai nhóm là hợp lệ: thang đo phải</w:t>
      </w:r>
      <w:r>
        <w:t xml:space="preserve"> </w:t>
      </w:r>
      <w:r>
        <w:t xml:space="preserve">“</w:t>
      </w:r>
      <w:r>
        <w:t xml:space="preserve">đo cùng một thứ theo cùng một cách</w:t>
      </w:r>
      <w:r>
        <w:t xml:space="preserve">”</w:t>
      </w:r>
      <w:r>
        <w:t xml:space="preserve"> </w:t>
      </w:r>
      <w:r>
        <w:t xml:space="preserve">ở cả hai nhóm. Bốn cấp: configural (cùng cấu trúc), metric (cùng tải nhân tố), scalar (cùng intercept), strict (cùng sai số). Muốn so sánh trung bình cần tối thiểu scalar.</w:t>
      </w:r>
    </w:p>
    <w:p>
      <w:pPr>
        <w:pStyle w:val="Heading3"/>
      </w:pPr>
      <w:bookmarkStart w:id="148" w:name="Xe4e2ae0c0484c31d096a829ae3d668c0b98c8fb"/>
      <w:r>
        <w:t xml:space="preserve">Hệ số tương đồng Tucker — Tucker’s congruence coefficient (φ)</w:t>
      </w:r>
      <w:bookmarkEnd w:id="148"/>
    </w:p>
    <w:p>
      <w:pPr>
        <w:pStyle w:val="FirstParagraph"/>
      </w:pPr>
      <w:r>
        <w:t xml:space="preserve">Đo mức giống nhau giữa hai vector tải nhân tố của hai nhóm. Quy ước: φ ≥ 0,95 tương đương; 0,90–0,95 khá. Là</w:t>
      </w:r>
      <w:r>
        <w:t xml:space="preserve"> </w:t>
      </w:r>
      <w:r>
        <w:rPr>
          <w:b/>
        </w:rPr>
        <w:t xml:space="preserve">phương án thay thế cho kiểm định metric khi mẫu nhóm quá nhỏ</w:t>
      </w:r>
      <w:r>
        <w:t xml:space="preserve">. Nghiên cứu này đạt φ = 0,994 cho GLO.</w:t>
      </w:r>
    </w:p>
    <w:p>
      <w:pPr>
        <w:pStyle w:val="Heading3"/>
      </w:pPr>
      <w:bookmarkStart w:id="149" w:name="dif-differential-item-functioning"/>
      <w:r>
        <w:t xml:space="preserve">DIF — Differential Item Functioning</w:t>
      </w:r>
      <w:bookmarkEnd w:id="149"/>
    </w:p>
    <w:p>
      <w:pPr>
        <w:pStyle w:val="FirstParagraph"/>
      </w:pPr>
      <w:r>
        <w:t xml:space="preserve">Hiện tượng hai người có cùng mức độ của khái niệm tiềm ẩn nhưng trả lời khác nhau ở một item, do đặc điểm nhóm. DIF đều (uniform) = chênh lệch cố định; DIF không đều (non-uniform) = chênh lệch thay đổi theo mức độ tiềm ẩn. Nghiên cứu phát hiện 4/21 item bị gắn cờ.</w:t>
      </w:r>
    </w:p>
    <w:p>
      <w:pPr>
        <w:pStyle w:val="Heading3"/>
      </w:pPr>
      <w:bookmarkStart w:id="150" w:name="icc1-intraclass-correlation-coefficient"/>
      <w:r>
        <w:t xml:space="preserve">ICC(1) — Intraclass Correlation Coefficient</w:t>
      </w:r>
      <w:bookmarkEnd w:id="150"/>
    </w:p>
    <w:p>
      <w:pPr>
        <w:pStyle w:val="FirstParagraph"/>
      </w:pPr>
      <w:r>
        <w:t xml:space="preserve">Tỷ lệ phương sai của một biến do khác biệt giữa các cụm (ở đây là trường). ICC ≥ 0,05 thường được xem là ngưỡng cần tính đến cụm. GLO có ICC = 0,081.</w:t>
      </w:r>
    </w:p>
    <w:p>
      <w:pPr>
        <w:pStyle w:val="Heading3"/>
      </w:pPr>
      <w:bookmarkStart w:id="151" w:name="design-effect-và-n-hiệu-dụng"/>
      <w:r>
        <w:t xml:space="preserve">Design effect và N hiệu dụng</w:t>
      </w:r>
      <w:bookmarkEnd w:id="151"/>
    </w:p>
    <w:p>
      <w:pPr>
        <w:pStyle w:val="FirstParagraph"/>
      </w:pPr>
      <w:r>
        <w:t xml:space="preserve">Design effect = 1 + (cỡ cụm trung bình − 1) × ICC. Cho biết mẫu lồng nhau</w:t>
      </w:r>
      <w:r>
        <w:t xml:space="preserve"> </w:t>
      </w:r>
      <w:r>
        <w:t xml:space="preserve">“</w:t>
      </w:r>
      <w:r>
        <w:t xml:space="preserve">mất</w:t>
      </w:r>
      <w:r>
        <w:t xml:space="preserve">”</w:t>
      </w:r>
      <w:r>
        <w:t xml:space="preserve"> </w:t>
      </w:r>
      <w:r>
        <w:t xml:space="preserve">bao nhiêu thông tin so với mẫu ngẫu nhiên đơn giản. N hiệu dụng = N / design effect. Với GLO: 281 / 5,49 ≈ 51.</w:t>
      </w:r>
    </w:p>
    <w:p>
      <w:pPr>
        <w:pStyle w:val="Heading3"/>
      </w:pPr>
      <w:bookmarkStart w:id="152" w:name="Xab8a62b1f4cd0e5013ee2600bfd20b313fd05df"/>
      <w:r>
        <w:t xml:space="preserve">Sai số chuẩn theo cụm — Cluster-robust standard error</w:t>
      </w:r>
      <w:bookmarkEnd w:id="152"/>
    </w:p>
    <w:p>
      <w:pPr>
        <w:pStyle w:val="FirstParagraph"/>
      </w:pPr>
      <w:r>
        <w:t xml:space="preserve">Cách hiệu chỉnh sai số chuẩn khi quan sát trong cùng cụm không độc lập. Không thay đổi hệ số β, chỉ thay đổi sai số chuẩn và p-value. Trong nghiên cứu này, SE tăng tới 2,05 lần nhưng kết luận chính không đổi.</w:t>
      </w:r>
    </w:p>
    <w:p>
      <w:pPr>
        <w:pStyle w:val="Heading3"/>
      </w:pPr>
      <w:bookmarkStart w:id="153" w:name="X30384de7c9271bd1831f374b8186330081b91d6"/>
      <w:r>
        <w:t xml:space="preserve">Mô hình hỗn hợp — Mixed-effects model / random intercept</w:t>
      </w:r>
      <w:bookmarkEnd w:id="153"/>
    </w:p>
    <w:p>
      <w:pPr>
        <w:pStyle w:val="FirstParagraph"/>
      </w:pPr>
      <w:r>
        <w:t xml:space="preserve">Mô hình cho phép mỗi cụm có điểm xuất phát riêng, ước lượng đồng thời phương sai trong cụm và giữa cụm. Là giải pháp chuẩn cho dữ liệu lồng nhau, nhưng với chỉ 5 cụm thì ước lượng phương sai cấp cụm kém ổn định.</w:t>
      </w:r>
    </w:p>
    <w:p>
      <w:pPr>
        <w:pStyle w:val="Heading3"/>
      </w:pPr>
      <w:bookmarkStart w:id="154" w:name="X2d6cc3dc47a3bdf77bdc225beefa467dc1a013b"/>
      <w:r>
        <w:t xml:space="preserve">Thiết kế giải thích tuần tự — Explanatory sequential design</w:t>
      </w:r>
      <w:bookmarkEnd w:id="154"/>
    </w:p>
    <w:p>
      <w:pPr>
        <w:pStyle w:val="FirstParagraph"/>
      </w:pPr>
      <w:r>
        <w:t xml:space="preserve">Thiết kế hỗn hợp trong đó giai đoạn định lượng thực hiện trước, kết quả của nó định hướng giai đoạn định tính, và định tính có nhiệm vụ</w:t>
      </w:r>
      <w:r>
        <w:t xml:space="preserve"> </w:t>
      </w:r>
      <w:r>
        <w:rPr>
          <w:b/>
        </w:rPr>
        <w:t xml:space="preserve">giải thích</w:t>
      </w:r>
      <w:r>
        <w:t xml:space="preserve"> </w:t>
      </w:r>
      <w:r>
        <w:t xml:space="preserve">những phát hiện định lượng.</w:t>
      </w:r>
    </w:p>
    <w:p>
      <w:pPr>
        <w:pStyle w:val="Heading3"/>
      </w:pPr>
      <w:bookmarkStart w:id="155" w:name="joint-display"/>
      <w:r>
        <w:t xml:space="preserve">Joint display</w:t>
      </w:r>
      <w:bookmarkEnd w:id="155"/>
    </w:p>
    <w:p>
      <w:pPr>
        <w:pStyle w:val="FirstParagraph"/>
      </w:pPr>
      <w:r>
        <w:t xml:space="preserve">Bảng hoặc hình đặt cạnh nhau kết quả định lượng, kết quả định tính và suy luận tích hợp cho từng chủ đề. Đây là bằng chứng cho thấy nghiên cứu</w:t>
      </w:r>
      <w:r>
        <w:t xml:space="preserve"> </w:t>
      </w:r>
      <w:r>
        <w:rPr>
          <w:b/>
        </w:rPr>
        <w:t xml:space="preserve">thực sự tích hợp</w:t>
      </w:r>
      <w:r>
        <w:t xml:space="preserve"> </w:t>
      </w:r>
      <w:r>
        <w:t xml:space="preserve">chứ không chỉ đặt hai nhánh cạnh nhau.</w:t>
      </w:r>
    </w:p>
    <w:p>
      <w:pPr>
        <w:pStyle w:val="Heading3"/>
      </w:pPr>
      <w:bookmarkStart w:id="156" w:name="meta-inference"/>
      <w:r>
        <w:t xml:space="preserve">Meta-inference</w:t>
      </w:r>
      <w:bookmarkEnd w:id="156"/>
    </w:p>
    <w:p>
      <w:pPr>
        <w:pStyle w:val="FirstParagraph"/>
      </w:pPr>
      <w:r>
        <w:t xml:space="preserve">Suy luận rút ra từ việc tích hợp hai nhánh mà</w:t>
      </w:r>
      <w:r>
        <w:t xml:space="preserve"> </w:t>
      </w:r>
      <w:r>
        <w:rPr>
          <w:b/>
        </w:rPr>
        <w:t xml:space="preserve">không nhánh nào tự mình cho ra được</w:t>
      </w:r>
      <w:r>
        <w:t xml:space="preserve">. Đây là tiêu chí đánh giá giá trị gia tăng của thiết kế hỗn hợp.</w:t>
      </w:r>
    </w:p>
    <w:p>
      <w:pPr>
        <w:pStyle w:val="Heading3"/>
      </w:pPr>
      <w:bookmarkStart w:id="157" w:name="legitimation"/>
      <w:r>
        <w:t xml:space="preserve">Legitimation</w:t>
      </w:r>
      <w:bookmarkEnd w:id="157"/>
    </w:p>
    <w:p>
      <w:pPr>
        <w:pStyle w:val="FirstParagraph"/>
      </w:pPr>
      <w:r>
        <w:t xml:space="preserve">Khung đánh giá tính hợp lệ dành riêng cho nghiên cứu hỗn hợp (Onwuegbuzie &amp; Johnson, 2006), gồm 9 tiêu chí như sample integration, weakness minimization, commensurability.</w:t>
      </w:r>
    </w:p>
    <w:p>
      <w:pPr>
        <w:pStyle w:val="Heading3"/>
      </w:pPr>
      <w:bookmarkStart w:id="158" w:name="dissonance-bất-đồng-giữa-hai-nhánh"/>
      <w:r>
        <w:t xml:space="preserve">Dissonance — Bất đồng giữa hai nhánh</w:t>
      </w:r>
      <w:bookmarkEnd w:id="158"/>
    </w:p>
    <w:p>
      <w:pPr>
        <w:pStyle w:val="FirstParagraph"/>
      </w:pPr>
      <w:r>
        <w:t xml:space="preserve">Khi định lượng và định tính cho kết luận trái nhau.</w:t>
      </w:r>
      <w:r>
        <w:t xml:space="preserve"> </w:t>
      </w:r>
      <w:r>
        <w:rPr>
          <w:b/>
        </w:rPr>
        <w:t xml:space="preserve">Đây là phát hiện có giá trị</w:t>
      </w:r>
      <w:r>
        <w:t xml:space="preserve">, không phải lỗi cần che giấu; thường chỉ ra hiện tượng phức tạp mà một phương pháp không nắm được.</w:t>
      </w:r>
    </w:p>
    <w:p>
      <w:pPr>
        <w:pStyle w:val="Heading2"/>
      </w:pPr>
      <w:bookmarkStart w:id="159" w:name="X977ab719d614c60b2f0595796abf68f82c87b7e"/>
      <w:r>
        <w:t xml:space="preserve">N. Thuật ngữ xử lý ngôn ngữ tự nhiên trong phân tích định tính</w:t>
      </w:r>
      <w:bookmarkEnd w:id="159"/>
    </w:p>
    <w:p>
      <w:pPr>
        <w:pStyle w:val="Heading3"/>
      </w:pPr>
      <w:bookmarkStart w:id="160" w:name="phobert"/>
      <w:r>
        <w:t xml:space="preserve">PhoBERT</w:t>
      </w:r>
      <w:bookmarkEnd w:id="160"/>
    </w:p>
    <w:p>
      <w:pPr>
        <w:pStyle w:val="FirstParagraph"/>
      </w:pPr>
      <w:r>
        <w:t xml:space="preserve">Mô hình ngôn ngữ tiền huấn luyện cho tiếng Việt (Nguyen &amp; Nguyen, 2020), dựa trên kiến trúc RoBERTa. Yêu cầu</w:t>
      </w:r>
      <w:r>
        <w:t xml:space="preserve"> </w:t>
      </w:r>
      <w:r>
        <w:rPr>
          <w:b/>
        </w:rPr>
        <w:t xml:space="preserve">tách từ trước</w:t>
      </w:r>
      <w:r>
        <w:t xml:space="preserve"> </w:t>
      </w:r>
      <w:r>
        <w:t xml:space="preserve">khi đưa vào model — khác với BERT tiếng Anh.</w:t>
      </w:r>
    </w:p>
    <w:p>
      <w:pPr>
        <w:pStyle w:val="Heading3"/>
      </w:pPr>
      <w:bookmarkStart w:id="161" w:name="embedding-vector-nhúng-ngữ-nghĩa"/>
      <w:r>
        <w:t xml:space="preserve">Embedding — Vector nhúng ngữ nghĩa</w:t>
      </w:r>
      <w:bookmarkEnd w:id="161"/>
    </w:p>
    <w:p>
      <w:pPr>
        <w:pStyle w:val="FirstParagraph"/>
      </w:pPr>
      <w:r>
        <w:t xml:space="preserve">Biểu diễn một đoạn văn bản thành vector số sao cho hai đoạn có nghĩa gần nhau thì vector gần nhau. Cho phép đo</w:t>
      </w:r>
      <w:r>
        <w:t xml:space="preserve"> </w:t>
      </w:r>
      <w:r>
        <w:t xml:space="preserve">“</w:t>
      </w:r>
      <w:r>
        <w:t xml:space="preserve">khoảng cách ngữ nghĩa</w:t>
      </w:r>
      <w:r>
        <w:t xml:space="preserve">”</w:t>
      </w:r>
      <w:r>
        <w:t xml:space="preserve"> </w:t>
      </w:r>
      <w:r>
        <w:t xml:space="preserve">giữa các phát ngôn.</w:t>
      </w:r>
    </w:p>
    <w:p>
      <w:pPr>
        <w:pStyle w:val="Heading3"/>
      </w:pPr>
      <w:bookmarkStart w:id="162" w:name="mean-pooling"/>
      <w:r>
        <w:t xml:space="preserve">Mean pooling</w:t>
      </w:r>
      <w:bookmarkEnd w:id="162"/>
    </w:p>
    <w:p>
      <w:pPr>
        <w:pStyle w:val="FirstParagraph"/>
      </w:pPr>
      <w:r>
        <w:t xml:space="preserve">Cách tạo vector đại diện cho cả câu bằng cách lấy trung bình vector của các token, có tính đến mặt nạ attention.</w:t>
      </w:r>
    </w:p>
    <w:p>
      <w:pPr>
        <w:pStyle w:val="Heading3"/>
      </w:pPr>
      <w:bookmarkStart w:id="163" w:name="ari-adjusted-rand-index"/>
      <w:r>
        <w:t xml:space="preserve">ARI — Adjusted Rand Index</w:t>
      </w:r>
      <w:bookmarkEnd w:id="163"/>
    </w:p>
    <w:p>
      <w:pPr>
        <w:pStyle w:val="FirstParagraph"/>
      </w:pPr>
      <w:r>
        <w:t xml:space="preserve">Đo mức trùng khớp giữa hai cách phân nhóm, đã hiệu chỉnh cho ngẫu nhiên. 0 = như ngẫu nhiên; 1 = trùng hoàn toàn. Dùng để so cụm AI với mã hóa của con người.</w:t>
      </w:r>
    </w:p>
    <w:p>
      <w:pPr>
        <w:pStyle w:val="Heading3"/>
      </w:pPr>
      <w:bookmarkStart w:id="164" w:name="nmi-normalized-mutual-information"/>
      <w:r>
        <w:t xml:space="preserve">NMI — Normalized Mutual Information</w:t>
      </w:r>
      <w:bookmarkEnd w:id="164"/>
    </w:p>
    <w:p>
      <w:pPr>
        <w:pStyle w:val="FirstParagraph"/>
      </w:pPr>
      <w:r>
        <w:t xml:space="preserve">Lượng thông tin chung giữa hai cách phân nhóm, chuẩn hóa về 0–1.</w:t>
      </w:r>
    </w:p>
    <w:p>
      <w:pPr>
        <w:pStyle w:val="Heading3"/>
      </w:pPr>
      <w:bookmarkStart w:id="165" w:name="bertopic"/>
      <w:r>
        <w:t xml:space="preserve">BERTopic</w:t>
      </w:r>
      <w:bookmarkEnd w:id="165"/>
    </w:p>
    <w:p>
      <w:pPr>
        <w:pStyle w:val="FirstParagraph"/>
      </w:pPr>
      <w:r>
        <w:t xml:space="preserve">Phương pháp mô hình chủ đề dùng embedding ngữ cảnh thay vì đếm từ như LDA. Ưu điểm: hiểu ngữ cảnh, tự xác định số chủ đề.</w:t>
      </w:r>
    </w:p>
    <w:p>
      <w:pPr>
        <w:pStyle w:val="Heading3"/>
      </w:pPr>
      <w:bookmarkStart w:id="166" w:name="log-odds-ratio-với-prior-fightin-words"/>
      <w:r>
        <w:t xml:space="preserve">Log-odds ratio với prior (fightin’ words)</w:t>
      </w:r>
      <w:bookmarkEnd w:id="166"/>
    </w:p>
    <w:p>
      <w:pPr>
        <w:pStyle w:val="FirstParagraph"/>
      </w:pPr>
      <w:r>
        <w:t xml:space="preserve">Kỹ thuật so sánh diễn ngôn hai nhóm, xác định từ/mã nào đặc trưng cho nhóm nào, có hiệu chỉnh cho tần suất thấp (Monroe et al., 2008). Tốt hơn so sánh tần suất thô.</w:t>
      </w:r>
    </w:p>
    <w:p>
      <w:pPr>
        <w:pStyle w:val="Heading3"/>
      </w:pPr>
      <w:bookmarkStart w:id="167" w:name="kiểm-định-hoán-vị-permutation-test"/>
      <w:r>
        <w:t xml:space="preserve">Kiểm định hoán vị — Permutation test</w:t>
      </w:r>
      <w:bookmarkEnd w:id="167"/>
    </w:p>
    <w:p>
      <w:pPr>
        <w:pStyle w:val="FirstParagraph"/>
      </w:pPr>
      <w:r>
        <w:t xml:space="preserve">Kiểm định phi tham số: so sánh giá trị quan sát với phân phối của giá trị đó khi nhãn nhóm bị xáo trộn ngẫu nhiên nhiều lần. Dùng để kiểm tra khoảng cách diễn ngôn giữa hai nhóm có vượt mức ngẫu nhiên không.</w:t>
      </w:r>
    </w:p>
    <w:p>
      <w:pPr>
        <w:pStyle w:val="Heading3"/>
      </w:pPr>
      <w:bookmarkStart w:id="168" w:name="cohens-kappa-trong-bối-cảnh-ai"/>
      <w:r>
        <w:t xml:space="preserve">Cohen’s kappa trong bối cảnh AI</w:t>
      </w:r>
      <w:bookmarkEnd w:id="168"/>
    </w:p>
    <w:p>
      <w:pPr>
        <w:pStyle w:val="FirstParagraph"/>
      </w:pPr>
      <w:r>
        <w:t xml:space="preserve">Đo đồng thuận giữa nhãn do AI gán và mã do người gán, có hiệu chỉnh cho đồng thuận ngẫu nhiên. Là bằng chứng bắt buộc khi báo cáo dùng AI trong phân tích định tính.</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2026-07-21T05:28:46Z</dcterms:created>
  <dcterms:modified xsi:type="dcterms:W3CDTF">2026-07-21T05:28:46Z</dcterms:modified>
</cp:coreProperties>
</file>

<file path=docProps/custom.xml><?xml version="1.0" encoding="utf-8"?>
<Properties xmlns="http://schemas.openxmlformats.org/officeDocument/2006/custom-properties" xmlns:vt="http://schemas.openxmlformats.org/officeDocument/2006/docPropsVTypes"/>
</file>