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ướng-dẫn-chạy-các-phân-tích-bổ-sung"/>
      <w:r>
        <w:t xml:space="preserve">HƯỚNG DẪN CHẠY CÁC PHÂN TÍCH BỔ SUNG</w:t>
      </w:r>
      <w:bookmarkEnd w:id="20"/>
    </w:p>
    <w:p>
      <w:pPr>
        <w:pStyle w:val="Heading2"/>
      </w:pPr>
      <w:bookmarkStart w:id="21" w:name="X771195a43748f7e80f3cd4e8feebefa916ddc39"/>
      <w:r>
        <w:t xml:space="preserve">Nghiên cứu văn hóa chất lượng — tài liệu vận hành cho nghiên cứu sinh</w:t>
      </w:r>
      <w:bookmarkEnd w:id="21"/>
    </w:p>
    <w:p>
      <w:pPr>
        <w:pStyle w:val="FirstParagraph"/>
      </w:pPr>
      <w:r>
        <w:rPr>
          <w:b/>
        </w:rPr>
        <w:t xml:space="preserve">Cập nhật:</w:t>
      </w:r>
      <w:r>
        <w:t xml:space="preserve"> </w:t>
      </w:r>
      <w:r>
        <w:t xml:space="preserve">tháng 7 năm 2026</w:t>
      </w:r>
    </w:p>
    <w:p>
      <w:r>
        <w:pict>
          <v:rect style="width:0;height:1.5pt" o:hralign="center" o:hrstd="t" o:hr="t"/>
        </w:pict>
      </w:r>
    </w:p>
    <w:p>
      <w:pPr>
        <w:pStyle w:val="Heading2"/>
      </w:pPr>
      <w:bookmarkStart w:id="22" w:name="bản-đồ-toàn-bộ-hồ-sơ-phân-tích"/>
      <w:r>
        <w:t xml:space="preserve">1. Bản đồ toàn bộ hồ sơ phân tích</w:t>
      </w:r>
      <w:bookmarkEnd w:id="22"/>
    </w:p>
    <w:p>
      <w:pPr>
        <w:pStyle w:val="SourceCode"/>
      </w:pPr>
      <w:r>
        <w:rPr>
          <w:rStyle w:val="VerbatimChar"/>
        </w:rPr>
        <w:t xml:space="preserve">MsKimSon/</w:t>
      </w:r>
      <w:r>
        <w:br/>
      </w:r>
      <w:r>
        <w:rPr>
          <w:rStyle w:val="VerbatimChar"/>
        </w:rPr>
        <w:t xml:space="preserve">├── DinhLuong/</w:t>
      </w:r>
      <w:r>
        <w:br/>
      </w:r>
      <w:r>
        <w:rPr>
          <w:rStyle w:val="VerbatimChar"/>
        </w:rPr>
        <w:t xml:space="preserve">│   ├── Cleaned_Data/281_PKS_ThongKe_Full_v1.3.xlsx      ← dữ liệu gốc</w:t>
      </w:r>
      <w:r>
        <w:br/>
      </w:r>
      <w:r>
        <w:rPr>
          <w:rStyle w:val="VerbatimChar"/>
        </w:rPr>
        <w:t xml:space="preserve">│   ├── KetQuaPhanTich/</w:t>
      </w:r>
      <w:r>
        <w:br/>
      </w:r>
      <w:r>
        <w:rPr>
          <w:rStyle w:val="VerbatimChar"/>
        </w:rPr>
        <w:t xml:space="preserve">│   │   ├── Phan_Tich_VHCL.ipynb                         ← notebook chính (tiếng Việt)</w:t>
      </w:r>
      <w:r>
        <w:br/>
      </w:r>
      <w:r>
        <w:rPr>
          <w:rStyle w:val="VerbatimChar"/>
        </w:rPr>
        <w:t xml:space="preserve">│   │   ├── Quality_Culture_Analysis_EN.ipynb            ← bản tiếng Anh</w:t>
      </w:r>
      <w:r>
        <w:br/>
      </w:r>
      <w:r>
        <w:rPr>
          <w:rStyle w:val="VerbatimChar"/>
        </w:rPr>
        <w:t xml:space="preserve">│   │   ├── ket_qua/ và results_en/                      ← kết quả</w:t>
      </w:r>
      <w:r>
        <w:br/>
      </w:r>
      <w:r>
        <w:rPr>
          <w:rStyle w:val="VerbatimChar"/>
        </w:rPr>
        <w:t xml:space="preserve">│   │   └── Tai_Lieu_Giai_Thich/                         ← 4 tài liệu thuyết minh</w:t>
      </w:r>
      <w:r>
        <w:br/>
      </w:r>
      <w:r>
        <w:rPr>
          <w:rStyle w:val="VerbatimChar"/>
        </w:rPr>
        <w:t xml:space="preserve">│   ├── Phan_Tich_Chuyen_Sau/ket_qua_MI_Cluster/         ← MI + clustering (MỚI)</w:t>
      </w:r>
      <w:r>
        <w:br/>
      </w:r>
      <w:r>
        <w:rPr>
          <w:rStyle w:val="VerbatimChar"/>
        </w:rPr>
        <w:t xml:space="preserve">│   └── Papers/                                          ← 2 bản thảo tiếng Anh</w:t>
      </w:r>
      <w:r>
        <w:br/>
      </w:r>
      <w:r>
        <w:rPr>
          <w:rStyle w:val="VerbatimChar"/>
        </w:rPr>
        <w:t xml:space="preserve">├── DinhTinh/</w:t>
      </w:r>
      <w:r>
        <w:br/>
      </w:r>
      <w:r>
        <w:rPr>
          <w:rStyle w:val="VerbatimChar"/>
        </w:rPr>
        <w:t xml:space="preserve">│   ├── *_SUM_00-10_*.xlsm                               ← workbook MaxQDA</w:t>
      </w:r>
      <w:r>
        <w:br/>
      </w:r>
      <w:r>
        <w:rPr>
          <w:rStyle w:val="VerbatimChar"/>
        </w:rPr>
        <w:t xml:space="preserve">│   ├── Bo_11_Bao_cao_*/                                 ← 22 báo cáo phân tích</w:t>
      </w:r>
      <w:r>
        <w:br/>
      </w:r>
      <w:r>
        <w:rPr>
          <w:rStyle w:val="VerbatimChar"/>
        </w:rPr>
        <w:t xml:space="preserve">│   └── Phan_Tich_AI/</w:t>
      </w:r>
      <w:r>
        <w:br/>
      </w:r>
      <w:r>
        <w:rPr>
          <w:rStyle w:val="VerbatimChar"/>
        </w:rPr>
        <w:t xml:space="preserve">│       └── Phan_Tich_Dinh_Tinh_AI_PhoBERT.ipynb         ← notebook AI (MỚI)</w:t>
      </w:r>
      <w:r>
        <w:br/>
      </w:r>
      <w:r>
        <w:rPr>
          <w:rStyle w:val="VerbatimChar"/>
        </w:rPr>
        <w:t xml:space="preserve">└── MixedMethods/</w:t>
      </w:r>
      <w:r>
        <w:br/>
      </w:r>
      <w:r>
        <w:rPr>
          <w:rStyle w:val="VerbatimChar"/>
        </w:rPr>
        <w:t xml:space="preserve">    └── Phan_Tich_Hon_Hop_Mixed_Methods.ipynb            ← tích hợp (MỚI)</w:t>
      </w:r>
    </w:p>
    <w:p>
      <w:pPr>
        <w:pStyle w:val="Heading2"/>
      </w:pPr>
      <w:bookmarkStart w:id="23" w:name="thứ-tự-chạy-bắt-buộc"/>
      <w:r>
        <w:t xml:space="preserve">2. Thứ tự chạy bắt buộc</w:t>
      </w:r>
      <w:bookmarkEnd w:id="23"/>
    </w:p>
    <w:p>
      <w:pPr>
        <w:pStyle w:val="FirstParagraph"/>
      </w:pPr>
      <w:r>
        <w:t xml:space="preserve">Các notebook có phụ thuộc lẫn nhau. Chạy sai thứ tự sẽ báo lỗi thiếu file.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Bước</w:t>
            </w:r>
          </w:p>
        </w:tc>
        <w:tc>
          <w:tcPr>
            <w:tcBorders>
              <w:bottom w:val="single"/>
            </w:tcBorders>
            <w:vAlign w:val="bottom"/>
          </w:tcPr>
          <w:p>
            <w:pPr>
              <w:pStyle w:val="Compact"/>
              <w:jc w:val="left"/>
            </w:pPr>
            <w:r>
              <w:t xml:space="preserve">Chạy gì</w:t>
            </w:r>
          </w:p>
        </w:tc>
        <w:tc>
          <w:tcPr>
            <w:tcBorders>
              <w:bottom w:val="single"/>
            </w:tcBorders>
            <w:vAlign w:val="bottom"/>
          </w:tcPr>
          <w:p>
            <w:pPr>
              <w:pStyle w:val="Compact"/>
              <w:jc w:val="left"/>
            </w:pPr>
            <w:r>
              <w:t xml:space="preserve">Sinh ra gì</w:t>
            </w:r>
          </w:p>
        </w:tc>
        <w:tc>
          <w:tcPr>
            <w:tcBorders>
              <w:bottom w:val="single"/>
            </w:tcBorders>
            <w:vAlign w:val="bottom"/>
          </w:tcPr>
          <w:p>
            <w:pPr>
              <w:pStyle w:val="Compact"/>
              <w:jc w:val="left"/>
            </w:pPr>
            <w:r>
              <w:t xml:space="preserve">Thời gian ước tính</w:t>
            </w:r>
          </w:p>
        </w:tc>
      </w:tr>
      <w:tr>
        <w:tc>
          <w:p>
            <w:pPr>
              <w:pStyle w:val="Compact"/>
              <w:jc w:val="left"/>
            </w:pPr>
            <w:r>
              <w:t xml:space="preserve">1</w:t>
            </w:r>
          </w:p>
        </w:tc>
        <w:tc>
          <w:p>
            <w:pPr>
              <w:pStyle w:val="Compact"/>
              <w:jc w:val="left"/>
            </w:pPr>
            <w:r>
              <w:rPr>
                <w:rStyle w:val="VerbatimChar"/>
              </w:rPr>
              <w:t xml:space="preserve">Phan_Tich_VHCL.ipynb</w:t>
            </w:r>
          </w:p>
        </w:tc>
        <w:tc>
          <w:p>
            <w:pPr>
              <w:pStyle w:val="Compact"/>
              <w:jc w:val="left"/>
            </w:pPr>
            <w:r>
              <w:rPr>
                <w:rStyle w:val="VerbatimChar"/>
              </w:rPr>
              <w:t xml:space="preserve">ket_qua/summary.json</w:t>
            </w:r>
            <w:r>
              <w:t xml:space="preserve"> </w:t>
            </w:r>
            <w:r>
              <w:t xml:space="preserve">+ bảng CSV</w:t>
            </w:r>
          </w:p>
        </w:tc>
        <w:tc>
          <w:p>
            <w:pPr>
              <w:pStyle w:val="Compact"/>
              <w:jc w:val="left"/>
            </w:pPr>
            <w:r>
              <w:t xml:space="preserve">5–15 phút</w:t>
            </w:r>
          </w:p>
        </w:tc>
      </w:tr>
      <w:tr>
        <w:tc>
          <w:p>
            <w:pPr>
              <w:pStyle w:val="Compact"/>
              <w:jc w:val="left"/>
            </w:pPr>
            <w:r>
              <w:t xml:space="preserve">2</w:t>
            </w:r>
          </w:p>
        </w:tc>
        <w:tc>
          <w:p>
            <w:pPr>
              <w:pStyle w:val="Compact"/>
              <w:jc w:val="left"/>
            </w:pPr>
            <w:r>
              <w:rPr>
                <w:rStyle w:val="VerbatimChar"/>
              </w:rPr>
              <w:t xml:space="preserve">mi_cluster.py</w:t>
            </w:r>
          </w:p>
        </w:tc>
        <w:tc>
          <w:p>
            <w:pPr>
              <w:pStyle w:val="Compact"/>
              <w:jc w:val="left"/>
            </w:pPr>
            <w:r>
              <w:rPr>
                <w:rStyle w:val="VerbatimChar"/>
              </w:rPr>
              <w:t xml:space="preserve">ket_qua_MI_Cluster/</w:t>
            </w:r>
          </w:p>
        </w:tc>
        <w:tc>
          <w:p>
            <w:pPr>
              <w:pStyle w:val="Compact"/>
              <w:jc w:val="left"/>
            </w:pPr>
            <w:r>
              <w:t xml:space="preserve">dưới 1 phút</w:t>
            </w:r>
          </w:p>
        </w:tc>
      </w:tr>
      <w:tr>
        <w:tc>
          <w:p>
            <w:pPr>
              <w:pStyle w:val="Compact"/>
              <w:jc w:val="left"/>
            </w:pPr>
            <w:r>
              <w:t xml:space="preserve">3</w:t>
            </w:r>
          </w:p>
        </w:tc>
        <w:tc>
          <w:p>
            <w:pPr>
              <w:pStyle w:val="Compact"/>
              <w:jc w:val="left"/>
            </w:pPr>
            <w:r>
              <w:rPr>
                <w:rStyle w:val="VerbatimChar"/>
              </w:rPr>
              <w:t xml:space="preserve">Phan_Tich_Dinh_Tinh_AI_PhoBERT.ipynb</w:t>
            </w:r>
          </w:p>
        </w:tc>
        <w:tc>
          <w:p>
            <w:pPr>
              <w:pStyle w:val="Compact"/>
              <w:jc w:val="left"/>
            </w:pPr>
            <w:r>
              <w:rPr>
                <w:rStyle w:val="VerbatimChar"/>
              </w:rPr>
              <w:t xml:space="preserve">ket_qua_ai/</w:t>
            </w:r>
          </w:p>
        </w:tc>
        <w:tc>
          <w:p>
            <w:pPr>
              <w:pStyle w:val="Compact"/>
              <w:jc w:val="left"/>
            </w:pPr>
            <w:r>
              <w:t xml:space="preserve">30–90 phút (CPU), 10–20 phút (GPU)</w:t>
            </w:r>
          </w:p>
        </w:tc>
      </w:tr>
      <w:tr>
        <w:tc>
          <w:p>
            <w:pPr>
              <w:pStyle w:val="Compact"/>
              <w:jc w:val="left"/>
            </w:pPr>
            <w:r>
              <w:t xml:space="preserve">4</w:t>
            </w:r>
          </w:p>
        </w:tc>
        <w:tc>
          <w:p>
            <w:pPr>
              <w:pStyle w:val="Compact"/>
              <w:jc w:val="left"/>
            </w:pPr>
            <w:r>
              <w:rPr>
                <w:rStyle w:val="VerbatimChar"/>
              </w:rPr>
              <w:t xml:space="preserve">Phan_Tich_Hon_Hop_Mixed_Methods.ipynb</w:t>
            </w:r>
          </w:p>
        </w:tc>
        <w:tc>
          <w:p>
            <w:pPr>
              <w:pStyle w:val="Compact"/>
              <w:jc w:val="left"/>
            </w:pPr>
            <w:r>
              <w:rPr>
                <w:rStyle w:val="VerbatimChar"/>
              </w:rPr>
              <w:t xml:space="preserve">ket_qua_mixed/</w:t>
            </w:r>
          </w:p>
        </w:tc>
        <w:tc>
          <w:p>
            <w:pPr>
              <w:pStyle w:val="Compact"/>
              <w:jc w:val="left"/>
            </w:pPr>
            <w:r>
              <w:t xml:space="preserve">dưới 2 phút</w:t>
            </w:r>
          </w:p>
        </w:tc>
      </w:tr>
    </w:tbl>
    <w:p>
      <w:pPr>
        <w:pStyle w:val="Heading2"/>
      </w:pPr>
      <w:bookmarkStart w:id="24" w:name="b.-đối-chiếu-với-bảng-tham-chiếu-mã-hóa"/>
      <w:r>
        <w:t xml:space="preserve">2b. Đối chiếu với Bảng tham chiếu mã hóa</w:t>
      </w:r>
      <w:bookmarkEnd w:id="24"/>
    </w:p>
    <w:p>
      <w:pPr>
        <w:pStyle w:val="FirstParagraph"/>
      </w:pPr>
      <w:r>
        <w:t xml:space="preserve">Toàn bộ phần định lượng được neo vào</w:t>
      </w:r>
      <w:r>
        <w:t xml:space="preserve"> </w:t>
      </w:r>
      <w:r>
        <w:rPr>
          <w:rStyle w:val="VerbatimChar"/>
        </w:rPr>
        <w:t xml:space="preserve">KetQuaPhanTich/BangThamChieu.pdf</w:t>
      </w:r>
      <w:r>
        <w:t xml:space="preserve">. Ba nơi cùng khai báo cấu trúc thang đo và phải luôn khớp nhau:</w:t>
      </w:r>
    </w:p>
    <w:tbl>
      <w:tblPr>
        <w:tblStyle w:val="Table"/>
        <w:tblW w:type="pct" w:w="0.0"/>
        <w:tblLook w:firstRow="1"/>
      </w:tblPr>
      <w:tblGrid/>
      <w:tr>
        <w:trPr>
          <w:cnfStyle w:firstRow="1"/>
        </w:trPr>
        <w:tc>
          <w:tcPr>
            <w:tcBorders>
              <w:bottom w:val="single"/>
            </w:tcBorders>
            <w:vAlign w:val="bottom"/>
          </w:tcPr>
          <w:p>
            <w:pPr>
              <w:pStyle w:val="Compact"/>
              <w:jc w:val="left"/>
            </w:pPr>
            <w:r>
              <w:t xml:space="preserve">Nơi khai báo</w:t>
            </w:r>
          </w:p>
        </w:tc>
        <w:tc>
          <w:tcPr>
            <w:tcBorders>
              <w:bottom w:val="single"/>
            </w:tcBorders>
            <w:vAlign w:val="bottom"/>
          </w:tcPr>
          <w:p>
            <w:pPr>
              <w:pStyle w:val="Compact"/>
              <w:jc w:val="left"/>
            </w:pPr>
            <w:r>
              <w:t xml:space="preserve">Biến</w:t>
            </w:r>
          </w:p>
        </w:tc>
      </w:tr>
      <w:tr>
        <w:tc>
          <w:p>
            <w:pPr>
              <w:pStyle w:val="Compact"/>
              <w:jc w:val="left"/>
            </w:pPr>
            <w:r>
              <w:rPr>
                <w:rStyle w:val="VerbatimChar"/>
              </w:rPr>
              <w:t xml:space="preserve">Phan_Tich_VHCL.ipynb</w:t>
            </w:r>
            <w:r>
              <w:t xml:space="preserve">, ô 2</w:t>
            </w:r>
          </w:p>
        </w:tc>
        <w:tc>
          <w:p>
            <w:pPr>
              <w:pStyle w:val="Compact"/>
              <w:jc w:val="left"/>
            </w:pPr>
            <w:r>
              <w:rPr>
                <w:rStyle w:val="VerbatimChar"/>
              </w:rPr>
              <w:t xml:space="preserve">CONSTRUCTS</w:t>
            </w:r>
            <w:r>
              <w:t xml:space="preserve">,</w:t>
            </w:r>
            <w:r>
              <w:t xml:space="preserve"> </w:t>
            </w:r>
            <w:r>
              <w:rPr>
                <w:rStyle w:val="VerbatimChar"/>
              </w:rPr>
              <w:t xml:space="preserve">TEN_VN</w:t>
            </w:r>
            <w:r>
              <w:t xml:space="preserve">,</w:t>
            </w:r>
            <w:r>
              <w:t xml:space="preserve"> </w:t>
            </w:r>
            <w:r>
              <w:rPr>
                <w:rStyle w:val="VerbatimChar"/>
              </w:rPr>
              <w:t xml:space="preserve">BLOCKS</w:t>
            </w:r>
            <w:r>
              <w:t xml:space="preserve">,</w:t>
            </w:r>
            <w:r>
              <w:t xml:space="preserve"> </w:t>
            </w:r>
            <w:r>
              <w:rPr>
                <w:rStyle w:val="VerbatimChar"/>
              </w:rPr>
              <w:t xml:space="preserve">SOURCES</w:t>
            </w:r>
            <w:r>
              <w:t xml:space="preserve">,</w:t>
            </w:r>
            <w:r>
              <w:t xml:space="preserve"> </w:t>
            </w:r>
            <w:r>
              <w:rPr>
                <w:rStyle w:val="VerbatimChar"/>
              </w:rPr>
              <w:t xml:space="preserve">N_DESIGN</w:t>
            </w:r>
          </w:p>
        </w:tc>
      </w:tr>
      <w:tr>
        <w:tc>
          <w:p>
            <w:pPr>
              <w:pStyle w:val="Compact"/>
              <w:jc w:val="left"/>
            </w:pPr>
            <w:r>
              <w:rPr>
                <w:rStyle w:val="VerbatimChar"/>
              </w:rPr>
              <w:t xml:space="preserve">Quality_Culture_Analysis_EN.ipynb</w:t>
            </w:r>
            <w:r>
              <w:t xml:space="preserve">, ô 2</w:t>
            </w:r>
          </w:p>
        </w:tc>
        <w:tc>
          <w:p>
            <w:pPr>
              <w:pStyle w:val="Compact"/>
              <w:jc w:val="left"/>
            </w:pPr>
            <w:r>
              <w:t xml:space="preserve">như trên, nhãn tiếng Anh</w:t>
            </w:r>
          </w:p>
        </w:tc>
      </w:tr>
      <w:tr>
        <w:tc>
          <w:p>
            <w:pPr>
              <w:pStyle w:val="Compact"/>
              <w:jc w:val="left"/>
            </w:pPr>
            <w:r>
              <w:rPr>
                <w:rStyle w:val="VerbatimChar"/>
              </w:rPr>
              <w:t xml:space="preserve">mi_cluster.py</w:t>
            </w:r>
            <w:r>
              <w:t xml:space="preserve"> </w:t>
            </w:r>
            <w:r>
              <w:t xml:space="preserve">/</w:t>
            </w:r>
            <w:r>
              <w:t xml:space="preserve"> </w:t>
            </w:r>
            <w:r>
              <w:rPr>
                <w:rStyle w:val="VerbatimChar"/>
              </w:rPr>
              <w:t xml:space="preserve">mi_cluster.ipynb</w:t>
            </w:r>
          </w:p>
        </w:tc>
        <w:tc>
          <w:p>
            <w:pPr>
              <w:pStyle w:val="Compact"/>
              <w:jc w:val="left"/>
            </w:pPr>
            <w:r>
              <w:rPr>
                <w:rStyle w:val="VerbatimChar"/>
              </w:rPr>
              <w:t xml:space="preserve">CONS</w:t>
            </w:r>
            <w:r>
              <w:t xml:space="preserve">,</w:t>
            </w:r>
            <w:r>
              <w:t xml:space="preserve"> </w:t>
            </w:r>
            <w:r>
              <w:rPr>
                <w:rStyle w:val="VerbatimChar"/>
              </w:rPr>
              <w:t xml:space="preserve">NAMES</w:t>
            </w:r>
            <w:r>
              <w:t xml:space="preserve">,</w:t>
            </w:r>
            <w:r>
              <w:t xml:space="preserve"> </w:t>
            </w:r>
            <w:r>
              <w:rPr>
                <w:rStyle w:val="VerbatimChar"/>
              </w:rPr>
              <w:t xml:space="preserve">BLOCKS</w:t>
            </w:r>
            <w:r>
              <w:t xml:space="preserve">,</w:t>
            </w:r>
            <w:r>
              <w:t xml:space="preserve"> </w:t>
            </w:r>
            <w:r>
              <w:rPr>
                <w:rStyle w:val="VerbatimChar"/>
              </w:rPr>
              <w:t xml:space="preserve">N_DESIGN</w:t>
            </w:r>
          </w:p>
        </w:tc>
      </w:tr>
    </w:tbl>
    <w:p>
      <w:pPr>
        <w:pStyle w:val="BodyText"/>
      </w:pPr>
      <w:r>
        <w:t xml:space="preserve">Mỗi lần chạy, các file này được sinh ra để kiểm tra nhanh:</w:t>
      </w:r>
    </w:p>
    <w:p>
      <w:pPr>
        <w:numPr>
          <w:ilvl w:val="0"/>
          <w:numId w:val="1001"/>
        </w:numPr>
        <w:pStyle w:val="Compact"/>
      </w:pPr>
      <w:r>
        <w:rPr>
          <w:rStyle w:val="VerbatimChar"/>
        </w:rPr>
        <w:t xml:space="preserve">ket_qua/bang_thang_do_tham_chieu.csv</w:t>
      </w:r>
    </w:p>
    <w:p>
      <w:pPr>
        <w:numPr>
          <w:ilvl w:val="0"/>
          <w:numId w:val="1001"/>
        </w:numPr>
        <w:pStyle w:val="Compact"/>
      </w:pPr>
      <w:r>
        <w:rPr>
          <w:rStyle w:val="VerbatimChar"/>
        </w:rPr>
        <w:t xml:space="preserve">results_en/table_scale_reference.csv</w:t>
      </w:r>
    </w:p>
    <w:p>
      <w:pPr>
        <w:numPr>
          <w:ilvl w:val="0"/>
          <w:numId w:val="1001"/>
        </w:numPr>
        <w:pStyle w:val="Compact"/>
      </w:pPr>
      <w:r>
        <w:rPr>
          <w:rStyle w:val="VerbatimChar"/>
        </w:rPr>
        <w:t xml:space="preserve">ket_qua_MI_Cluster/00_scale_reference.csv</w:t>
      </w:r>
    </w:p>
    <w:p>
      <w:pPr>
        <w:pStyle w:val="FirstParagraph"/>
      </w:pPr>
      <w:r>
        <w:t xml:space="preserve">Mỗi bảng có cột</w:t>
      </w:r>
      <w:r>
        <w:t xml:space="preserve"> </w:t>
      </w:r>
      <w:r>
        <w:rPr>
          <w:b/>
        </w:rPr>
        <w:t xml:space="preserve">Số item (thiết kế)</w:t>
      </w:r>
      <w:r>
        <w:t xml:space="preserve"> </w:t>
      </w:r>
      <w:r>
        <w:t xml:space="preserve">và</w:t>
      </w:r>
      <w:r>
        <w:t xml:space="preserve"> </w:t>
      </w:r>
      <w:r>
        <w:rPr>
          <w:b/>
        </w:rPr>
        <w:t xml:space="preserve">Số item (phân tích)</w:t>
      </w:r>
      <w:r>
        <w:t xml:space="preserve">. Ba dòng lệch nhau là bình thường và đã được giải thích:</w:t>
      </w:r>
    </w:p>
    <w:p>
      <w:pPr>
        <w:numPr>
          <w:ilvl w:val="0"/>
          <w:numId w:val="1002"/>
        </w:numPr>
        <w:pStyle w:val="Compact"/>
      </w:pPr>
      <w:r>
        <w:rPr>
          <w:b/>
        </w:rPr>
        <w:t xml:space="preserve">SHA:</w:t>
      </w:r>
      <w:r>
        <w:t xml:space="preserve"> </w:t>
      </w:r>
      <w:r>
        <w:t xml:space="preserve">4 → 2. SHA3/SHA4 là câu hỏi nhiều lựa chọn trên danh mục 24 giá trị, không phải thang Likert; phân tích riêng ở mục 13.</w:t>
      </w:r>
    </w:p>
    <w:p>
      <w:pPr>
        <w:numPr>
          <w:ilvl w:val="0"/>
          <w:numId w:val="1002"/>
        </w:numPr>
        <w:pStyle w:val="Compact"/>
      </w:pPr>
      <w:r>
        <w:rPr>
          <w:b/>
        </w:rPr>
        <w:t xml:space="preserve">COM:</w:t>
      </w:r>
      <w:r>
        <w:t xml:space="preserve"> </w:t>
      </w:r>
      <w:r>
        <w:t xml:space="preserve">4 → 3 sau hiệu chỉnh. COM4r bị loại do CITC &lt; 0,30.</w:t>
      </w:r>
    </w:p>
    <w:p>
      <w:pPr>
        <w:numPr>
          <w:ilvl w:val="0"/>
          <w:numId w:val="1002"/>
        </w:numPr>
        <w:pStyle w:val="Compact"/>
      </w:pPr>
      <w:r>
        <w:rPr>
          <w:b/>
        </w:rPr>
        <w:t xml:space="preserve">RES:</w:t>
      </w:r>
      <w:r>
        <w:t xml:space="preserve"> </w:t>
      </w:r>
      <w:r>
        <w:t xml:space="preserve">4 → 2 sau hiệu chỉnh. RES3 và RES4r bị loại do CITC &lt; 0,30.</w:t>
      </w:r>
    </w:p>
    <w:p>
      <w:pPr>
        <w:pStyle w:val="FirstParagraph"/>
      </w:pPr>
      <w:r>
        <w:t xml:space="preserve">Vì vậy 87 biến thiết kế tương ứng 85 biến quan sát Likert trong mô hình. Nếu con số in ra khác 87/85, nghĩa là một trong ba nơi khai báo đã lệch — sửa trước khi đọc kết quả.</w:t>
      </w:r>
    </w:p>
    <w:p>
      <w:pPr>
        <w:pStyle w:val="Heading2"/>
      </w:pPr>
      <w:bookmarkStart w:id="25" w:name="c.-bootstrap-pls-sem-có-lưu-điểm-dừng"/>
      <w:r>
        <w:t xml:space="preserve">2c. Bootstrap PLS-SEM có lưu điểm dừng</w:t>
      </w:r>
      <w:bookmarkEnd w:id="25"/>
    </w:p>
    <w:p>
      <w:pPr>
        <w:pStyle w:val="FirstParagraph"/>
      </w:pPr>
      <w:r>
        <w:t xml:space="preserve">Ô bootstrap trong cả hai notebook (</w:t>
      </w:r>
      <w:r>
        <w:rPr>
          <w:rStyle w:val="VerbatimChar"/>
        </w:rPr>
        <w:t xml:space="preserve">PLS_BOOT</w:t>
      </w:r>
      <w:r>
        <w:t xml:space="preserve">, mặc định 500) nay ghi các mẫu đã tính vào</w:t>
      </w:r>
      <w:r>
        <w:t xml:space="preserve"> </w:t>
      </w:r>
      <w:r>
        <w:rPr>
          <w:rStyle w:val="VerbatimChar"/>
        </w:rPr>
        <w:t xml:space="preserve">ket_qua/_pls_boot_cache.npz</w:t>
      </w:r>
      <w:r>
        <w:t xml:space="preserve"> </w:t>
      </w:r>
      <w:r>
        <w:t xml:space="preserve">(và</w:t>
      </w:r>
      <w:r>
        <w:t xml:space="preserve"> </w:t>
      </w:r>
      <w:r>
        <w:rPr>
          <w:rStyle w:val="VerbatimChar"/>
        </w:rPr>
        <w:t xml:space="preserve">results_en/_pls_boot_cache.npz</w:t>
      </w:r>
      <w:r>
        <w:t xml:space="preserve">). Hệ quả:</w:t>
      </w:r>
    </w:p>
    <w:p>
      <w:pPr>
        <w:numPr>
          <w:ilvl w:val="0"/>
          <w:numId w:val="1003"/>
        </w:numPr>
        <w:pStyle w:val="Compact"/>
      </w:pPr>
      <w:r>
        <w:t xml:space="preserve">Chạy lại ô này</w:t>
      </w:r>
      <w:r>
        <w:t xml:space="preserve"> </w:t>
      </w:r>
      <w:r>
        <w:rPr>
          <w:b/>
        </w:rPr>
        <w:t xml:space="preserve">không</w:t>
      </w:r>
      <w:r>
        <w:t xml:space="preserve"> </w:t>
      </w:r>
      <w:r>
        <w:t xml:space="preserve">tính lại từ đầu, chỉ bổ sung phần còn thiếu.</w:t>
      </w:r>
    </w:p>
    <w:p>
      <w:pPr>
        <w:numPr>
          <w:ilvl w:val="0"/>
          <w:numId w:val="1003"/>
        </w:numPr>
        <w:pStyle w:val="Compact"/>
      </w:pPr>
      <w:r>
        <w:t xml:space="preserve">Muốn CI ổn định hơn cho bản công bố, tăng</w:t>
      </w:r>
      <w:r>
        <w:t xml:space="preserve"> </w:t>
      </w:r>
      <w:r>
        <w:rPr>
          <w:rStyle w:val="VerbatimChar"/>
        </w:rPr>
        <w:t xml:space="preserve">PLS_BOOT</w:t>
      </w:r>
      <w:r>
        <w:t xml:space="preserve"> </w:t>
      </w:r>
      <w:r>
        <w:t xml:space="preserve">lên 5.000 rồi chạy lại ô đó; 500 mẫu cũ được giữ nguyên và chỉ tính thêm 4.500 mẫu.</w:t>
      </w:r>
    </w:p>
    <w:p>
      <w:pPr>
        <w:numPr>
          <w:ilvl w:val="0"/>
          <w:numId w:val="1003"/>
        </w:numPr>
        <w:pStyle w:val="Compact"/>
      </w:pPr>
      <w:r>
        <w:t xml:space="preserve">Muốn tính lại hoàn toàn, xóa file</w:t>
      </w:r>
      <w:r>
        <w:t xml:space="preserve"> </w:t>
      </w:r>
      <w:r>
        <w:rPr>
          <w:rStyle w:val="VerbatimChar"/>
        </w:rPr>
        <w:t xml:space="preserve">_pls_boot_cache.npz</w:t>
      </w:r>
      <w:r>
        <w:t xml:space="preserve">.</w:t>
      </w:r>
    </w:p>
    <w:p>
      <w:pPr>
        <w:numPr>
          <w:ilvl w:val="0"/>
          <w:numId w:val="1003"/>
        </w:numPr>
        <w:pStyle w:val="Compact"/>
      </w:pPr>
      <w:r>
        <w:t xml:space="preserve">Mỗi mẫu dùng seed riêng (</w:t>
      </w:r>
      <w:r>
        <w:rPr>
          <w:rStyle w:val="VerbatimChar"/>
        </w:rPr>
        <w:t xml:space="preserve">42 + số thứ tự</w:t>
      </w:r>
      <w:r>
        <w:t xml:space="preserve">) nên kết quả tái lập được.</w:t>
      </w:r>
    </w:p>
    <w:p>
      <w:pPr>
        <w:pStyle w:val="Heading2"/>
      </w:pPr>
      <w:bookmarkStart w:id="26" w:name="X08f647162cbeedf4b217994386ad5a6ae74530d"/>
      <w:r>
        <w:t xml:space="preserve">3. Notebook định tính AI — những điều cần biết trước khi chạy</w:t>
      </w:r>
      <w:bookmarkEnd w:id="26"/>
    </w:p>
    <w:p>
      <w:pPr>
        <w:pStyle w:val="Heading3"/>
      </w:pPr>
      <w:bookmarkStart w:id="27" w:name="cài-đặt"/>
      <w:r>
        <w:t xml:space="preserve">3.1. Cài đặt</w:t>
      </w:r>
      <w:bookmarkEnd w:id="27"/>
    </w:p>
    <w:p>
      <w:pPr>
        <w:pStyle w:val="SourceCode"/>
      </w:pPr>
      <w:r>
        <w:rPr>
          <w:rStyle w:val="ExtensionTok"/>
        </w:rPr>
        <w:t xml:space="preserve">pip</w:t>
      </w:r>
      <w:r>
        <w:rPr>
          <w:rStyle w:val="NormalTok"/>
        </w:rPr>
        <w:t xml:space="preserve"> install torch transformers bertopic hdbscan umap-learn</w:t>
      </w:r>
      <w:r>
        <w:br/>
      </w:r>
      <w:r>
        <w:rPr>
          <w:rStyle w:val="ExtensionTok"/>
        </w:rPr>
        <w:t xml:space="preserve">pip</w:t>
      </w:r>
      <w:r>
        <w:rPr>
          <w:rStyle w:val="NormalTok"/>
        </w:rPr>
        <w:t xml:space="preserve"> install underthesea networkx scikit-learn pandas openpyxl matplotlib seaborn</w:t>
      </w:r>
    </w:p>
    <w:p>
      <w:pPr>
        <w:pStyle w:val="FirstParagraph"/>
      </w:pPr>
      <w:r>
        <w:t xml:space="preserve">Lần chạy đầu tiên sẽ tải PhoBERT (~500 MB) từ HuggingFace. Cần kết nối internet.</w:t>
      </w:r>
    </w:p>
    <w:p>
      <w:pPr>
        <w:pStyle w:val="BodyText"/>
      </w:pPr>
      <w:r>
        <w:t xml:space="preserve">Nếu</w:t>
      </w:r>
      <w:r>
        <w:t xml:space="preserve"> </w:t>
      </w:r>
      <w:r>
        <w:rPr>
          <w:rStyle w:val="VerbatimChar"/>
        </w:rPr>
        <w:t xml:space="preserve">underthesea</w:t>
      </w:r>
      <w:r>
        <w:t xml:space="preserve"> </w:t>
      </w:r>
      <w:r>
        <w:t xml:space="preserve">cài lỗi trên Windows, thay bằng</w:t>
      </w:r>
      <w:r>
        <w:t xml:space="preserve"> </w:t>
      </w:r>
      <w:r>
        <w:rPr>
          <w:rStyle w:val="VerbatimChar"/>
        </w:rPr>
        <w:t xml:space="preserve">pip install pyvi</w:t>
      </w:r>
      <w:r>
        <w:t xml:space="preserve"> </w:t>
      </w:r>
      <w:r>
        <w:t xml:space="preserve">— notebook tự động chuyển sang phương án dự phòng.</w:t>
      </w:r>
    </w:p>
    <w:p>
      <w:pPr>
        <w:pStyle w:val="Heading3"/>
      </w:pPr>
      <w:bookmarkStart w:id="28" w:name="Xd2da9b2b95bb2ffa63556dc84ff9d1f8c291458"/>
      <w:r>
        <w:t xml:space="preserve">3.2. Điều quan trọng nhất: hai lớp dữ liệu được tách riêng</w:t>
      </w:r>
      <w:bookmarkEnd w:id="28"/>
    </w:p>
    <w:p>
      <w:pPr>
        <w:pStyle w:val="FirstParagraph"/>
      </w:pPr>
      <w:r>
        <w:t xml:space="preserve">Workbook MaxQDA chứa hai loại nội dung hoàn toàn khác nhau trong cùng một bảng:</w:t>
      </w:r>
    </w:p>
    <w:p>
      <w:pPr>
        <w:numPr>
          <w:ilvl w:val="0"/>
          <w:numId w:val="1004"/>
        </w:numPr>
        <w:pStyle w:val="Compact"/>
      </w:pPr>
      <w:r>
        <w:rPr>
          <w:b/>
        </w:rPr>
        <w:t xml:space="preserve">2.694 ô</w:t>
      </w:r>
      <w:r>
        <w:t xml:space="preserve"> </w:t>
      </w:r>
      <w:r>
        <w:t xml:space="preserve">là trích dẫn nguyên văn của người được phỏng vấn → dùng cho phân tích AI</w:t>
      </w:r>
    </w:p>
    <w:p>
      <w:pPr>
        <w:numPr>
          <w:ilvl w:val="0"/>
          <w:numId w:val="1004"/>
        </w:numPr>
        <w:pStyle w:val="Compact"/>
      </w:pPr>
      <w:r>
        <w:rPr>
          <w:b/>
        </w:rPr>
        <w:t xml:space="preserve">3.585 ô</w:t>
      </w:r>
      <w:r>
        <w:t xml:space="preserve"> </w:t>
      </w:r>
      <w:r>
        <w:t xml:space="preserve">là phần tổng hợp do chính nghiên cứu sinh viết (các cột</w:t>
      </w:r>
      <w:r>
        <w:t xml:space="preserve"> </w:t>
      </w:r>
      <w:r>
        <w:t xml:space="preserve">“</w:t>
      </w:r>
      <w:r>
        <w:t xml:space="preserve">Điểm hội tụ liên trường</w:t>
      </w:r>
      <w:r>
        <w:t xml:space="preserve">”</w:t>
      </w:r>
      <w:r>
        <w:t xml:space="preserve">,</w:t>
      </w:r>
      <w:r>
        <w:t xml:space="preserve"> </w:t>
      </w:r>
      <w:r>
        <w:t xml:space="preserve">“</w:t>
      </w:r>
      <w:r>
        <w:t xml:space="preserve">Điểm phân kì liên trường</w:t>
      </w:r>
      <w:r>
        <w:t xml:space="preserve">”</w:t>
      </w:r>
      <w:r>
        <w:t xml:space="preserve">,</w:t>
      </w:r>
      <w:r>
        <w:t xml:space="preserve"> </w:t>
      </w:r>
      <w:r>
        <w:t xml:space="preserve">“</w:t>
      </w:r>
      <w:r>
        <w:t xml:space="preserve">Diễn giải học thuật</w:t>
      </w:r>
      <w:r>
        <w:t xml:space="preserve">”</w:t>
      </w:r>
      <w:r>
        <w:t xml:space="preserve">,</w:t>
      </w:r>
      <w:r>
        <w:t xml:space="preserve"> </w:t>
      </w:r>
      <w:r>
        <w:t xml:space="preserve">“</w:t>
      </w:r>
      <w:r>
        <w:t xml:space="preserve">Mức độ bằng chứng</w:t>
      </w:r>
      <w:r>
        <w:t xml:space="preserve">”</w:t>
      </w:r>
      <w:r>
        <w:t xml:space="preserve">)</w:t>
      </w:r>
    </w:p>
    <w:p>
      <w:pPr>
        <w:pStyle w:val="FirstParagraph"/>
      </w:pPr>
      <w:r>
        <w:t xml:space="preserve">Notebook tự động tách hai lớp này.</w:t>
      </w:r>
      <w:r>
        <w:t xml:space="preserve"> </w:t>
      </w:r>
      <w:r>
        <w:rPr>
          <w:b/>
        </w:rPr>
        <w:t xml:space="preserve">Đây là điểm bắt buộc về liêm chính học thuật:</w:t>
      </w:r>
      <w:r>
        <w:t xml:space="preserve"> </w:t>
      </w:r>
      <w:r>
        <w:t xml:space="preserve">nếu trộn lẫn, phân tích diễn ngôn sẽ đo chính giọng văn của nghiên cứu sinh chứ không phải của người được phỏng vấn, và mọi kết luận sẽ vô hiệu.</w:t>
      </w:r>
    </w:p>
    <w:p>
      <w:pPr>
        <w:pStyle w:val="BodyText"/>
      </w:pPr>
      <w:r>
        <w:t xml:space="preserve">Phần tổng hợp của nghiên cứu sinh vẫn được dùng, nhưng ở mục 8.1b với vai trò khác: đối chiếu xem chỉ số hội tụ/phân kì tính tự động có tái hiện được phán đoán thủ công hay không.</w:t>
      </w:r>
    </w:p>
    <w:p>
      <w:pPr>
        <w:pStyle w:val="Heading3"/>
      </w:pPr>
      <w:bookmarkStart w:id="29" w:name="cấu-trúc-corpus-thực-tế"/>
      <w:r>
        <w:t xml:space="preserve">3.3. Cấu trúc corpus thực tế</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Chỉ số</w:t>
            </w:r>
          </w:p>
        </w:tc>
        <w:tc>
          <w:tcPr>
            <w:tcBorders>
              <w:bottom w:val="single"/>
            </w:tcBorders>
            <w:vAlign w:val="bottom"/>
          </w:tcPr>
          <w:p>
            <w:pPr>
              <w:pStyle w:val="Compact"/>
              <w:jc w:val="left"/>
            </w:pPr>
            <w:r>
              <w:t xml:space="preserve">Giá trị</w:t>
            </w:r>
          </w:p>
        </w:tc>
      </w:tr>
      <w:tr>
        <w:tc>
          <w:p>
            <w:pPr>
              <w:pStyle w:val="Compact"/>
              <w:jc w:val="left"/>
            </w:pPr>
            <w:r>
              <w:t xml:space="preserve">Đoạn trích phỏng vấn</w:t>
            </w:r>
          </w:p>
        </w:tc>
        <w:tc>
          <w:p>
            <w:pPr>
              <w:pStyle w:val="Compact"/>
              <w:jc w:val="left"/>
            </w:pPr>
            <w:r>
              <w:t xml:space="preserve">2.694</w:t>
            </w:r>
          </w:p>
        </w:tc>
      </w:tr>
      <w:tr>
        <w:tc>
          <w:p>
            <w:pPr>
              <w:pStyle w:val="Compact"/>
              <w:jc w:val="left"/>
            </w:pPr>
            <w:r>
              <w:t xml:space="preserve">Tổng số từ</w:t>
            </w:r>
          </w:p>
        </w:tc>
        <w:tc>
          <w:p>
            <w:pPr>
              <w:pStyle w:val="Compact"/>
              <w:jc w:val="left"/>
            </w:pPr>
            <w:r>
              <w:t xml:space="preserve">563.820</w:t>
            </w:r>
          </w:p>
        </w:tc>
      </w:tr>
      <w:tr>
        <w:tc>
          <w:p>
            <w:pPr>
              <w:pStyle w:val="Compact"/>
              <w:jc w:val="left"/>
            </w:pPr>
            <w:r>
              <w:t xml:space="preserve">Số mã (code)</w:t>
            </w:r>
          </w:p>
        </w:tc>
        <w:tc>
          <w:p>
            <w:pPr>
              <w:pStyle w:val="Compact"/>
              <w:jc w:val="left"/>
            </w:pPr>
            <w:r>
              <w:t xml:space="preserve">338</w:t>
            </w:r>
          </w:p>
        </w:tc>
      </w:tr>
      <w:tr>
        <w:tc>
          <w:p>
            <w:pPr>
              <w:pStyle w:val="Compact"/>
              <w:jc w:val="left"/>
            </w:pPr>
            <w:r>
              <w:t xml:space="preserve">Số người được phỏng vấn</w:t>
            </w:r>
          </w:p>
        </w:tc>
        <w:tc>
          <w:p>
            <w:pPr>
              <w:pStyle w:val="Compact"/>
              <w:jc w:val="left"/>
            </w:pPr>
            <w:r>
              <w:t xml:space="preserve">24</w:t>
            </w:r>
          </w:p>
        </w:tc>
      </w:tr>
      <w:tr>
        <w:tc>
          <w:p>
            <w:pPr>
              <w:pStyle w:val="Compact"/>
              <w:jc w:val="left"/>
            </w:pPr>
            <w:r>
              <w:t xml:space="preserve">Số trường</w:t>
            </w:r>
          </w:p>
        </w:tc>
        <w:tc>
          <w:p>
            <w:pPr>
              <w:pStyle w:val="Compact"/>
              <w:jc w:val="left"/>
            </w:pPr>
            <w:r>
              <w:t xml:space="preserve">5 (TrA–TrE)</w:t>
            </w:r>
          </w:p>
        </w:tc>
      </w:tr>
      <w:tr>
        <w:tc>
          <w:p>
            <w:pPr>
              <w:pStyle w:val="Compact"/>
              <w:jc w:val="left"/>
            </w:pPr>
            <w:r>
              <w:t xml:space="preserve">Nguồn người nước ngoài</w:t>
            </w:r>
          </w:p>
        </w:tc>
        <w:tc>
          <w:p>
            <w:pPr>
              <w:pStyle w:val="Compact"/>
              <w:jc w:val="left"/>
            </w:pPr>
            <w:r>
              <w:t xml:space="preserve">3 người, 328 đoạn</w:t>
            </w:r>
          </w:p>
        </w:tc>
      </w:tr>
      <w:tr>
        <w:tc>
          <w:p>
            <w:pPr>
              <w:pStyle w:val="Compact"/>
              <w:jc w:val="left"/>
            </w:pPr>
            <w:r>
              <w:t xml:space="preserve">Ghi chú tổng hợp của NCS</w:t>
            </w:r>
          </w:p>
        </w:tc>
        <w:tc>
          <w:p>
            <w:pPr>
              <w:pStyle w:val="Compact"/>
              <w:jc w:val="left"/>
            </w:pPr>
            <w:r>
              <w:t xml:space="preserve">3.585</w:t>
            </w:r>
          </w:p>
        </w:tc>
      </w:tr>
    </w:tbl>
    <w:p>
      <w:pPr>
        <w:pStyle w:val="BodyText"/>
      </w:pPr>
      <w:r>
        <w:t xml:space="preserve">Phân bố theo trường không đều: TrB có 1.318 đoạn, TrC chỉ 215. Khi so sánh liên trường phải nêu rõ giới hạn này.</w:t>
      </w:r>
    </w:p>
    <w:p>
      <w:pPr>
        <w:pStyle w:val="Heading3"/>
      </w:pPr>
      <w:bookmarkStart w:id="30" w:name="diễn-giải-kết-quả-ai-đúng-mức"/>
      <w:r>
        <w:t xml:space="preserve">3.4. Diễn giải kết quả AI đúng mức</w:t>
      </w:r>
      <w:bookmarkEnd w:id="30"/>
    </w:p>
    <w:p>
      <w:pPr>
        <w:pStyle w:val="FirstParagraph"/>
      </w:pPr>
      <w:r>
        <w:rPr>
          <w:b/>
        </w:rPr>
        <w:t xml:space="preserve">ARI và NMI thấp không có nghĩa mã hóa của con người sai.</w:t>
      </w:r>
      <w:r>
        <w:t xml:space="preserve"> </w:t>
      </w:r>
      <w:r>
        <w:t xml:space="preserve">Con người mã hóa theo</w:t>
      </w:r>
      <w:r>
        <w:t xml:space="preserve"> </w:t>
      </w:r>
      <w:r>
        <w:rPr>
          <w:i/>
        </w:rPr>
        <w:t xml:space="preserve">chức năng lý thuyết</w:t>
      </w:r>
      <w:r>
        <w:t xml:space="preserve"> </w:t>
      </w:r>
      <w:r>
        <w:t xml:space="preserve">của phát ngôn; AI nhóm theo</w:t>
      </w:r>
      <w:r>
        <w:t xml:space="preserve"> </w:t>
      </w:r>
      <w:r>
        <w:rPr>
          <w:i/>
        </w:rPr>
        <w:t xml:space="preserve">tương đồng ngữ nghĩa bề mặt</w:t>
      </w:r>
      <w:r>
        <w:t xml:space="preserve">. Hai logic khác nhau. ARI trong khoảng 0,10–0,30 là bình thường và vẫn có ý nghĩa.</w:t>
      </w:r>
    </w:p>
    <w:p>
      <w:pPr>
        <w:pStyle w:val="BodyText"/>
      </w:pPr>
      <w:r>
        <w:rPr>
          <w:b/>
        </w:rPr>
        <w:t xml:space="preserve">Cohen’s kappa</w:t>
      </w:r>
      <w:r>
        <w:t xml:space="preserve"> </w:t>
      </w:r>
      <w:r>
        <w:t xml:space="preserve">giữa nhãn AI và mã người: với 11 nhãn, kappa 0,30–0,50 đã cho thấy AI nắm được cấu trúc chủ đề. Phải báo cáo con số thật, kể cả khi thấp.</w:t>
      </w:r>
    </w:p>
    <w:p>
      <w:pPr>
        <w:pStyle w:val="BodyText"/>
      </w:pPr>
      <w:r>
        <w:rPr>
          <w:b/>
        </w:rPr>
        <w:t xml:space="preserve">Sentiment đo giọng điệu ngôn ngữ, không đo trạng thái tâm lý.</w:t>
      </w:r>
      <w:r>
        <w:t xml:space="preserve"> </w:t>
      </w:r>
      <w:r>
        <w:t xml:space="preserve">Không được viết</w:t>
      </w:r>
      <w:r>
        <w:t xml:space="preserve"> </w:t>
      </w:r>
      <w:r>
        <w:t xml:space="preserve">“</w:t>
      </w:r>
      <w:r>
        <w:t xml:space="preserve">phân tích cảm xúc chứng minh giáo viên nước ngoài bất mãn</w:t>
      </w:r>
      <w:r>
        <w:t xml:space="preserve">”</w:t>
      </w:r>
      <w:r>
        <w:t xml:space="preserve">. Chỉ được viết</w:t>
      </w:r>
      <w:r>
        <w:t xml:space="preserve"> </w:t>
      </w:r>
      <w:r>
        <w:t xml:space="preserve">“</w:t>
      </w:r>
      <w:r>
        <w:t xml:space="preserve">diễn ngôn của nhóm nước ngoài có giọng điệu tiêu cực hơn một cách có ý nghĩa thống kê</w:t>
      </w:r>
      <w:r>
        <w:t xml:space="preserve">”</w:t>
      </w:r>
      <w:r>
        <w:t xml:space="preserve">.</w:t>
      </w:r>
    </w:p>
    <w:p>
      <w:pPr>
        <w:pStyle w:val="Heading2"/>
      </w:pPr>
      <w:bookmarkStart w:id="31" w:name="Xca368b71f7150aa23a59fe83857c6364432cb53"/>
      <w:r>
        <w:t xml:space="preserve">4. Notebook mixed methods — những điều cần kiểm tra</w:t>
      </w:r>
      <w:bookmarkEnd w:id="31"/>
    </w:p>
    <w:p>
      <w:pPr>
        <w:pStyle w:val="Heading3"/>
      </w:pPr>
      <w:bookmarkStart w:id="32" w:name="ánh-xạ-mã-trường"/>
      <w:r>
        <w:t xml:space="preserve">4.1. Ánh xạ mã trường</w:t>
      </w:r>
      <w:bookmarkEnd w:id="32"/>
    </w:p>
    <w:p>
      <w:pPr>
        <w:pStyle w:val="FirstParagraph"/>
      </w:pPr>
      <w:r>
        <w:t xml:space="preserve">Trong ô 5.1 có dòng:</w:t>
      </w:r>
    </w:p>
    <w:p>
      <w:pPr>
        <w:pStyle w:val="SourceCode"/>
      </w:pPr>
      <w:r>
        <w:rPr>
          <w:rStyle w:val="NormalTok"/>
        </w:rPr>
        <w:t xml:space="preserve">SCHOOL_MAP </w:t>
      </w:r>
      <w:r>
        <w:rPr>
          <w:rStyle w:val="OperatorTok"/>
        </w:rPr>
        <w:t xml:space="preserve">=</w:t>
      </w:r>
      <w:r>
        <w:rPr>
          <w:rStyle w:val="NormalTok"/>
        </w:rPr>
        <w:t xml:space="preserve"> {</w:t>
      </w:r>
      <w:r>
        <w:rPr>
          <w:rStyle w:val="DecValTok"/>
        </w:rPr>
        <w:t xml:space="preserve">1</w:t>
      </w:r>
      <w:r>
        <w:rPr>
          <w:rStyle w:val="NormalTok"/>
        </w:rPr>
        <w:t xml:space="preserve">: </w:t>
      </w:r>
      <w:r>
        <w:rPr>
          <w:rStyle w:val="StringTok"/>
        </w:rPr>
        <w:t xml:space="preserve">'TrA'</w:t>
      </w:r>
      <w:r>
        <w:rPr>
          <w:rStyle w:val="NormalTok"/>
        </w:rPr>
        <w:t xml:space="preserve">, </w:t>
      </w:r>
      <w:r>
        <w:rPr>
          <w:rStyle w:val="DecValTok"/>
        </w:rPr>
        <w:t xml:space="preserve">2</w:t>
      </w:r>
      <w:r>
        <w:rPr>
          <w:rStyle w:val="NormalTok"/>
        </w:rPr>
        <w:t xml:space="preserve">: </w:t>
      </w:r>
      <w:r>
        <w:rPr>
          <w:rStyle w:val="StringTok"/>
        </w:rPr>
        <w:t xml:space="preserve">'TrB'</w:t>
      </w:r>
      <w:r>
        <w:rPr>
          <w:rStyle w:val="NormalTok"/>
        </w:rPr>
        <w:t xml:space="preserve">, </w:t>
      </w:r>
      <w:r>
        <w:rPr>
          <w:rStyle w:val="DecValTok"/>
        </w:rPr>
        <w:t xml:space="preserve">3</w:t>
      </w:r>
      <w:r>
        <w:rPr>
          <w:rStyle w:val="NormalTok"/>
        </w:rPr>
        <w:t xml:space="preserve">: </w:t>
      </w:r>
      <w:r>
        <w:rPr>
          <w:rStyle w:val="StringTok"/>
        </w:rPr>
        <w:t xml:space="preserve">'TrC'</w:t>
      </w:r>
      <w:r>
        <w:rPr>
          <w:rStyle w:val="NormalTok"/>
        </w:rPr>
        <w:t xml:space="preserve">, </w:t>
      </w:r>
      <w:r>
        <w:rPr>
          <w:rStyle w:val="DecValTok"/>
        </w:rPr>
        <w:t xml:space="preserve">4</w:t>
      </w:r>
      <w:r>
        <w:rPr>
          <w:rStyle w:val="NormalTok"/>
        </w:rPr>
        <w:t xml:space="preserve">: </w:t>
      </w:r>
      <w:r>
        <w:rPr>
          <w:rStyle w:val="StringTok"/>
        </w:rPr>
        <w:t xml:space="preserve">'TrD'</w:t>
      </w:r>
      <w:r>
        <w:rPr>
          <w:rStyle w:val="NormalTok"/>
        </w:rPr>
        <w:t xml:space="preserve">, </w:t>
      </w:r>
      <w:r>
        <w:rPr>
          <w:rStyle w:val="DecValTok"/>
        </w:rPr>
        <w:t xml:space="preserve">5</w:t>
      </w:r>
      <w:r>
        <w:rPr>
          <w:rStyle w:val="NormalTok"/>
        </w:rPr>
        <w:t xml:space="preserve">: </w:t>
      </w:r>
      <w:r>
        <w:rPr>
          <w:rStyle w:val="StringTok"/>
        </w:rPr>
        <w:t xml:space="preserve">'TrE'</w:t>
      </w:r>
      <w:r>
        <w:rPr>
          <w:rStyle w:val="NormalTok"/>
        </w:rPr>
        <w:t xml:space="preserve">}</w:t>
      </w:r>
    </w:p>
    <w:p>
      <w:pPr>
        <w:pStyle w:val="FirstParagraph"/>
      </w:pPr>
      <w:r>
        <w:rPr>
          <w:b/>
        </w:rPr>
        <w:t xml:space="preserve">Phải xác nhận ánh xạ này đúng với thực tế.</w:t>
      </w:r>
      <w:r>
        <w:t xml:space="preserve"> </w:t>
      </w:r>
      <w:r>
        <w:t xml:space="preserve">Nếu mã trường 1 trong file khảo sát không phải TrA trong dữ liệu phỏng vấn, toàn bộ tương quan cấp trường sẽ vô nghĩa. Đây là lỗi khó phát hiện vì kết quả vẫn chạy ra số.</w:t>
      </w:r>
    </w:p>
    <w:p>
      <w:pPr>
        <w:pStyle w:val="Heading3"/>
      </w:pPr>
      <w:bookmarkStart w:id="33" w:name="giới-hạn-n-5-trường"/>
      <w:r>
        <w:t xml:space="preserve">4.2. Giới hạn n = 5 trường</w:t>
      </w:r>
      <w:bookmarkEnd w:id="33"/>
    </w:p>
    <w:p>
      <w:pPr>
        <w:pStyle w:val="FirstParagraph"/>
      </w:pPr>
      <w:r>
        <w:t xml:space="preserve">Mọi tương quan cấp trường chỉ có 5 điểm dữ liệu. Notebook cố tình dùng Spearman và in cảnh báo. Khi viết bài:</w:t>
      </w:r>
    </w:p>
    <w:p>
      <w:pPr>
        <w:numPr>
          <w:ilvl w:val="0"/>
          <w:numId w:val="1005"/>
        </w:numPr>
        <w:pStyle w:val="Compact"/>
      </w:pPr>
      <w:r>
        <w:t xml:space="preserve">Được phép viết:</w:t>
      </w:r>
      <w:r>
        <w:t xml:space="preserve"> </w:t>
      </w:r>
      <w:r>
        <w:t xml:space="preserve">“</w:t>
      </w:r>
      <w:r>
        <w:t xml:space="preserve">mẫu hình gợi ý ở cấp trường cho thấy…</w:t>
      </w:r>
      <w:r>
        <w:t xml:space="preserve">”</w:t>
      </w:r>
    </w:p>
    <w:p>
      <w:pPr>
        <w:numPr>
          <w:ilvl w:val="0"/>
          <w:numId w:val="1005"/>
        </w:numPr>
        <w:pStyle w:val="Compact"/>
      </w:pPr>
      <w:r>
        <w:t xml:space="preserve">Không được viết:</w:t>
      </w:r>
      <w:r>
        <w:t xml:space="preserve"> </w:t>
      </w:r>
      <w:r>
        <w:t xml:space="preserve">“</w:t>
      </w:r>
      <w:r>
        <w:t xml:space="preserve">tương quan cấp trường cho thấy r = 0,8, p &lt; 0,05…</w:t>
      </w:r>
      <w:r>
        <w:t xml:space="preserve">”</w:t>
      </w:r>
    </w:p>
    <w:p>
      <w:pPr>
        <w:pStyle w:val="Heading3"/>
      </w:pPr>
      <w:bookmarkStart w:id="34" w:name="Xfc5fe2b93cfc528597e8e9a8b5099822a9dc6b4"/>
      <w:r>
        <w:t xml:space="preserve">4.3. Joint display cần được hoàn thiện thủ công</w:t>
      </w:r>
      <w:bookmarkEnd w:id="34"/>
    </w:p>
    <w:p>
      <w:pPr>
        <w:pStyle w:val="FirstParagraph"/>
      </w:pPr>
      <w:r>
        <w:t xml:space="preserve">Notebook sinh ra khung joint display với cột định lượng đã điền tự động, nhưng cột định tính ghi</w:t>
      </w:r>
      <w:r>
        <w:t xml:space="preserve"> </w:t>
      </w:r>
      <w:r>
        <w:t xml:space="preserve">“</w:t>
      </w:r>
      <w:r>
        <w:t xml:space="preserve">Cần điền</w:t>
      </w:r>
      <w:r>
        <w:t xml:space="preserve">”</w:t>
      </w:r>
      <w:r>
        <w:t xml:space="preserve">. Đây là chủ ý:</w:t>
      </w:r>
      <w:r>
        <w:t xml:space="preserve"> </w:t>
      </w:r>
      <w:r>
        <w:rPr>
          <w:b/>
        </w:rPr>
        <w:t xml:space="preserve">trích dẫn minh họa phải do nghiên cứu sinh chọn</w:t>
      </w:r>
      <w:r>
        <w:t xml:space="preserve">, dựa trên hiểu biết ngữ cảnh, không thể tự động hóa.</w:t>
      </w:r>
    </w:p>
    <w:p>
      <w:pPr>
        <w:pStyle w:val="BodyText"/>
      </w:pPr>
      <w:r>
        <w:t xml:space="preserve">Quy trình đề xuất: mở</w:t>
      </w:r>
      <w:r>
        <w:t xml:space="preserve"> </w:t>
      </w:r>
      <w:r>
        <w:rPr>
          <w:rStyle w:val="VerbatimChar"/>
        </w:rPr>
        <w:t xml:space="preserve">ket_qua_ai/00_segments_tidy.csv</w:t>
      </w:r>
      <w:r>
        <w:t xml:space="preserve">, lọc theo khối chủ đề tương ứng, chọn 2–3 trích dẫn tiêu biểu cho mỗi cấu phần, dán vào cột định tính của</w:t>
      </w:r>
      <w:r>
        <w:t xml:space="preserve"> </w:t>
      </w:r>
      <w:r>
        <w:rPr>
          <w:rStyle w:val="VerbatimChar"/>
        </w:rPr>
        <w:t xml:space="preserve">ket_qua_mixed/01_joint_display.xlsx</w:t>
      </w:r>
      <w:r>
        <w:t xml:space="preserve">.</w:t>
      </w:r>
    </w:p>
    <w:p>
      <w:pPr>
        <w:pStyle w:val="Heading2"/>
      </w:pPr>
      <w:bookmarkStart w:id="35" w:name="Xdc91f0ef350fff92bec63230b116f859c87cbea"/>
      <w:r>
        <w:t xml:space="preserve">5. Kết quả MI và clustering — tóm tắt để trích dẫn</w:t>
      </w:r>
      <w:bookmarkEnd w:id="35"/>
    </w:p>
    <w:p>
      <w:pPr>
        <w:pStyle w:val="Heading3"/>
      </w:pPr>
      <w:bookmarkStart w:id="36" w:name="bất-biến-đo-lường-việt-nam-vs-nước-ngoài"/>
      <w:r>
        <w:t xml:space="preserve">5.1. Bất biến đo lường (Việt Nam vs nước ngoài)</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Kiểm định</w:t>
            </w:r>
          </w:p>
        </w:tc>
        <w:tc>
          <w:tcPr>
            <w:tcBorders>
              <w:bottom w:val="single"/>
            </w:tcBorders>
            <w:vAlign w:val="bottom"/>
          </w:tcPr>
          <w:p>
            <w:pPr>
              <w:pStyle w:val="Compact"/>
              <w:jc w:val="left"/>
            </w:pPr>
            <w:r>
              <w:t xml:space="preserve">Kết quả</w:t>
            </w:r>
          </w:p>
        </w:tc>
        <w:tc>
          <w:tcPr>
            <w:tcBorders>
              <w:bottom w:val="single"/>
            </w:tcBorders>
            <w:vAlign w:val="bottom"/>
          </w:tcPr>
          <w:p>
            <w:pPr>
              <w:pStyle w:val="Compact"/>
              <w:jc w:val="left"/>
            </w:pPr>
            <w:r>
              <w:t xml:space="preserve">Ý nghĩa</w:t>
            </w:r>
          </w:p>
        </w:tc>
      </w:tr>
      <w:tr>
        <w:tc>
          <w:p>
            <w:pPr>
              <w:pStyle w:val="Compact"/>
              <w:jc w:val="left"/>
            </w:pPr>
            <w:r>
              <w:t xml:space="preserve">Configural</w:t>
            </w:r>
          </w:p>
        </w:tc>
        <w:tc>
          <w:p>
            <w:pPr>
              <w:pStyle w:val="Compact"/>
              <w:jc w:val="left"/>
            </w:pPr>
            <w:r>
              <w:t xml:space="preserve">6/8 thang đo đạt</w:t>
            </w:r>
          </w:p>
        </w:tc>
        <w:tc>
          <w:p>
            <w:pPr>
              <w:pStyle w:val="Compact"/>
              <w:jc w:val="left"/>
            </w:pPr>
            <w:r>
              <w:t xml:space="preserve">Cấu trúc nhân tố tái hiện ở cả hai nhóm</w:t>
            </w:r>
          </w:p>
        </w:tc>
      </w:tr>
      <w:tr>
        <w:tc>
          <w:p>
            <w:pPr>
              <w:pStyle w:val="Compact"/>
              <w:jc w:val="left"/>
            </w:pPr>
            <w:r>
              <w:t xml:space="preserve">Tucker’s φ cho GLO</w:t>
            </w:r>
          </w:p>
        </w:tc>
        <w:tc>
          <w:p>
            <w:pPr>
              <w:pStyle w:val="Compact"/>
              <w:jc w:val="left"/>
            </w:pPr>
            <w:r>
              <w:t xml:space="preserve">0,994</w:t>
            </w:r>
          </w:p>
        </w:tc>
        <w:tc>
          <w:p>
            <w:pPr>
              <w:pStyle w:val="Compact"/>
              <w:jc w:val="left"/>
            </w:pPr>
            <w:r>
              <w:t xml:space="preserve">Tải nhân tố tương đương</w:t>
            </w:r>
          </w:p>
        </w:tc>
      </w:tr>
      <w:tr>
        <w:tc>
          <w:p>
            <w:pPr>
              <w:pStyle w:val="Compact"/>
              <w:jc w:val="left"/>
            </w:pPr>
            <w:r>
              <w:t xml:space="preserve">DIF cấp item</w:t>
            </w:r>
          </w:p>
        </w:tc>
        <w:tc>
          <w:p>
            <w:pPr>
              <w:pStyle w:val="Compact"/>
              <w:jc w:val="left"/>
            </w:pPr>
            <w:r>
              <w:t xml:space="preserve">4/21 bị gắn cờ, 0/8 ở GLO</w:t>
            </w:r>
          </w:p>
        </w:tc>
        <w:tc>
          <w:p>
            <w:pPr>
              <w:pStyle w:val="Compact"/>
              <w:jc w:val="left"/>
            </w:pPr>
            <w:r>
              <w:t xml:space="preserve">GLO không có sai lệch item</w:t>
            </w:r>
          </w:p>
        </w:tc>
      </w:tr>
      <w:tr>
        <w:tc>
          <w:p>
            <w:pPr>
              <w:pStyle w:val="Compact"/>
              <w:jc w:val="left"/>
            </w:pPr>
            <w:r>
              <w:t xml:space="preserve">Scalar invariance</w:t>
            </w:r>
          </w:p>
        </w:tc>
        <w:tc>
          <w:p>
            <w:pPr>
              <w:pStyle w:val="Compact"/>
              <w:jc w:val="left"/>
            </w:pPr>
            <w:r>
              <w:rPr>
                <w:b/>
              </w:rPr>
              <w:t xml:space="preserve">Không thiết lập được</w:t>
            </w:r>
          </w:p>
        </w:tc>
        <w:tc>
          <w:p>
            <w:pPr>
              <w:pStyle w:val="Compact"/>
              <w:jc w:val="left"/>
            </w:pPr>
            <w:r>
              <w:t xml:space="preserve">n = 36 quá nhỏ</w:t>
            </w:r>
          </w:p>
        </w:tc>
      </w:tr>
    </w:tbl>
    <w:p>
      <w:pPr>
        <w:pStyle w:val="BodyText"/>
      </w:pPr>
      <w:r>
        <w:t xml:space="preserve">Câu nên dùng trong bài báo:</w:t>
      </w:r>
    </w:p>
    <w:p>
      <w:pPr>
        <w:pStyle w:val="BlockText"/>
      </w:pPr>
      <w:r>
        <w:t xml:space="preserve">Full scalar invariance could not be established due to the small expatriate subsample (n = 36). Following recommendations for small-sample cross-group comparison, configural invariance, Tucker’s congruence coefficients and item-level DIF screening were used instead. The focal construct (quality culture) showed excellent loading congruence (φ = .994) and no flagged items, supporting cautious interpretation of the observed group difference.</w:t>
      </w:r>
    </w:p>
    <w:p>
      <w:pPr>
        <w:pStyle w:val="Heading3"/>
      </w:pPr>
      <w:bookmarkStart w:id="37" w:name="cấu-trúc-lồng-nhau"/>
      <w:r>
        <w:t xml:space="preserve">5.2. Cấu trúc lồng nhau</w:t>
      </w:r>
      <w:bookmarkEnd w:id="3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Kiểm định</w:t>
            </w:r>
          </w:p>
        </w:tc>
        <w:tc>
          <w:tcPr>
            <w:tcBorders>
              <w:bottom w:val="single"/>
            </w:tcBorders>
            <w:vAlign w:val="bottom"/>
          </w:tcPr>
          <w:p>
            <w:pPr>
              <w:pStyle w:val="Compact"/>
              <w:jc w:val="left"/>
            </w:pPr>
            <w:r>
              <w:t xml:space="preserve">Kết quả</w:t>
            </w:r>
          </w:p>
        </w:tc>
        <w:tc>
          <w:tcPr>
            <w:tcBorders>
              <w:bottom w:val="single"/>
            </w:tcBorders>
            <w:vAlign w:val="bottom"/>
          </w:tcPr>
          <w:p>
            <w:pPr>
              <w:pStyle w:val="Compact"/>
              <w:jc w:val="left"/>
            </w:pPr>
            <w:r>
              <w:t xml:space="preserve">Ý nghĩa</w:t>
            </w:r>
          </w:p>
        </w:tc>
      </w:tr>
      <w:tr>
        <w:tc>
          <w:p>
            <w:pPr>
              <w:pStyle w:val="Compact"/>
              <w:jc w:val="left"/>
            </w:pPr>
            <w:r>
              <w:t xml:space="preserve">ICC(1) của GLO</w:t>
            </w:r>
          </w:p>
        </w:tc>
        <w:tc>
          <w:p>
            <w:pPr>
              <w:pStyle w:val="Compact"/>
              <w:jc w:val="left"/>
            </w:pPr>
            <w:r>
              <w:t xml:space="preserve">0,081</w:t>
            </w:r>
          </w:p>
        </w:tc>
        <w:tc>
          <w:p>
            <w:pPr>
              <w:pStyle w:val="Compact"/>
              <w:jc w:val="left"/>
            </w:pPr>
            <w:r>
              <w:t xml:space="preserve">8,1% phương sai do khác biệt trường</w:t>
            </w:r>
          </w:p>
        </w:tc>
      </w:tr>
      <w:tr>
        <w:tc>
          <w:p>
            <w:pPr>
              <w:pStyle w:val="Compact"/>
              <w:jc w:val="left"/>
            </w:pPr>
            <w:r>
              <w:t xml:space="preserve">Design effect GLO</w:t>
            </w:r>
          </w:p>
        </w:tc>
        <w:tc>
          <w:p>
            <w:pPr>
              <w:pStyle w:val="Compact"/>
              <w:jc w:val="left"/>
            </w:pPr>
            <w:r>
              <w:t xml:space="preserve">5,49</w:t>
            </w:r>
          </w:p>
        </w:tc>
        <w:tc>
          <w:p>
            <w:pPr>
              <w:pStyle w:val="Compact"/>
              <w:jc w:val="left"/>
            </w:pPr>
            <w:r>
              <w:t xml:space="preserve">N hiệu dụng ≈ 51</w:t>
            </w:r>
          </w:p>
        </w:tc>
      </w:tr>
      <w:tr>
        <w:tc>
          <w:p>
            <w:pPr>
              <w:pStyle w:val="Compact"/>
              <w:jc w:val="left"/>
            </w:pPr>
            <w:r>
              <w:t xml:space="preserve">SE theo cụm, 5 phương trình kết quả</w:t>
            </w:r>
          </w:p>
        </w:tc>
        <w:tc>
          <w:p>
            <w:pPr>
              <w:pStyle w:val="Compact"/>
              <w:jc w:val="left"/>
            </w:pPr>
            <w:r>
              <w:t xml:space="preserve">Tất cả không đổi kết luận</w:t>
            </w:r>
          </w:p>
        </w:tc>
        <w:tc>
          <w:p>
            <w:pPr>
              <w:pStyle w:val="Compact"/>
              <w:jc w:val="left"/>
            </w:pPr>
            <w:r>
              <w:t xml:space="preserve">Phát hiện trung tâm vững</w:t>
            </w:r>
          </w:p>
        </w:tc>
      </w:tr>
      <w:tr>
        <w:tc>
          <w:p>
            <w:pPr>
              <w:pStyle w:val="Compact"/>
              <w:jc w:val="left"/>
            </w:pPr>
            <w:r>
              <w:t xml:space="preserve">SE theo cụm, phương trình GLO</w:t>
            </w:r>
          </w:p>
        </w:tc>
        <w:tc>
          <w:p>
            <w:pPr>
              <w:pStyle w:val="Compact"/>
              <w:jc w:val="left"/>
            </w:pPr>
            <w:r>
              <w:t xml:space="preserve">STR và RES</w:t>
            </w:r>
            <w:r>
              <w:t xml:space="preserve"> </w:t>
            </w:r>
            <w:r>
              <w:rPr>
                <w:b/>
              </w:rPr>
              <w:t xml:space="preserve">mất ý nghĩa</w:t>
            </w:r>
          </w:p>
        </w:tc>
        <w:tc>
          <w:p>
            <w:pPr>
              <w:pStyle w:val="Compact"/>
              <w:jc w:val="left"/>
            </w:pPr>
            <w:r>
              <w:t xml:space="preserve">Phải báo cáo trung thực</w:t>
            </w:r>
          </w:p>
        </w:tc>
      </w:tr>
    </w:tbl>
    <w:p>
      <w:pPr>
        <w:pStyle w:val="BodyText"/>
      </w:pPr>
      <w:r>
        <w:t xml:space="preserve">Câu nên dùng trong bài báo:</w:t>
      </w:r>
    </w:p>
    <w:p>
      <w:pPr>
        <w:pStyle w:val="BlockText"/>
      </w:pPr>
      <w:r>
        <w:t xml:space="preserve">Because respondents were nested within five schools, all models were re-estimated with cluster-robust standard errors. Although standard errors increased by up to a factor of 2.05, all five quality-culture-to-outcome paths retained significance. In the antecedent equation, two coefficients (strategic structures, responsibility) lost significance under clustering and are therefore reported as not robust.</w:t>
      </w:r>
    </w:p>
    <w:p>
      <w:pPr>
        <w:pStyle w:val="Heading2"/>
      </w:pPr>
      <w:bookmarkStart w:id="38" w:name="danh-mục-kiểm-tra-trước-khi-nộp-bài"/>
      <w:r>
        <w:t xml:space="preserve">6. Danh mục kiểm tra trước khi nộp bài</w:t>
      </w:r>
      <w:bookmarkEnd w:id="38"/>
    </w:p>
    <w:p>
      <w:pPr>
        <w:numPr>
          <w:ilvl w:val="0"/>
          <w:numId w:val="1006"/>
        </w:numPr>
        <w:pStyle w:val="Compact"/>
      </w:pPr>
      <w:r>
        <w:t xml:space="preserve">☐ Đã chạy lại toàn bộ notebook trong kernel sạch, không lỗi</w:t>
      </w:r>
    </w:p>
    <w:p>
      <w:pPr>
        <w:numPr>
          <w:ilvl w:val="0"/>
          <w:numId w:val="1006"/>
        </w:numPr>
        <w:pStyle w:val="Compact"/>
      </w:pPr>
      <w:r>
        <w:t xml:space="preserve">☐ Số liệu trong bài khớp với file CSV/JSON mới nhất</w:t>
      </w:r>
    </w:p>
    <w:p>
      <w:pPr>
        <w:numPr>
          <w:ilvl w:val="0"/>
          <w:numId w:val="1006"/>
        </w:numPr>
        <w:pStyle w:val="Compact"/>
      </w:pPr>
      <w:r>
        <w:t xml:space="preserve">☐ Đã xác nhận ánh xạ mã trường trong notebook mixed</w:t>
      </w:r>
    </w:p>
    <w:p>
      <w:pPr>
        <w:numPr>
          <w:ilvl w:val="0"/>
          <w:numId w:val="1006"/>
        </w:numPr>
        <w:pStyle w:val="Compact"/>
      </w:pPr>
      <w:r>
        <w:t xml:space="preserve">☐ Đã báo cáo kappa/ARI thật, kể cả khi thấp</w:t>
      </w:r>
    </w:p>
    <w:p>
      <w:pPr>
        <w:numPr>
          <w:ilvl w:val="0"/>
          <w:numId w:val="1006"/>
        </w:numPr>
        <w:pStyle w:val="Compact"/>
      </w:pPr>
      <w:r>
        <w:t xml:space="preserve">☐ Đã nêu rõ scalar invariance chưa thiết lập được</w:t>
      </w:r>
    </w:p>
    <w:p>
      <w:pPr>
        <w:numPr>
          <w:ilvl w:val="0"/>
          <w:numId w:val="1006"/>
        </w:numPr>
        <w:pStyle w:val="Compact"/>
      </w:pPr>
      <w:r>
        <w:t xml:space="preserve">☐ Đã báo cáo STR và RES không vững trước hiệu chỉnh cụm</w:t>
      </w:r>
    </w:p>
    <w:p>
      <w:pPr>
        <w:numPr>
          <w:ilvl w:val="0"/>
          <w:numId w:val="1006"/>
        </w:numPr>
        <w:pStyle w:val="Compact"/>
      </w:pPr>
      <w:r>
        <w:t xml:space="preserve">☐ Đã tách rõ trích dẫn phỏng vấn và diễn giải của NCS</w:t>
      </w:r>
    </w:p>
    <w:p>
      <w:pPr>
        <w:numPr>
          <w:ilvl w:val="0"/>
          <w:numId w:val="1006"/>
        </w:numPr>
        <w:pStyle w:val="Compact"/>
      </w:pPr>
      <w:r>
        <w:t xml:space="preserve">☐ Không dùng từ nhân quả cho dữ liệu cắt ngang</w:t>
      </w:r>
    </w:p>
    <w:p>
      <w:pPr>
        <w:numPr>
          <w:ilvl w:val="0"/>
          <w:numId w:val="1006"/>
        </w:numPr>
        <w:pStyle w:val="Compact"/>
      </w:pPr>
      <w:r>
        <w:t xml:space="preserve">☐ Đã khai báo dùng AI trong phần phương pháp</w:t>
      </w:r>
    </w:p>
    <w:p>
      <w:pPr>
        <w:numPr>
          <w:ilvl w:val="0"/>
          <w:numId w:val="1006"/>
        </w:numPr>
        <w:pStyle w:val="Compact"/>
      </w:pPr>
      <w:r>
        <w:t xml:space="preserve">☐ Trích dẫn PhoBERT, BERTopic và các nguồn phương pháp</w:t>
      </w:r>
    </w:p>
    <w:p>
      <w:pPr>
        <w:pStyle w:val="Heading2"/>
      </w:pPr>
      <w:bookmarkStart w:id="39" w:name="khai-báo-sử-dụng-ai"/>
      <w:r>
        <w:t xml:space="preserve">7. Khai báo sử dụng AI</w:t>
      </w:r>
      <w:bookmarkEnd w:id="39"/>
    </w:p>
    <w:p>
      <w:pPr>
        <w:pStyle w:val="FirstParagraph"/>
      </w:pPr>
      <w:r>
        <w:t xml:space="preserve">Nhiều tạp chí nay yêu cầu khai báo. Mẫu câu:</w:t>
      </w:r>
    </w:p>
    <w:p>
      <w:pPr>
        <w:pStyle w:val="BlockText"/>
      </w:pPr>
      <w:r>
        <w:t xml:space="preserve">Qualitative data were coded manually in MaxQDA by the first author. To assess the robustness of the coding structure and to identify large-scale discourse patterns, PhoBERT (Nguyen &amp; Nguyen, 2020) sentence embeddings were computed for all coded segments, followed by unsupervised clustering, topic modelling and log-odds discourse comparison. Automated procedures served as a secondary analytical layer; all interpretive claims rest on the manual coding, and agreement between automated and manual classification is reported (Cohen’s κ = [x]).</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2026-07-21T05:28:47Z</dcterms:created>
  <dcterms:modified xsi:type="dcterms:W3CDTF">2026-07-21T05:28:47Z</dcterms:modified>
</cp:coreProperties>
</file>

<file path=docProps/custom.xml><?xml version="1.0" encoding="utf-8"?>
<Properties xmlns="http://schemas.openxmlformats.org/officeDocument/2006/custom-properties" xmlns:vt="http://schemas.openxmlformats.org/officeDocument/2006/docPropsVTypes"/>
</file>