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Điểm mới đáng chú ý của Luật là điều chỉnh khái niệm chuyển giao công nghệ, xác định đây là hoạt động khoa học, công nghệ và đổi mới sáng tạo nhằm đưa công nghệ vào ứng dụng thực tiễn thông qua chuyển nhượng quyền sở hữu hoặc chuyển giao quyền sử dụng công nghệ. Cách tiếp cận này cho thấy, trọng tâm không chỉ là giao dịch công nghệ mà là hiệu quả ứng dụng sau chuyển giao, tạo ra sản phẩm, dịch vụ hoặc phương thức sản xuất mới. Đồng thời, Luật hoàn thiện quy định về thương mại hóa kết quả nghiên cứu khoa học, phát triển công nghệ và đổi mới sáng tạo, mở rộng phạm vi từ khai thác, hoàn thiện, ứng dụng đến chuyển giao kết quả nghiên cứu nhằm tạo ra giá trị kinh tế.</w:t>
      </w:r>
    </w:p>
    <w:p>
      <w:r>
        <w:t>Luật bổ sung cơ chế thúc đẩy ứng dụng và lan tỏa công nghệ, đồng thời ưu tiên chuyển giao công nghệ cao, công nghệ chiến lược, công nghệ mới, công nghệ sạch và công nghệ xanh nhằm thúc đẩy đổi mới công nghệ và nâng cao năng lực cạnh tranh của doanh nghiệp. Đặc biệt, Luật ưu tiên chuyển giao công nghệ cao, công nghệ chiến lược, công nghệ mới, công nghệ sạch và công nghệ xanh, thể hiện định hướng chuyển từ giao dịch công nghệ sang tạo giá trị và hiệu quả ứng dụng trong thực tiễn.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