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480"/>
      </w:pPr>
      <w:r>
        <w:rPr>
          <w:rFonts w:ascii="Georgia" w:cs="Georgia" w:eastAsia="Georgia" w:hAnsi="Georgia"/>
          <w:b/>
          <w:bCs/>
          <w:color w:val="C9A84C"/>
          <w:sz w:val="40"/>
          <w:szCs w:val="40"/>
        </w:rPr>
        <w:t xml:space="preserve">e2go.app</w:t>
      </w:r>
    </w:p>
    <w:p>
      <w:pPr>
        <w:spacing w:after="120"/>
      </w:pPr>
      <w:r>
        <w:rPr>
          <w:rFonts w:ascii="Georgia" w:cs="Georgia" w:eastAsia="Georgia" w:hAnsi="Georgia"/>
          <w:color w:val="1a1a1a"/>
          <w:sz w:val="32"/>
          <w:szCs w:val="32"/>
        </w:rPr>
        <w:t xml:space="preserve">Content Intelligence Library</w:t>
      </w:r>
    </w:p>
    <w:p>
      <w:pPr>
        <w:spacing w:after="60"/>
      </w:pPr>
      <w:r>
        <w:rPr>
          <w:rFonts w:ascii="Arial" w:cs="Arial" w:eastAsia="Arial" w:hAnsi="Arial"/>
          <w:color w:val="444444"/>
          <w:sz w:val="20"/>
          <w:szCs w:val="20"/>
        </w:rPr>
        <w:t xml:space="preserve">Sourced from Annett T. Block — E-2 Investor Advisor</w:t>
      </w:r>
    </w:p>
    <w:p>
      <w:pPr>
        <w:spacing w:after="60"/>
      </w:pPr>
      <w:r>
        <w:rPr>
          <w:rFonts w:ascii="Arial" w:cs="Arial" w:eastAsia="Arial" w:hAnsi="Arial"/>
          <w:i/>
          <w:iCs/>
          <w:color w:val="888888"/>
          <w:sz w:val="18"/>
          <w:szCs w:val="18"/>
        </w:rPr>
        <w:t xml:space="preserve">Organised for platform use across landing page, FAQs, form nudges, and advisory cards.</w:t>
      </w:r>
    </w:p>
    <w:p>
      <w:pPr>
        <w:spacing w:after="60"/>
      </w:pPr>
      <w:r>
        <w:rPr>
          <w:rFonts w:ascii="Arial" w:cs="Arial" w:eastAsia="Arial" w:hAnsi="Arial"/>
          <w:color w:val="888888"/>
          <w:sz w:val="16"/>
          <w:szCs w:val="16"/>
        </w:rPr>
        <w:t xml:space="preserve">Note: All content has been rewritten in e2go voice. Original insights credited to source.</w:t>
      </w:r>
    </w:p>
    <w:p>
      <w:pPr>
        <w:pBdr>
          <w:bottom w:val="single" w:color="DDDDDD" w:sz="2" w:space="1"/>
        </w:pBdr>
        <w:spacing w:after="200" w:before="200"/>
      </w:pPr>
    </w:p>
    <w:p>
      <w:pPr>
        <w:pStyle w:val="Heading1"/>
        <w:pBdr>
          <w:bottom w:val="single" w:color="C9A84C" w:sz="6" w:space="6"/>
        </w:pBdr>
        <w:spacing w:after="120" w:before="480"/>
      </w:pPr>
      <w:r>
        <w:rPr>
          <w:rFonts w:ascii="Georgia" w:cs="Georgia" w:eastAsia="Georgia" w:hAnsi="Georgia"/>
          <w:b/>
          <w:bCs/>
          <w:color w:val="1a1a1a"/>
          <w:sz w:val="28"/>
          <w:szCs w:val="28"/>
        </w:rPr>
        <w:t xml:space="preserve">SECTION 1 — Core Principles (Landing Page + Hero)</w:t>
      </w:r>
    </w:p>
    <w:p>
      <w:pPr>
        <w:spacing w:after="120"/>
      </w:pPr>
      <w:r>
        <w:rPr>
          <w:rFonts w:ascii="Arial" w:cs="Arial" w:eastAsia="Arial" w:hAnsi="Arial"/>
          <w:i w:val="false"/>
          <w:iCs w:val="false"/>
          <w:color w:val="1a1a1a"/>
          <w:sz w:val="20"/>
          <w:szCs w:val="20"/>
        </w:rPr>
        <w:t xml:space="preserve">These are the foundational truths that should shape the e2go brand voice. Use on the landing page, in the hero section, and as opening statements in onboarding.</w:t>
      </w:r>
    </w:p>
    <w:p>
      <w:pPr>
        <w:pBdr>
          <w:bottom w:val="single" w:color="DDDDDD" w:sz="2" w:space="1"/>
        </w:pBdr>
        <w:spacing w:after="200" w:before="200"/>
      </w:pPr>
    </w:p>
    <w:p>
      <w:pPr>
        <w:pStyle w:val="Heading2"/>
        <w:spacing w:after="80" w:before="320"/>
      </w:pPr>
      <w:r>
        <w:rPr>
          <w:rFonts w:ascii="Georgia" w:cs="Georgia" w:eastAsia="Georgia" w:hAnsi="Georgia"/>
          <w:b/>
          <w:bCs/>
          <w:color w:val="C9A84C"/>
          <w:sz w:val="22"/>
          <w:szCs w:val="22"/>
        </w:rPr>
        <w:t xml:space="preserve">Principle 1 — It's a business strategy, not a visa form</w:t>
      </w:r>
    </w:p>
    <w:p>
      <w:pPr>
        <w:pBdr>
          <w:left w:val="single" w:color="C9A84C" w:sz="12" w:space="12"/>
        </w:pBdr>
        <w:spacing w:after="120" w:before="120"/>
        <w:ind w:left="720" w:right="720"/>
      </w:pPr>
      <w:r>
        <w:rPr>
          <w:rFonts w:ascii="Georgia" w:cs="Georgia" w:eastAsia="Georgia" w:hAnsi="Georgia"/>
          <w:i/>
          <w:iCs/>
          <w:color w:val="444444"/>
          <w:sz w:val="20"/>
          <w:szCs w:val="20"/>
        </w:rPr>
        <w:t xml:space="preserve">The E-2 visa isn't a travel form. It's a business strategy — backed by real money, real plans, and real risk.</w:t>
      </w:r>
    </w:p>
    <w:p>
      <w:pPr>
        <w:spacing w:after="40" w:before="40"/>
      </w:pPr>
      <w:r>
        <w:rPr>
          <w:rFonts w:ascii="Arial" w:cs="Arial" w:eastAsia="Arial" w:hAnsi="Arial"/>
          <w:b/>
          <w:bCs/>
          <w:color w:val="0D9488"/>
          <w:sz w:val="16"/>
          <w:szCs w:val="16"/>
        </w:rPr>
        <w:t xml:space="preserve">▶ USE IN: Landing page hero · Onboarding intro · Quiz intro screen</w:t>
      </w:r>
    </w:p>
    <w:p>
      <w:pPr>
        <w:spacing w:after="120"/>
      </w:pPr>
      <w:r>
        <w:rPr>
          <w:rFonts w:ascii="Arial" w:cs="Arial" w:eastAsia="Arial" w:hAnsi="Arial"/>
          <w:i w:val="false"/>
          <w:iCs w:val="false"/>
          <w:color w:val="1a1a1a"/>
          <w:sz w:val="20"/>
          <w:szCs w:val="20"/>
        </w:rPr>
        <w:t xml:space="preserve">e2go rewrite: Most people approach the E-2 like a permit application. The investors who succeed approach it like a business launch. The documentation is not the strategy — the strategy comes first. The documentation proves it.</w:t>
      </w:r>
    </w:p>
    <w:p>
      <w:pPr>
        <w:pBdr>
          <w:bottom w:val="single" w:color="DDDDDD" w:sz="2" w:space="1"/>
        </w:pBdr>
        <w:spacing w:after="200" w:before="200"/>
      </w:pPr>
    </w:p>
    <w:p>
      <w:pPr>
        <w:pStyle w:val="Heading2"/>
        <w:spacing w:after="80" w:before="320"/>
      </w:pPr>
      <w:r>
        <w:rPr>
          <w:rFonts w:ascii="Georgia" w:cs="Georgia" w:eastAsia="Georgia" w:hAnsi="Georgia"/>
          <w:b/>
          <w:bCs/>
          <w:color w:val="C9A84C"/>
          <w:sz w:val="22"/>
          <w:szCs w:val="22"/>
        </w:rPr>
        <w:t xml:space="preserve">Principle 2 — The officer evaluates logic, not documents</w:t>
      </w:r>
    </w:p>
    <w:p>
      <w:pPr>
        <w:pBdr>
          <w:left w:val="single" w:color="C9A84C" w:sz="12" w:space="12"/>
        </w:pBdr>
        <w:spacing w:after="120" w:before="120"/>
        <w:ind w:left="720" w:right="720"/>
      </w:pPr>
      <w:r>
        <w:rPr>
          <w:rFonts w:ascii="Georgia" w:cs="Georgia" w:eastAsia="Georgia" w:hAnsi="Georgia"/>
          <w:i/>
          <w:iCs/>
          <w:color w:val="444444"/>
          <w:sz w:val="20"/>
          <w:szCs w:val="20"/>
        </w:rPr>
        <w:t xml:space="preserve">People prepare documents. The visa officer evaluates logic. That mismatch is expensive.</w:t>
      </w:r>
    </w:p>
    <w:p>
      <w:pPr>
        <w:spacing w:after="40" w:before="40"/>
      </w:pPr>
      <w:r>
        <w:rPr>
          <w:rFonts w:ascii="Arial" w:cs="Arial" w:eastAsia="Arial" w:hAnsi="Arial"/>
          <w:b/>
          <w:bCs/>
          <w:color w:val="0D9488"/>
          <w:sz w:val="16"/>
          <w:szCs w:val="16"/>
        </w:rPr>
        <w:t xml:space="preserve">▶ USE IN: Landing page · FAQ · Cover letter helper text · Module 3 intro</w:t>
      </w:r>
    </w:p>
    <w:p>
      <w:pPr>
        <w:spacing w:after="120"/>
      </w:pPr>
      <w:r>
        <w:rPr>
          <w:rFonts w:ascii="Arial" w:cs="Arial" w:eastAsia="Arial" w:hAnsi="Arial"/>
          <w:i w:val="false"/>
          <w:iCs w:val="false"/>
          <w:color w:val="1a1a1a"/>
          <w:sz w:val="20"/>
          <w:szCs w:val="20"/>
        </w:rPr>
        <w:t xml:space="preserve">e2go rewrite: Every document in your binder is an answer to a question the officer is silently asking. When the documents answer different questions than the officer is asking, the application fails — regardless of how well-organised the binder looks.</w:t>
      </w:r>
    </w:p>
    <w:p>
      <w:pPr>
        <w:pBdr>
          <w:bottom w:val="single" w:color="DDDDDD" w:sz="2" w:space="1"/>
        </w:pBdr>
        <w:spacing w:after="200" w:before="200"/>
      </w:pPr>
    </w:p>
    <w:p>
      <w:pPr>
        <w:pStyle w:val="Heading2"/>
        <w:spacing w:after="80" w:before="320"/>
      </w:pPr>
      <w:r>
        <w:rPr>
          <w:rFonts w:ascii="Georgia" w:cs="Georgia" w:eastAsia="Georgia" w:hAnsi="Georgia"/>
          <w:b/>
          <w:bCs/>
          <w:color w:val="C9A84C"/>
          <w:sz w:val="22"/>
          <w:szCs w:val="22"/>
        </w:rPr>
        <w:t xml:space="preserve">Principle 3 — Most denials were avoidable earlier</w:t>
      </w:r>
    </w:p>
    <w:p>
      <w:pPr>
        <w:pBdr>
          <w:left w:val="single" w:color="C9A84C" w:sz="12" w:space="12"/>
        </w:pBdr>
        <w:spacing w:after="120" w:before="120"/>
        <w:ind w:left="720" w:right="720"/>
      </w:pPr>
      <w:r>
        <w:rPr>
          <w:rFonts w:ascii="Georgia" w:cs="Georgia" w:eastAsia="Georgia" w:hAnsi="Georgia"/>
          <w:i/>
          <w:iCs/>
          <w:color w:val="444444"/>
          <w:sz w:val="20"/>
          <w:szCs w:val="20"/>
        </w:rPr>
        <w:t xml:space="preserve">Most E-2 visa denials don't happen because someone was unqualified. They happen because the person didn't know which part of the case was being evaluated closely.</w:t>
      </w:r>
    </w:p>
    <w:p>
      <w:pPr>
        <w:spacing w:after="40" w:before="40"/>
      </w:pPr>
      <w:r>
        <w:rPr>
          <w:rFonts w:ascii="Arial" w:cs="Arial" w:eastAsia="Arial" w:hAnsi="Arial"/>
          <w:b/>
          <w:bCs/>
          <w:color w:val="0D9488"/>
          <w:sz w:val="16"/>
          <w:szCs w:val="16"/>
        </w:rPr>
        <w:t xml:space="preserve">▶ USE IN: Landing page · Results page · Module 0 scoring explanation</w:t>
      </w:r>
    </w:p>
    <w:p>
      <w:pPr>
        <w:spacing w:after="120"/>
      </w:pPr>
      <w:r>
        <w:rPr>
          <w:rFonts w:ascii="Arial" w:cs="Arial" w:eastAsia="Arial" w:hAnsi="Arial"/>
          <w:i w:val="false"/>
          <w:iCs w:val="false"/>
          <w:color w:val="1a1a1a"/>
          <w:sz w:val="20"/>
          <w:szCs w:val="20"/>
        </w:rPr>
        <w:t xml:space="preserve">e2go rewrite: The documents e2go builds are structured around exactly what consular officers look for — not what applicants think they look for. There is a difference, and it is the difference between approval and a 221(g).</w:t>
      </w:r>
    </w:p>
    <w:p>
      <w:pPr>
        <w:pBdr>
          <w:bottom w:val="single" w:color="DDDDDD" w:sz="2" w:space="1"/>
        </w:pBdr>
        <w:spacing w:after="200" w:before="200"/>
      </w:pPr>
    </w:p>
    <w:p>
      <w:pPr>
        <w:pStyle w:val="Heading2"/>
        <w:spacing w:after="80" w:before="320"/>
      </w:pPr>
      <w:r>
        <w:rPr>
          <w:rFonts w:ascii="Georgia" w:cs="Georgia" w:eastAsia="Georgia" w:hAnsi="Georgia"/>
          <w:b/>
          <w:bCs/>
          <w:color w:val="C9A84C"/>
          <w:sz w:val="22"/>
          <w:szCs w:val="22"/>
        </w:rPr>
        <w:t xml:space="preserve">Principle 4 — Clarity before commitment</w:t>
      </w:r>
    </w:p>
    <w:p>
      <w:pPr>
        <w:pBdr>
          <w:left w:val="single" w:color="C9A84C" w:sz="12" w:space="12"/>
        </w:pBdr>
        <w:spacing w:after="120" w:before="120"/>
        <w:ind w:left="720" w:right="720"/>
      </w:pPr>
      <w:r>
        <w:rPr>
          <w:rFonts w:ascii="Georgia" w:cs="Georgia" w:eastAsia="Georgia" w:hAnsi="Georgia"/>
          <w:i/>
          <w:iCs/>
          <w:color w:val="444444"/>
          <w:sz w:val="20"/>
          <w:szCs w:val="20"/>
        </w:rPr>
        <w:t xml:space="preserve">What most people need first isn't a lawyer. It's clarity. Is this visa right for me? Is my plan strong enough? Am I going to waste time, or am I ready to act?</w:t>
      </w:r>
    </w:p>
    <w:p>
      <w:pPr>
        <w:spacing w:after="40" w:before="40"/>
      </w:pPr>
      <w:r>
        <w:rPr>
          <w:rFonts w:ascii="Arial" w:cs="Arial" w:eastAsia="Arial" w:hAnsi="Arial"/>
          <w:b/>
          <w:bCs/>
          <w:color w:val="0D9488"/>
          <w:sz w:val="16"/>
          <w:szCs w:val="16"/>
        </w:rPr>
        <w:t xml:space="preserve">▶ USE IN: Quiz intro · Landing page CTA · Pricing page</w:t>
      </w:r>
    </w:p>
    <w:p>
      <w:pPr>
        <w:spacing w:after="120"/>
      </w:pPr>
      <w:r>
        <w:rPr>
          <w:rFonts w:ascii="Arial" w:cs="Arial" w:eastAsia="Arial" w:hAnsi="Arial"/>
          <w:i w:val="false"/>
          <w:iCs w:val="false"/>
          <w:color w:val="1a1a1a"/>
          <w:sz w:val="20"/>
          <w:szCs w:val="20"/>
        </w:rPr>
        <w:t xml:space="preserve">e2go rewrite: Before you spend money on legal fees, understand whether your plan is fundable, your investment is documentable, and your business is structurally E-2 compliant. That is what the e2go assessment does in 10 minutes.</w:t>
      </w:r>
    </w:p>
    <w:p>
      <w:pPr>
        <w:pBdr>
          <w:bottom w:val="single" w:color="DDDDDD" w:sz="2" w:space="1"/>
        </w:pBdr>
        <w:spacing w:after="200" w:before="200"/>
      </w:pPr>
    </w:p>
    <w:p>
      <w:pPr>
        <w:pStyle w:val="Heading1"/>
        <w:pBdr>
          <w:bottom w:val="single" w:color="C9A84C" w:sz="6" w:space="6"/>
        </w:pBdr>
        <w:spacing w:after="120" w:before="480"/>
      </w:pPr>
      <w:r>
        <w:rPr>
          <w:rFonts w:ascii="Georgia" w:cs="Georgia" w:eastAsia="Georgia" w:hAnsi="Georgia"/>
          <w:b/>
          <w:bCs/>
          <w:color w:val="1a1a1a"/>
          <w:sz w:val="28"/>
          <w:szCs w:val="28"/>
        </w:rPr>
        <w:t xml:space="preserve">SECTION 2 — Investment Intelligence (Form Nudges + Advisory Cards)</w:t>
      </w:r>
    </w:p>
    <w:p>
      <w:pPr>
        <w:spacing w:after="120"/>
      </w:pPr>
      <w:r>
        <w:rPr>
          <w:rFonts w:ascii="Arial" w:cs="Arial" w:eastAsia="Arial" w:hAnsi="Arial"/>
          <w:i w:val="false"/>
          <w:iCs w:val="false"/>
          <w:color w:val="1a1a1a"/>
          <w:sz w:val="20"/>
          <w:szCs w:val="20"/>
        </w:rPr>
        <w:t xml:space="preserve">These insights address the most common investor misconceptions about what 'investment' actually means under E-2 law. Use as helper text in Tab F (Investment Proof) and as advisory cards triggered by specific answers.</w:t>
      </w:r>
    </w:p>
    <w:p>
      <w:pPr>
        <w:pBdr>
          <w:bottom w:val="single" w:color="DDDDDD" w:sz="2" w:space="1"/>
        </w:pBdr>
        <w:spacing w:after="200" w:before="200"/>
      </w:pPr>
    </w:p>
    <w:p>
      <w:pPr>
        <w:pStyle w:val="Heading2"/>
        <w:spacing w:after="80" w:before="320"/>
      </w:pPr>
      <w:r>
        <w:rPr>
          <w:rFonts w:ascii="Georgia" w:cs="Georgia" w:eastAsia="Georgia" w:hAnsi="Georgia"/>
          <w:b/>
          <w:bCs/>
          <w:color w:val="C9A84C"/>
          <w:sz w:val="22"/>
          <w:szCs w:val="22"/>
        </w:rPr>
        <w:t xml:space="preserve">Investment Truth 1 — Capital in a bank account is not an investment</w:t>
      </w:r>
    </w:p>
    <w:p>
      <w:pPr>
        <w:pBdr>
          <w:left w:val="single" w:color="C9A84C" w:sz="12" w:space="12"/>
        </w:pBdr>
        <w:spacing w:after="120" w:before="120"/>
        <w:ind w:left="720" w:right="720"/>
      </w:pPr>
      <w:r>
        <w:rPr>
          <w:rFonts w:ascii="Georgia" w:cs="Georgia" w:eastAsia="Georgia" w:hAnsi="Georgia"/>
          <w:i/>
          <w:iCs/>
          <w:color w:val="444444"/>
          <w:sz w:val="20"/>
          <w:szCs w:val="20"/>
        </w:rPr>
        <w:t xml:space="preserve">Capital in a bank account is a reserve, not an investment. The 'safe' move is often the one that leads to a denial.</w:t>
      </w:r>
    </w:p>
    <w:p>
      <w:pPr>
        <w:spacing w:after="40" w:before="40"/>
      </w:pPr>
      <w:r>
        <w:rPr>
          <w:rFonts w:ascii="Arial" w:cs="Arial" w:eastAsia="Arial" w:hAnsi="Arial"/>
          <w:b/>
          <w:bCs/>
          <w:color w:val="0D9488"/>
          <w:sz w:val="16"/>
          <w:szCs w:val="16"/>
        </w:rPr>
        <w:t xml:space="preserve">▶ USE IN: Tab F · QF-NEW-01 advisory card · D-02 denial flag</w:t>
      </w:r>
    </w:p>
    <w:p>
      <w:pPr>
        <w:spacing w:after="120"/>
      </w:pPr>
      <w:r>
        <w:rPr>
          <w:rFonts w:ascii="Arial" w:cs="Arial" w:eastAsia="Arial" w:hAnsi="Arial"/>
          <w:i w:val="false"/>
          <w:iCs w:val="false"/>
          <w:color w:val="1a1a1a"/>
          <w:sz w:val="20"/>
          <w:szCs w:val="20"/>
        </w:rPr>
        <w:t xml:space="preserve">e2go rewrite (helper text for QF-NEW-01): Idle funds transferred to a U.S. business account satisfy the paperwork — not the legal standard. The at-risk requirement means the capital must be irrevocably committed to specific business expenses. A signed lease, purchased equipment, paid franchise fee, or prepaid marketing contract all qualify. Unspent cash does not.</w:t>
      </w:r>
    </w:p>
    <w:p>
      <w:pPr>
        <w:spacing w:after="80"/>
        <w:ind w:left="480" w:hanging="240"/>
      </w:pPr>
      <w:r>
        <w:rPr>
          <w:rFonts w:ascii="Arial" w:cs="Arial" w:eastAsia="Arial" w:hAnsi="Arial"/>
          <w:b/>
          <w:bCs/>
          <w:color w:val="C9A84C"/>
          <w:sz w:val="20"/>
          <w:szCs w:val="20"/>
        </w:rPr>
        <w:t xml:space="preserve">• </w:t>
      </w:r>
      <w:r>
        <w:rPr>
          <w:rFonts w:ascii="Arial" w:cs="Arial" w:eastAsia="Arial" w:hAnsi="Arial"/>
          <w:color w:val="1a1a1a"/>
          <w:sz w:val="20"/>
          <w:szCs w:val="20"/>
        </w:rPr>
        <w:t xml:space="preserve">The officer applies the Inverted Sliding Scale to spent capital, not total deposits</w:t>
      </w:r>
    </w:p>
    <w:p>
      <w:pPr>
        <w:spacing w:after="80"/>
        <w:ind w:left="480" w:hanging="240"/>
      </w:pPr>
      <w:r>
        <w:rPr>
          <w:rFonts w:ascii="Arial" w:cs="Arial" w:eastAsia="Arial" w:hAnsi="Arial"/>
          <w:b/>
          <w:bCs/>
          <w:color w:val="C9A84C"/>
          <w:sz w:val="20"/>
          <w:szCs w:val="20"/>
        </w:rPr>
        <w:t xml:space="preserve">• </w:t>
      </w:r>
      <w:r>
        <w:rPr>
          <w:rFonts w:ascii="Arial" w:cs="Arial" w:eastAsia="Arial" w:hAnsi="Arial"/>
          <w:color w:val="1a1a1a"/>
          <w:sz w:val="20"/>
          <w:szCs w:val="20"/>
        </w:rPr>
        <w:t xml:space="preserve">Hard expenditures (executed leases, equipment, prepaid contracts) create the at-risk evidence</w:t>
      </w:r>
    </w:p>
    <w:p>
      <w:pPr>
        <w:spacing w:after="80"/>
        <w:ind w:left="480" w:hanging="240"/>
      </w:pPr>
      <w:r>
        <w:rPr>
          <w:rFonts w:ascii="Arial" w:cs="Arial" w:eastAsia="Arial" w:hAnsi="Arial"/>
          <w:b/>
          <w:bCs/>
          <w:color w:val="C9A84C"/>
          <w:sz w:val="20"/>
          <w:szCs w:val="20"/>
        </w:rPr>
        <w:t xml:space="preserve">• </w:t>
      </w:r>
      <w:r>
        <w:rPr>
          <w:rFonts w:ascii="Arial" w:cs="Arial" w:eastAsia="Arial" w:hAnsi="Arial"/>
          <w:color w:val="1a1a1a"/>
          <w:sz w:val="20"/>
          <w:szCs w:val="20"/>
        </w:rPr>
        <w:t xml:space="preserve">Unspent cash balance is typically ignored when calculating substantiality</w:t>
      </w:r>
    </w:p>
    <w:p>
      <w:pPr>
        <w:pBdr>
          <w:bottom w:val="single" w:color="DDDDDD" w:sz="2" w:space="1"/>
        </w:pBdr>
        <w:spacing w:after="200" w:before="200"/>
      </w:pPr>
    </w:p>
    <w:p>
      <w:pPr>
        <w:pStyle w:val="Heading2"/>
        <w:spacing w:after="80" w:before="320"/>
      </w:pPr>
      <w:r>
        <w:rPr>
          <w:rFonts w:ascii="Georgia" w:cs="Georgia" w:eastAsia="Georgia" w:hAnsi="Georgia"/>
          <w:b/>
          <w:bCs/>
          <w:color w:val="C9A84C"/>
          <w:sz w:val="22"/>
          <w:szCs w:val="22"/>
        </w:rPr>
        <w:t xml:space="preserve">Investment Truth 2 — At-risk means structural risk, not financial loss</w:t>
      </w:r>
    </w:p>
    <w:p>
      <w:pPr>
        <w:pBdr>
          <w:left w:val="single" w:color="C9A84C" w:sz="12" w:space="12"/>
        </w:pBdr>
        <w:spacing w:after="120" w:before="120"/>
        <w:ind w:left="720" w:right="720"/>
      </w:pPr>
      <w:r>
        <w:rPr>
          <w:rFonts w:ascii="Georgia" w:cs="Georgia" w:eastAsia="Georgia" w:hAnsi="Georgia"/>
          <w:i/>
          <w:iCs/>
          <w:color w:val="444444"/>
          <w:sz w:val="20"/>
          <w:szCs w:val="20"/>
        </w:rPr>
        <w:t xml:space="preserve">The biggest mistake investors make is conflating 'at-risk' with 'lost.' I see capital spent haphazardly on expenses rather than deployed in assets.</w:t>
      </w:r>
    </w:p>
    <w:p>
      <w:pPr>
        <w:spacing w:after="40" w:before="40"/>
      </w:pPr>
      <w:r>
        <w:rPr>
          <w:rFonts w:ascii="Arial" w:cs="Arial" w:eastAsia="Arial" w:hAnsi="Arial"/>
          <w:b/>
          <w:bCs/>
          <w:color w:val="0D9488"/>
          <w:sz w:val="16"/>
          <w:szCs w:val="16"/>
        </w:rPr>
        <w:t xml:space="preserve">▶ USE IN: Tab F · Investment amount question · Business plan advisory</w:t>
      </w:r>
    </w:p>
    <w:p>
      <w:pPr>
        <w:spacing w:after="120"/>
      </w:pPr>
      <w:r>
        <w:rPr>
          <w:rFonts w:ascii="Arial" w:cs="Arial" w:eastAsia="Arial" w:hAnsi="Arial"/>
          <w:i w:val="false"/>
          <w:iCs w:val="false"/>
          <w:color w:val="1a1a1a"/>
          <w:sz w:val="20"/>
          <w:szCs w:val="20"/>
        </w:rPr>
        <w:t xml:space="preserve">e2go rewrite: At-risk does not mean you expect to lose the money. It means the capital is committed to real business assets — equipment, inventory, marketing, leasehold improvements — that are subject to market risk. The risk should be operational: will the market accept your product? Not administrative: did you spend enough to look committed?</w:t>
      </w:r>
    </w:p>
    <w:p>
      <w:pPr>
        <w:pBdr>
          <w:left w:val="single" w:color="C9A84C" w:sz="12" w:space="12"/>
        </w:pBdr>
        <w:spacing w:after="120" w:before="120"/>
        <w:ind w:left="720" w:right="720"/>
      </w:pPr>
      <w:r>
        <w:rPr>
          <w:rFonts w:ascii="Georgia" w:cs="Georgia" w:eastAsia="Georgia" w:hAnsi="Georgia"/>
          <w:i/>
          <w:iCs/>
          <w:color w:val="444444"/>
          <w:sz w:val="20"/>
          <w:szCs w:val="20"/>
        </w:rPr>
        <w:t xml:space="preserve">Deploy capital to create a legacy, not a consumption ledger.</w:t>
      </w:r>
    </w:p>
    <w:p>
      <w:pPr>
        <w:pBdr>
          <w:bottom w:val="single" w:color="DDDDDD" w:sz="2" w:space="1"/>
        </w:pBdr>
        <w:spacing w:after="200" w:before="200"/>
      </w:pPr>
    </w:p>
    <w:p>
      <w:pPr>
        <w:pStyle w:val="Heading2"/>
        <w:spacing w:after="80" w:before="320"/>
      </w:pPr>
      <w:r>
        <w:rPr>
          <w:rFonts w:ascii="Georgia" w:cs="Georgia" w:eastAsia="Georgia" w:hAnsi="Georgia"/>
          <w:b/>
          <w:bCs/>
          <w:color w:val="C9A84C"/>
          <w:sz w:val="22"/>
          <w:szCs w:val="22"/>
        </w:rPr>
        <w:t xml:space="preserve">Investment Truth 3 — Low investment is not the problem. Vague plans are.</w:t>
      </w:r>
    </w:p>
    <w:p>
      <w:pPr>
        <w:pBdr>
          <w:left w:val="single" w:color="C9A84C" w:sz="12" w:space="12"/>
        </w:pBdr>
        <w:spacing w:after="120" w:before="120"/>
        <w:ind w:left="720" w:right="720"/>
      </w:pPr>
      <w:r>
        <w:rPr>
          <w:rFonts w:ascii="Georgia" w:cs="Georgia" w:eastAsia="Georgia" w:hAnsi="Georgia"/>
          <w:i/>
          <w:iCs/>
          <w:color w:val="444444"/>
          <w:sz w:val="20"/>
          <w:szCs w:val="20"/>
        </w:rPr>
        <w:t xml:space="preserve">Low investment isn't automatically disqualifying. A 'low investment + vague plan' is.</w:t>
      </w:r>
    </w:p>
    <w:p>
      <w:pPr>
        <w:spacing w:after="40" w:before="40"/>
      </w:pPr>
      <w:r>
        <w:rPr>
          <w:rFonts w:ascii="Arial" w:cs="Arial" w:eastAsia="Arial" w:hAnsi="Arial"/>
          <w:b/>
          <w:bCs/>
          <w:color w:val="0D9488"/>
          <w:sz w:val="16"/>
          <w:szCs w:val="16"/>
        </w:rPr>
        <w:t xml:space="preserve">▶ USE IN: Quiz results · Module 0 scoring · Investment amount question helper text</w:t>
      </w:r>
    </w:p>
    <w:p>
      <w:pPr>
        <w:spacing w:after="120"/>
      </w:pPr>
      <w:r>
        <w:rPr>
          <w:rFonts w:ascii="Arial" w:cs="Arial" w:eastAsia="Arial" w:hAnsi="Arial"/>
          <w:i w:val="false"/>
          <w:iCs w:val="false"/>
          <w:color w:val="1a1a1a"/>
          <w:sz w:val="20"/>
          <w:szCs w:val="20"/>
        </w:rPr>
        <w:t xml:space="preserve">e2go rewrite: The officer does not apply a minimum dollar threshold. They apply a proportionality test: is this investment substantial relative to what it costs to launch this specific business? A $70,000 investment in a $70,000 service business is 100% — clearly substantial. A $100,000 investment in a $500,000 franchise is 20% — and requires a compelling argument.</w:t>
      </w:r>
    </w:p>
    <w:p>
      <w:pPr>
        <w:spacing w:after="120"/>
      </w:pPr>
      <w:r>
        <w:rPr>
          <w:rFonts w:ascii="Arial" w:cs="Arial" w:eastAsia="Arial" w:hAnsi="Arial"/>
          <w:i w:val="false"/>
          <w:iCs w:val="false"/>
          <w:color w:val="1a1a1a"/>
          <w:sz w:val="20"/>
          <w:szCs w:val="20"/>
        </w:rPr>
        <w:t xml:space="preserve">The right question is not 'how much is enough?' It is: 'what business can I credibly build with what I have, and how do I document that it is non-marginal within 2-5 years?'</w:t>
      </w:r>
    </w:p>
    <w:p>
      <w:pPr>
        <w:spacing w:after="80"/>
        <w:ind w:left="480" w:hanging="240"/>
      </w:pPr>
      <w:r>
        <w:rPr>
          <w:rFonts w:ascii="Arial" w:cs="Arial" w:eastAsia="Arial" w:hAnsi="Arial"/>
          <w:b/>
          <w:bCs/>
          <w:color w:val="C9A84C"/>
          <w:sz w:val="20"/>
          <w:szCs w:val="20"/>
        </w:rPr>
        <w:t xml:space="preserve">• </w:t>
      </w:r>
      <w:r>
        <w:rPr>
          <w:rFonts w:ascii="Arial" w:cs="Arial" w:eastAsia="Arial" w:hAnsi="Arial"/>
          <w:color w:val="1a1a1a"/>
          <w:sz w:val="20"/>
          <w:szCs w:val="20"/>
        </w:rPr>
        <w:t xml:space="preserve">Budget range and source of funds</w:t>
      </w:r>
    </w:p>
    <w:p>
      <w:pPr>
        <w:spacing w:after="80"/>
        <w:ind w:left="480" w:hanging="240"/>
      </w:pPr>
      <w:r>
        <w:rPr>
          <w:rFonts w:ascii="Arial" w:cs="Arial" w:eastAsia="Arial" w:hAnsi="Arial"/>
          <w:b/>
          <w:bCs/>
          <w:color w:val="C9A84C"/>
          <w:sz w:val="20"/>
          <w:szCs w:val="20"/>
        </w:rPr>
        <w:t xml:space="preserve">• </w:t>
      </w:r>
      <w:r>
        <w:rPr>
          <w:rFonts w:ascii="Arial" w:cs="Arial" w:eastAsia="Arial" w:hAnsi="Arial"/>
          <w:color w:val="1a1a1a"/>
          <w:sz w:val="20"/>
          <w:szCs w:val="20"/>
        </w:rPr>
        <w:t xml:space="preserve">Business type — service, franchise, or retail</w:t>
      </w:r>
    </w:p>
    <w:p>
      <w:pPr>
        <w:spacing w:after="80"/>
        <w:ind w:left="480" w:hanging="240"/>
      </w:pPr>
      <w:r>
        <w:rPr>
          <w:rFonts w:ascii="Arial" w:cs="Arial" w:eastAsia="Arial" w:hAnsi="Arial"/>
          <w:b/>
          <w:bCs/>
          <w:color w:val="C9A84C"/>
          <w:sz w:val="20"/>
          <w:szCs w:val="20"/>
        </w:rPr>
        <w:t xml:space="preserve">• </w:t>
      </w:r>
      <w:r>
        <w:rPr>
          <w:rFonts w:ascii="Arial" w:cs="Arial" w:eastAsia="Arial" w:hAnsi="Arial"/>
          <w:color w:val="1a1a1a"/>
          <w:sz w:val="20"/>
          <w:szCs w:val="20"/>
        </w:rPr>
        <w:t xml:space="preserve">What funds are already committed (lease, equipment, inventory)</w:t>
      </w:r>
    </w:p>
    <w:p>
      <w:pPr>
        <w:spacing w:after="80"/>
        <w:ind w:left="480" w:hanging="240"/>
      </w:pPr>
      <w:r>
        <w:rPr>
          <w:rFonts w:ascii="Arial" w:cs="Arial" w:eastAsia="Arial" w:hAnsi="Arial"/>
          <w:b/>
          <w:bCs/>
          <w:color w:val="C9A84C"/>
          <w:sz w:val="20"/>
          <w:szCs w:val="20"/>
        </w:rPr>
        <w:t xml:space="preserve">• </w:t>
      </w:r>
      <w:r>
        <w:rPr>
          <w:rFonts w:ascii="Arial" w:cs="Arial" w:eastAsia="Arial" w:hAnsi="Arial"/>
          <w:color w:val="1a1a1a"/>
          <w:sz w:val="20"/>
          <w:szCs w:val="20"/>
        </w:rPr>
        <w:t xml:space="preserve">Relevant experience and qualifications</w:t>
      </w:r>
    </w:p>
    <w:p>
      <w:pPr>
        <w:spacing w:after="80"/>
        <w:ind w:left="480" w:hanging="240"/>
      </w:pPr>
      <w:r>
        <w:rPr>
          <w:rFonts w:ascii="Arial" w:cs="Arial" w:eastAsia="Arial" w:hAnsi="Arial"/>
          <w:b/>
          <w:bCs/>
          <w:color w:val="C9A84C"/>
          <w:sz w:val="20"/>
          <w:szCs w:val="20"/>
        </w:rPr>
        <w:t xml:space="preserve">• </w:t>
      </w:r>
      <w:r>
        <w:rPr>
          <w:rFonts w:ascii="Arial" w:cs="Arial" w:eastAsia="Arial" w:hAnsi="Arial"/>
          <w:color w:val="1a1a1a"/>
          <w:sz w:val="20"/>
          <w:szCs w:val="20"/>
        </w:rPr>
        <w:t xml:space="preserve">Hiring plan and revenue target (even rough)</w:t>
      </w:r>
    </w:p>
    <w:p>
      <w:pPr>
        <w:pBdr>
          <w:bottom w:val="single" w:color="DDDDDD" w:sz="2" w:space="1"/>
        </w:pBdr>
        <w:spacing w:after="200" w:before="200"/>
      </w:pPr>
    </w:p>
    <w:p>
      <w:pPr>
        <w:pStyle w:val="Heading1"/>
        <w:pBdr>
          <w:bottom w:val="single" w:color="C9A84C" w:sz="6" w:space="6"/>
        </w:pBdr>
        <w:spacing w:after="120" w:before="480"/>
      </w:pPr>
      <w:r>
        <w:rPr>
          <w:rFonts w:ascii="Georgia" w:cs="Georgia" w:eastAsia="Georgia" w:hAnsi="Georgia"/>
          <w:b/>
          <w:bCs/>
          <w:color w:val="1a1a1a"/>
          <w:sz w:val="28"/>
          <w:szCs w:val="28"/>
        </w:rPr>
        <w:t xml:space="preserve">SECTION 3 — Hiring and Marginality (Tab I + Form Nudges)</w:t>
      </w:r>
    </w:p>
    <w:p>
      <w:pPr>
        <w:spacing w:after="120"/>
      </w:pPr>
      <w:r>
        <w:rPr>
          <w:rFonts w:ascii="Arial" w:cs="Arial" w:eastAsia="Arial" w:hAnsi="Arial"/>
          <w:i w:val="false"/>
          <w:iCs w:val="false"/>
          <w:color w:val="1a1a1a"/>
          <w:sz w:val="20"/>
          <w:szCs w:val="20"/>
        </w:rPr>
        <w:t xml:space="preserve">The marginality test is the most misunderstood requirement in E-2 law. These insights are gold for Tab I (Business Viability) helper text and for the denial-flag advisory cards.</w:t>
      </w:r>
    </w:p>
    <w:p>
      <w:pPr>
        <w:pBdr>
          <w:bottom w:val="single" w:color="DDDDDD" w:sz="2" w:space="1"/>
        </w:pBdr>
        <w:spacing w:after="200" w:before="200"/>
      </w:pPr>
    </w:p>
    <w:p>
      <w:pPr>
        <w:pStyle w:val="Heading2"/>
        <w:spacing w:after="80" w:before="320"/>
      </w:pPr>
      <w:r>
        <w:rPr>
          <w:rFonts w:ascii="Georgia" w:cs="Georgia" w:eastAsia="Georgia" w:hAnsi="Georgia"/>
          <w:b/>
          <w:bCs/>
          <w:color w:val="C9A84C"/>
          <w:sz w:val="22"/>
          <w:szCs w:val="22"/>
        </w:rPr>
        <w:t xml:space="preserve">Hiring Truth 1 — Hiring is structural, not optional</w:t>
      </w:r>
    </w:p>
    <w:p>
      <w:pPr>
        <w:pBdr>
          <w:left w:val="single" w:color="C9A84C" w:sz="12" w:space="12"/>
        </w:pBdr>
        <w:spacing w:after="120" w:before="120"/>
        <w:ind w:left="720" w:right="720"/>
      </w:pPr>
      <w:r>
        <w:rPr>
          <w:rFonts w:ascii="Georgia" w:cs="Georgia" w:eastAsia="Georgia" w:hAnsi="Georgia"/>
          <w:i/>
          <w:iCs/>
          <w:color w:val="444444"/>
          <w:sz w:val="20"/>
          <w:szCs w:val="20"/>
        </w:rPr>
        <w:t xml:space="preserve">Hiring is a structural requirement of your legal E-2 status. The E-2 visa is not a self-employment permit. It is an investment vehicle designed to stimulate the American economy.</w:t>
      </w:r>
    </w:p>
    <w:p>
      <w:pPr>
        <w:spacing w:after="40" w:before="40"/>
      </w:pPr>
      <w:r>
        <w:rPr>
          <w:rFonts w:ascii="Arial" w:cs="Arial" w:eastAsia="Arial" w:hAnsi="Arial"/>
          <w:b/>
          <w:bCs/>
          <w:color w:val="0D9488"/>
          <w:sz w:val="16"/>
          <w:szCs w:val="16"/>
        </w:rPr>
        <w:t xml:space="preserve">▶ USE IN: Tab I · Hiring plan questions · QI-04 helper text · Marginality advisory</w:t>
      </w:r>
    </w:p>
    <w:p>
      <w:pPr>
        <w:spacing w:after="120"/>
      </w:pPr>
      <w:r>
        <w:rPr>
          <w:rFonts w:ascii="Arial" w:cs="Arial" w:eastAsia="Arial" w:hAnsi="Arial"/>
          <w:i w:val="false"/>
          <w:iCs w:val="false"/>
          <w:color w:val="1a1a1a"/>
          <w:sz w:val="20"/>
          <w:szCs w:val="20"/>
        </w:rPr>
        <w:t xml:space="preserve">e2go rewrite: If you are the only person creating value in your business, you are not an investor — you are a self-employed worker who brought their own capital. The marginality test specifically asks: does this business have the present or future capacity to employ U.S. workers? A business that generates income only for the investor's household fails that test.</w:t>
      </w:r>
    </w:p>
    <w:p>
      <w:pPr>
        <w:pBdr>
          <w:left w:val="single" w:color="C9A84C" w:sz="12" w:space="12"/>
        </w:pBdr>
        <w:spacing w:after="120" w:before="120"/>
        <w:ind w:left="720" w:right="720"/>
      </w:pPr>
      <w:r>
        <w:rPr>
          <w:rFonts w:ascii="Georgia" w:cs="Georgia" w:eastAsia="Georgia" w:hAnsi="Georgia"/>
          <w:i/>
          <w:iCs/>
          <w:color w:val="444444"/>
          <w:sz w:val="20"/>
          <w:szCs w:val="20"/>
        </w:rPr>
        <w:t xml:space="preserve">If your organizational chart is a single box with your name in it, you don't have a business plan. You have a ticking clock.</w:t>
      </w:r>
    </w:p>
    <w:p>
      <w:pPr>
        <w:pBdr>
          <w:bottom w:val="single" w:color="DDDDDD" w:sz="2" w:space="1"/>
        </w:pBdr>
        <w:spacing w:after="200" w:before="200"/>
      </w:pPr>
    </w:p>
    <w:p>
      <w:pPr>
        <w:pStyle w:val="Heading2"/>
        <w:spacing w:after="80" w:before="320"/>
      </w:pPr>
      <w:r>
        <w:rPr>
          <w:rFonts w:ascii="Georgia" w:cs="Georgia" w:eastAsia="Georgia" w:hAnsi="Georgia"/>
          <w:b/>
          <w:bCs/>
          <w:color w:val="C9A84C"/>
          <w:sz w:val="22"/>
          <w:szCs w:val="22"/>
        </w:rPr>
        <w:t xml:space="preserve">Hiring Truth 2 — Delayed hiring is a renewal strategy that fails</w:t>
      </w:r>
    </w:p>
    <w:p>
      <w:pPr>
        <w:pBdr>
          <w:left w:val="single" w:color="C9A84C" w:sz="12" w:space="12"/>
        </w:pBdr>
        <w:spacing w:after="120" w:before="120"/>
        <w:ind w:left="720" w:right="720"/>
      </w:pPr>
      <w:r>
        <w:rPr>
          <w:rFonts w:ascii="Georgia" w:cs="Georgia" w:eastAsia="Georgia" w:hAnsi="Georgia"/>
          <w:i/>
          <w:iCs/>
          <w:color w:val="444444"/>
          <w:sz w:val="20"/>
          <w:szCs w:val="20"/>
        </w:rPr>
        <w:t xml:space="preserve">Waiting until your renewal window to 'find' staff is a transparent and often failing tactic. A sudden spike in hiring three months before a visa expiration looks like a desperate fabrication, not a sustainable enterprise.</w:t>
      </w:r>
    </w:p>
    <w:p>
      <w:pPr>
        <w:spacing w:after="40" w:before="40"/>
      </w:pPr>
      <w:r>
        <w:rPr>
          <w:rFonts w:ascii="Arial" w:cs="Arial" w:eastAsia="Arial" w:hAnsi="Arial"/>
          <w:b/>
          <w:bCs/>
          <w:color w:val="0D9488"/>
          <w:sz w:val="16"/>
          <w:szCs w:val="16"/>
        </w:rPr>
        <w:t xml:space="preserve">▶ USE IN: Tab I · Business plan section · Renewal risk advisory</w:t>
      </w:r>
    </w:p>
    <w:p>
      <w:pPr>
        <w:spacing w:after="120"/>
      </w:pPr>
      <w:r>
        <w:rPr>
          <w:rFonts w:ascii="Arial" w:cs="Arial" w:eastAsia="Arial" w:hAnsi="Arial"/>
          <w:i w:val="false"/>
          <w:iCs w:val="false"/>
          <w:color w:val="1a1a1a"/>
          <w:sz w:val="20"/>
          <w:szCs w:val="20"/>
        </w:rPr>
        <w:t xml:space="preserve">e2go rewrite: Adjudicators look for a consistent history of payroll, tax contributions, and organisational growth. The hiring plan in your business plan must show a credible, phased approach to staffing that begins in Year 1 — not a staff list assembled three months before renewal.</w:t>
      </w:r>
    </w:p>
    <w:p>
      <w:pPr>
        <w:spacing w:after="80"/>
        <w:ind w:left="480" w:hanging="240"/>
      </w:pPr>
      <w:r>
        <w:rPr>
          <w:rFonts w:ascii="Arial" w:cs="Arial" w:eastAsia="Arial" w:hAnsi="Arial"/>
          <w:b/>
          <w:bCs/>
          <w:color w:val="C9A84C"/>
          <w:sz w:val="20"/>
          <w:szCs w:val="20"/>
        </w:rPr>
        <w:t xml:space="preserve">• </w:t>
      </w:r>
      <w:r>
        <w:rPr>
          <w:rFonts w:ascii="Arial" w:cs="Arial" w:eastAsia="Arial" w:hAnsi="Arial"/>
          <w:color w:val="1a1a1a"/>
          <w:sz w:val="20"/>
          <w:szCs w:val="20"/>
        </w:rPr>
        <w:t xml:space="preserve">Year 1: At least 1-2 W-2 employees or a documented recruitment plan</w:t>
      </w:r>
    </w:p>
    <w:p>
      <w:pPr>
        <w:spacing w:after="80"/>
        <w:ind w:left="480" w:hanging="240"/>
      </w:pPr>
      <w:r>
        <w:rPr>
          <w:rFonts w:ascii="Arial" w:cs="Arial" w:eastAsia="Arial" w:hAnsi="Arial"/>
          <w:b/>
          <w:bCs/>
          <w:color w:val="C9A84C"/>
          <w:sz w:val="20"/>
          <w:szCs w:val="20"/>
        </w:rPr>
        <w:t xml:space="preserve">• </w:t>
      </w:r>
      <w:r>
        <w:rPr>
          <w:rFonts w:ascii="Arial" w:cs="Arial" w:eastAsia="Arial" w:hAnsi="Arial"/>
          <w:color w:val="1a1a1a"/>
          <w:sz w:val="20"/>
          <w:szCs w:val="20"/>
        </w:rPr>
        <w:t xml:space="preserve">Year 2-3: Payroll history that shows consistent growth</w:t>
      </w:r>
    </w:p>
    <w:p>
      <w:pPr>
        <w:spacing w:after="80"/>
        <w:ind w:left="480" w:hanging="240"/>
      </w:pPr>
      <w:r>
        <w:rPr>
          <w:rFonts w:ascii="Arial" w:cs="Arial" w:eastAsia="Arial" w:hAnsi="Arial"/>
          <w:b/>
          <w:bCs/>
          <w:color w:val="C9A84C"/>
          <w:sz w:val="20"/>
          <w:szCs w:val="20"/>
        </w:rPr>
        <w:t xml:space="preserve">• </w:t>
      </w:r>
      <w:r>
        <w:rPr>
          <w:rFonts w:ascii="Arial" w:cs="Arial" w:eastAsia="Arial" w:hAnsi="Arial"/>
          <w:color w:val="1a1a1a"/>
          <w:sz w:val="20"/>
          <w:szCs w:val="20"/>
        </w:rPr>
        <w:t xml:space="preserve">Year 5 (renewal): W-2 headcount that demonstrates economic contribution</w:t>
      </w:r>
    </w:p>
    <w:p>
      <w:pPr>
        <w:pBdr>
          <w:bottom w:val="single" w:color="DDDDDD" w:sz="2" w:space="1"/>
        </w:pBdr>
        <w:spacing w:after="200" w:before="200"/>
      </w:pPr>
    </w:p>
    <w:p>
      <w:pPr>
        <w:pStyle w:val="Heading2"/>
        <w:spacing w:after="80" w:before="320"/>
      </w:pPr>
      <w:r>
        <w:rPr>
          <w:rFonts w:ascii="Georgia" w:cs="Georgia" w:eastAsia="Georgia" w:hAnsi="Georgia"/>
          <w:b/>
          <w:bCs/>
          <w:color w:val="C9A84C"/>
          <w:sz w:val="22"/>
          <w:szCs w:val="22"/>
        </w:rPr>
        <w:t xml:space="preserve">Hiring Truth 3 — 1099 contractors do not count</w:t>
      </w:r>
    </w:p>
    <w:p>
      <w:pPr>
        <w:pBdr>
          <w:left w:val="single" w:color="C9A84C" w:sz="12" w:space="12"/>
        </w:pBdr>
        <w:spacing w:after="120" w:before="120"/>
        <w:ind w:left="720" w:right="720"/>
      </w:pPr>
      <w:r>
        <w:rPr>
          <w:rFonts w:ascii="Georgia" w:cs="Georgia" w:eastAsia="Georgia" w:hAnsi="Georgia"/>
          <w:i/>
          <w:iCs/>
          <w:color w:val="444444"/>
          <w:sz w:val="20"/>
          <w:szCs w:val="20"/>
        </w:rPr>
        <w:t xml:space="preserve">For the purpose of proving non-marginality, independent contractors are insufficient. Strategic best practices emphasize W-2 employees to demonstrate genuine, sustained job creation for U.S. workers.</w:t>
      </w:r>
    </w:p>
    <w:p>
      <w:pPr>
        <w:spacing w:after="40" w:before="40"/>
      </w:pPr>
      <w:r>
        <w:rPr>
          <w:rFonts w:ascii="Arial" w:cs="Arial" w:eastAsia="Arial" w:hAnsi="Arial"/>
          <w:b/>
          <w:bCs/>
          <w:color w:val="0D9488"/>
          <w:sz w:val="16"/>
          <w:szCs w:val="16"/>
        </w:rPr>
        <w:t xml:space="preserve">▶ USE IN: Tab I · Hiring plan question · QI-04 advisory</w:t>
      </w:r>
    </w:p>
    <w:p>
      <w:pPr>
        <w:spacing w:after="120"/>
      </w:pPr>
      <w:r>
        <w:rPr>
          <w:rFonts w:ascii="Arial" w:cs="Arial" w:eastAsia="Arial" w:hAnsi="Arial"/>
          <w:i w:val="false"/>
          <w:iCs w:val="false"/>
          <w:color w:val="1a1a1a"/>
          <w:sz w:val="20"/>
          <w:szCs w:val="20"/>
        </w:rPr>
        <w:t xml:space="preserve">e2go rewrite: Independent contractors cannot be legally directed as subordinate personnel — they work for themselves. A W-2 employee is someone whose work you direct, whose schedule you set, and whose role creates a documented contribution to the U.S. economy. Only W-2 employees fully satisfy the hiring requirement for renewal purposes.</w:t>
      </w:r>
    </w:p>
    <w:p>
      <w:pPr>
        <w:pBdr>
          <w:bottom w:val="single" w:color="DDDDDD" w:sz="2" w:space="1"/>
        </w:pBdr>
        <w:spacing w:after="200" w:before="200"/>
      </w:pPr>
    </w:p>
    <w:p>
      <w:pPr>
        <w:pStyle w:val="Heading1"/>
        <w:pBdr>
          <w:bottom w:val="single" w:color="C9A84C" w:sz="6" w:space="6"/>
        </w:pBdr>
        <w:spacing w:after="120" w:before="480"/>
      </w:pPr>
      <w:r>
        <w:rPr>
          <w:rFonts w:ascii="Georgia" w:cs="Georgia" w:eastAsia="Georgia" w:hAnsi="Georgia"/>
          <w:b/>
          <w:bCs/>
          <w:color w:val="1a1a1a"/>
          <w:sz w:val="28"/>
          <w:szCs w:val="28"/>
        </w:rPr>
        <w:t xml:space="preserve">SECTION 4 — Buying an Existing Business (Tab A + Business Plan)</w:t>
      </w:r>
    </w:p>
    <w:p>
      <w:pPr>
        <w:spacing w:after="120"/>
      </w:pPr>
      <w:r>
        <w:rPr>
          <w:rFonts w:ascii="Arial" w:cs="Arial" w:eastAsia="Arial" w:hAnsi="Arial"/>
          <w:i w:val="false"/>
          <w:iCs w:val="false"/>
          <w:color w:val="1a1a1a"/>
          <w:sz w:val="20"/>
          <w:szCs w:val="20"/>
        </w:rPr>
        <w:t xml:space="preserve">Critical insights for applicants acquiring an existing business. Use in Tab A (personal section) and Tab H (business acquisition questions) as advisory content.</w:t>
      </w:r>
    </w:p>
    <w:p>
      <w:pPr>
        <w:pBdr>
          <w:bottom w:val="single" w:color="DDDDDD" w:sz="2" w:space="1"/>
        </w:pBdr>
        <w:spacing w:after="200" w:before="200"/>
      </w:pPr>
    </w:p>
    <w:p>
      <w:pPr>
        <w:pStyle w:val="Heading2"/>
        <w:spacing w:after="80" w:before="320"/>
      </w:pPr>
      <w:r>
        <w:rPr>
          <w:rFonts w:ascii="Georgia" w:cs="Georgia" w:eastAsia="Georgia" w:hAnsi="Georgia"/>
          <w:b/>
          <w:bCs/>
          <w:color w:val="C9A84C"/>
          <w:sz w:val="22"/>
          <w:szCs w:val="22"/>
        </w:rPr>
        <w:t xml:space="preserve">Acquisition Truth 1 — Profitable does not mean E-2 compliant</w:t>
      </w:r>
    </w:p>
    <w:p>
      <w:pPr>
        <w:pBdr>
          <w:left w:val="single" w:color="C9A84C" w:sz="12" w:space="12"/>
        </w:pBdr>
        <w:spacing w:after="120" w:before="120"/>
        <w:ind w:left="720" w:right="720"/>
      </w:pPr>
      <w:r>
        <w:rPr>
          <w:rFonts w:ascii="Georgia" w:cs="Georgia" w:eastAsia="Georgia" w:hAnsi="Georgia"/>
          <w:i/>
          <w:iCs/>
          <w:color w:val="444444"/>
          <w:sz w:val="20"/>
          <w:szCs w:val="20"/>
        </w:rPr>
        <w:t xml:space="preserve">Many E-2 visa applicants mistake a profitable U.S. business for an E-2-compliant one. A business can be financially stable under its current owner while remaining fundamentally un-ready for the E-2 visa framework.</w:t>
      </w:r>
    </w:p>
    <w:p>
      <w:pPr>
        <w:spacing w:after="40" w:before="40"/>
      </w:pPr>
      <w:r>
        <w:rPr>
          <w:rFonts w:ascii="Arial" w:cs="Arial" w:eastAsia="Arial" w:hAnsi="Arial"/>
          <w:b/>
          <w:bCs/>
          <w:color w:val="0D9488"/>
          <w:sz w:val="16"/>
          <w:szCs w:val="16"/>
        </w:rPr>
        <w:t xml:space="preserve">▶ USE IN: Tab H · Business acquisition questions · Acquisition advisory card</w:t>
      </w:r>
    </w:p>
    <w:p>
      <w:pPr>
        <w:spacing w:after="120"/>
      </w:pPr>
      <w:r>
        <w:rPr>
          <w:rFonts w:ascii="Arial" w:cs="Arial" w:eastAsia="Arial" w:hAnsi="Arial"/>
          <w:i w:val="false"/>
          <w:iCs w:val="false"/>
          <w:color w:val="1a1a1a"/>
          <w:sz w:val="20"/>
          <w:szCs w:val="20"/>
        </w:rPr>
        <w:t xml:space="preserve">e2go rewrite: The consular officer is not just evaluating whether the business generates profit today. They are evaluating whether it can sustainably support more than just you and your family over the next 5-10 years. If a business generates $150,000 in net profit but requires the owner to work 70 hours a week to produce it, it is a job — not a scalable enterprise.</w:t>
      </w:r>
    </w:p>
    <w:p>
      <w:pPr>
        <w:pBdr>
          <w:bottom w:val="single" w:color="DDDDDD" w:sz="2" w:space="1"/>
        </w:pBdr>
        <w:spacing w:after="200" w:before="200"/>
      </w:pPr>
    </w:p>
    <w:p>
      <w:pPr>
        <w:pStyle w:val="Heading2"/>
        <w:spacing w:after="80" w:before="320"/>
      </w:pPr>
      <w:r>
        <w:rPr>
          <w:rFonts w:ascii="Georgia" w:cs="Georgia" w:eastAsia="Georgia" w:hAnsi="Georgia"/>
          <w:b/>
          <w:bCs/>
          <w:color w:val="C9A84C"/>
          <w:sz w:val="22"/>
          <w:szCs w:val="22"/>
        </w:rPr>
        <w:t xml:space="preserve">Acquisition Truth 2 — Buy a system, not a task list</w:t>
      </w:r>
    </w:p>
    <w:p>
      <w:pPr>
        <w:pBdr>
          <w:left w:val="single" w:color="C9A84C" w:sz="12" w:space="12"/>
        </w:pBdr>
        <w:spacing w:after="120" w:before="120"/>
        <w:ind w:left="720" w:right="720"/>
      </w:pPr>
      <w:r>
        <w:rPr>
          <w:rFonts w:ascii="Georgia" w:cs="Georgia" w:eastAsia="Georgia" w:hAnsi="Georgia"/>
          <w:i/>
          <w:iCs/>
          <w:color w:val="444444"/>
          <w:sz w:val="20"/>
          <w:szCs w:val="20"/>
        </w:rPr>
        <w:t xml:space="preserve">Sustainable E-2 acquisition is about buying a system, not a task list. If the business cannot function when you step away from the daily operations, it cannot support the growth required to secure your long-term status.</w:t>
      </w:r>
    </w:p>
    <w:p>
      <w:pPr>
        <w:spacing w:after="40" w:before="40"/>
      </w:pPr>
      <w:r>
        <w:rPr>
          <w:rFonts w:ascii="Arial" w:cs="Arial" w:eastAsia="Arial" w:hAnsi="Arial"/>
          <w:b/>
          <w:bCs/>
          <w:color w:val="0D9488"/>
          <w:sz w:val="16"/>
          <w:szCs w:val="16"/>
        </w:rPr>
        <w:t xml:space="preserve">▶ USE IN: Tab H · Acquisition checklist · Business viability scoring</w:t>
      </w:r>
    </w:p>
    <w:p>
      <w:pPr>
        <w:spacing w:after="120"/>
      </w:pPr>
      <w:r>
        <w:rPr>
          <w:rFonts w:ascii="Arial" w:cs="Arial" w:eastAsia="Arial" w:hAnsi="Arial"/>
          <w:i w:val="false"/>
          <w:iCs w:val="false"/>
          <w:color w:val="1a1a1a"/>
          <w:sz w:val="20"/>
          <w:szCs w:val="20"/>
        </w:rPr>
        <w:t xml:space="preserve">e2go rewrite: Before signing any acquisition agreement, audit four things: the organisational chart (are there W-2 employees?), the job descriptions (are roles documented?), the historical payroll (is there a staffing history?), and the margin capacity (can the business absorb a management layer without collapsing?). Revenue is a lagging indicator. Structure is what survives the transition.</w:t>
      </w:r>
    </w:p>
    <w:p>
      <w:pPr>
        <w:spacing w:after="80"/>
        <w:ind w:left="480" w:hanging="240"/>
      </w:pPr>
      <w:r>
        <w:rPr>
          <w:rFonts w:ascii="Arial" w:cs="Arial" w:eastAsia="Arial" w:hAnsi="Arial"/>
          <w:b/>
          <w:bCs/>
          <w:color w:val="C9A84C"/>
          <w:sz w:val="20"/>
          <w:szCs w:val="20"/>
        </w:rPr>
        <w:t xml:space="preserve">• </w:t>
      </w:r>
      <w:r>
        <w:rPr>
          <w:rFonts w:ascii="Arial" w:cs="Arial" w:eastAsia="Arial" w:hAnsi="Arial"/>
          <w:color w:val="1a1a1a"/>
          <w:sz w:val="20"/>
          <w:szCs w:val="20"/>
        </w:rPr>
        <w:t xml:space="preserve">Check for W-2 employees vs. 1099 contractors</w:t>
      </w:r>
    </w:p>
    <w:p>
      <w:pPr>
        <w:spacing w:after="80"/>
        <w:ind w:left="480" w:hanging="240"/>
      </w:pPr>
      <w:r>
        <w:rPr>
          <w:rFonts w:ascii="Arial" w:cs="Arial" w:eastAsia="Arial" w:hAnsi="Arial"/>
          <w:b/>
          <w:bCs/>
          <w:color w:val="C9A84C"/>
          <w:sz w:val="20"/>
          <w:szCs w:val="20"/>
        </w:rPr>
        <w:t xml:space="preserve">• </w:t>
      </w:r>
      <w:r>
        <w:rPr>
          <w:rFonts w:ascii="Arial" w:cs="Arial" w:eastAsia="Arial" w:hAnsi="Arial"/>
          <w:color w:val="1a1a1a"/>
          <w:sz w:val="20"/>
          <w:szCs w:val="20"/>
        </w:rPr>
        <w:t xml:space="preserve">Assess whether revenue is tied to the owner's personal involvement</w:t>
      </w:r>
    </w:p>
    <w:p>
      <w:pPr>
        <w:spacing w:after="80"/>
        <w:ind w:left="480" w:hanging="240"/>
      </w:pPr>
      <w:r>
        <w:rPr>
          <w:rFonts w:ascii="Arial" w:cs="Arial" w:eastAsia="Arial" w:hAnsi="Arial"/>
          <w:b/>
          <w:bCs/>
          <w:color w:val="C9A84C"/>
          <w:sz w:val="20"/>
          <w:szCs w:val="20"/>
        </w:rPr>
        <w:t xml:space="preserve">• </w:t>
      </w:r>
      <w:r>
        <w:rPr>
          <w:rFonts w:ascii="Arial" w:cs="Arial" w:eastAsia="Arial" w:hAnsi="Arial"/>
          <w:color w:val="1a1a1a"/>
          <w:sz w:val="20"/>
          <w:szCs w:val="20"/>
        </w:rPr>
        <w:t xml:space="preserve">Determine if the business can absorb a 20% increase in labour costs</w:t>
      </w:r>
    </w:p>
    <w:p>
      <w:pPr>
        <w:spacing w:after="80"/>
        <w:ind w:left="480" w:hanging="240"/>
      </w:pPr>
      <w:r>
        <w:rPr>
          <w:rFonts w:ascii="Arial" w:cs="Arial" w:eastAsia="Arial" w:hAnsi="Arial"/>
          <w:b/>
          <w:bCs/>
          <w:color w:val="C9A84C"/>
          <w:sz w:val="20"/>
          <w:szCs w:val="20"/>
        </w:rPr>
        <w:t xml:space="preserve">• </w:t>
      </w:r>
      <w:r>
        <w:rPr>
          <w:rFonts w:ascii="Arial" w:cs="Arial" w:eastAsia="Arial" w:hAnsi="Arial"/>
          <w:color w:val="1a1a1a"/>
          <w:sz w:val="20"/>
          <w:szCs w:val="20"/>
        </w:rPr>
        <w:t xml:space="preserve">Audit technical licences — are they transferable or owner-dependent?</w:t>
      </w:r>
    </w:p>
    <w:p>
      <w:pPr>
        <w:pBdr>
          <w:bottom w:val="single" w:color="DDDDDD" w:sz="2" w:space="1"/>
        </w:pBdr>
        <w:spacing w:after="200" w:before="200"/>
      </w:pPr>
    </w:p>
    <w:p>
      <w:pPr>
        <w:pStyle w:val="Heading2"/>
        <w:spacing w:after="80" w:before="320"/>
      </w:pPr>
      <w:r>
        <w:rPr>
          <w:rFonts w:ascii="Georgia" w:cs="Georgia" w:eastAsia="Georgia" w:hAnsi="Georgia"/>
          <w:b/>
          <w:bCs/>
          <w:color w:val="C9A84C"/>
          <w:sz w:val="22"/>
          <w:szCs w:val="22"/>
        </w:rPr>
        <w:t xml:space="preserve">Acquisition Truth 3 — Franchises offer documented revenue history</w:t>
      </w:r>
    </w:p>
    <w:p>
      <w:pPr>
        <w:pBdr>
          <w:left w:val="single" w:color="C9A84C" w:sz="12" w:space="12"/>
        </w:pBdr>
        <w:spacing w:after="120" w:before="120"/>
        <w:ind w:left="720" w:right="720"/>
      </w:pPr>
      <w:r>
        <w:rPr>
          <w:rFonts w:ascii="Georgia" w:cs="Georgia" w:eastAsia="Georgia" w:hAnsi="Georgia"/>
          <w:i/>
          <w:iCs/>
          <w:color w:val="444444"/>
          <w:sz w:val="20"/>
          <w:szCs w:val="20"/>
        </w:rPr>
        <w:t xml:space="preserve">A franchise gives you documented revenue history that a startup cannot produce. That is the only reason franchises are recommended so often for E-2 purposes.</w:t>
      </w:r>
    </w:p>
    <w:p>
      <w:pPr>
        <w:spacing w:after="40" w:before="40"/>
      </w:pPr>
      <w:r>
        <w:rPr>
          <w:rFonts w:ascii="Arial" w:cs="Arial" w:eastAsia="Arial" w:hAnsi="Arial"/>
          <w:b/>
          <w:bCs/>
          <w:color w:val="0D9488"/>
          <w:sz w:val="16"/>
          <w:szCs w:val="16"/>
        </w:rPr>
        <w:t xml:space="preserve">▶ USE IN: Quiz · Business type selection · FAQ</w:t>
      </w:r>
    </w:p>
    <w:p>
      <w:pPr>
        <w:spacing w:after="120"/>
      </w:pPr>
      <w:r>
        <w:rPr>
          <w:rFonts w:ascii="Arial" w:cs="Arial" w:eastAsia="Arial" w:hAnsi="Arial"/>
          <w:i w:val="false"/>
          <w:iCs w:val="false"/>
          <w:color w:val="1a1a1a"/>
          <w:sz w:val="20"/>
          <w:szCs w:val="20"/>
        </w:rPr>
        <w:t xml:space="preserve">e2go rewrite: When an officer evaluates a franchise application, they have access to Item 19 Financial Performance Representations from the Franchise Disclosure Document — real revenue data from comparable units. If a franchisor will not provide Item 19 data, that is a significant red flag for both your E-2 application and your investment decision.</w:t>
      </w:r>
    </w:p>
    <w:p>
      <w:pPr>
        <w:pBdr>
          <w:bottom w:val="single" w:color="DDDDDD" w:sz="2" w:space="1"/>
        </w:pBdr>
        <w:spacing w:after="200" w:before="200"/>
      </w:pPr>
    </w:p>
    <w:p>
      <w:pPr>
        <w:pStyle w:val="Heading1"/>
        <w:pBdr>
          <w:bottom w:val="single" w:color="C9A84C" w:sz="6" w:space="6"/>
        </w:pBdr>
        <w:spacing w:after="120" w:before="480"/>
      </w:pPr>
      <w:r>
        <w:rPr>
          <w:rFonts w:ascii="Georgia" w:cs="Georgia" w:eastAsia="Georgia" w:hAnsi="Georgia"/>
          <w:b/>
          <w:bCs/>
          <w:color w:val="1a1a1a"/>
          <w:sz w:val="28"/>
          <w:szCs w:val="28"/>
        </w:rPr>
        <w:t xml:space="preserve">SECTION 5 — Business Plan Authenticity (Tab K + Cover Letter)</w:t>
      </w:r>
    </w:p>
    <w:p>
      <w:pPr>
        <w:spacing w:after="120"/>
      </w:pPr>
      <w:r>
        <w:rPr>
          <w:rFonts w:ascii="Arial" w:cs="Arial" w:eastAsia="Arial" w:hAnsi="Arial"/>
          <w:i w:val="false"/>
          <w:iCs w:val="false"/>
          <w:color w:val="1a1a1a"/>
          <w:sz w:val="20"/>
          <w:szCs w:val="20"/>
        </w:rPr>
        <w:t xml:space="preserve">These insights address the single most common failure mode in E-2 applications: a business plan that was written for approval, not for execution.</w:t>
      </w:r>
    </w:p>
    <w:p>
      <w:pPr>
        <w:pBdr>
          <w:bottom w:val="single" w:color="DDDDDD" w:sz="2" w:space="1"/>
        </w:pBdr>
        <w:spacing w:after="200" w:before="200"/>
      </w:pPr>
    </w:p>
    <w:p>
      <w:pPr>
        <w:pStyle w:val="Heading2"/>
        <w:spacing w:after="80" w:before="320"/>
      </w:pPr>
      <w:r>
        <w:rPr>
          <w:rFonts w:ascii="Georgia" w:cs="Georgia" w:eastAsia="Georgia" w:hAnsi="Georgia"/>
          <w:b/>
          <w:bCs/>
          <w:color w:val="C9A84C"/>
          <w:sz w:val="22"/>
          <w:szCs w:val="22"/>
        </w:rPr>
        <w:t xml:space="preserve">Business Plan Truth 1 — Officers smell fluff</w:t>
      </w:r>
    </w:p>
    <w:p>
      <w:pPr>
        <w:pBdr>
          <w:left w:val="single" w:color="C9A84C" w:sz="12" w:space="12"/>
        </w:pBdr>
        <w:spacing w:after="120" w:before="120"/>
        <w:ind w:left="720" w:right="720"/>
      </w:pPr>
      <w:r>
        <w:rPr>
          <w:rFonts w:ascii="Georgia" w:cs="Georgia" w:eastAsia="Georgia" w:hAnsi="Georgia"/>
          <w:i/>
          <w:iCs/>
          <w:color w:val="444444"/>
          <w:sz w:val="20"/>
          <w:szCs w:val="20"/>
        </w:rPr>
        <w:t xml:space="preserve">Immigration officers read hundreds of these. They can smell fluff. And they know when someone has no idea how this business is actually supposed to survive, let alone thrive.</w:t>
      </w:r>
    </w:p>
    <w:p>
      <w:pPr>
        <w:spacing w:after="40" w:before="40"/>
      </w:pPr>
      <w:r>
        <w:rPr>
          <w:rFonts w:ascii="Arial" w:cs="Arial" w:eastAsia="Arial" w:hAnsi="Arial"/>
          <w:b/>
          <w:bCs/>
          <w:color w:val="0D9488"/>
          <w:sz w:val="16"/>
          <w:szCs w:val="16"/>
        </w:rPr>
        <w:t xml:space="preserve">▶ USE IN: Tab K intro · Business plan helper text · Cover letter QD-06</w:t>
      </w:r>
    </w:p>
    <w:p>
      <w:pPr>
        <w:spacing w:after="120"/>
      </w:pPr>
      <w:r>
        <w:rPr>
          <w:rFonts w:ascii="Arial" w:cs="Arial" w:eastAsia="Arial" w:hAnsi="Arial"/>
          <w:i w:val="false"/>
          <w:iCs w:val="false"/>
          <w:color w:val="1a1a1a"/>
          <w:sz w:val="20"/>
          <w:szCs w:val="20"/>
        </w:rPr>
        <w:t xml:space="preserve">e2go rewrite: A business plan with charts, forecasts, and immigration buzzwords but no clear revenue path, no buyer psychology, and no strategic vision will not survive scrutiny. The test is simple: if this plan weren't for an E-2 application, would you still build this business? If the answer is no, the plan will show it — and the officer will see it.</w:t>
      </w:r>
    </w:p>
    <w:p>
      <w:pPr>
        <w:pBdr>
          <w:left w:val="single" w:color="C9A84C" w:sz="12" w:space="12"/>
        </w:pBdr>
        <w:spacing w:after="120" w:before="120"/>
        <w:ind w:left="720" w:right="720"/>
      </w:pPr>
      <w:r>
        <w:rPr>
          <w:rFonts w:ascii="Georgia" w:cs="Georgia" w:eastAsia="Georgia" w:hAnsi="Georgia"/>
          <w:i/>
          <w:iCs/>
          <w:color w:val="444444"/>
          <w:sz w:val="20"/>
          <w:szCs w:val="20"/>
        </w:rPr>
        <w:t xml:space="preserve">Ask this before writing a single line: 'If this weren't for E-2, would I still build this business?' If the answer is no, you don't need a better plan. You need a better model.</w:t>
      </w:r>
    </w:p>
    <w:p>
      <w:pPr>
        <w:pBdr>
          <w:bottom w:val="single" w:color="DDDDDD" w:sz="2" w:space="1"/>
        </w:pBdr>
        <w:spacing w:after="200" w:before="200"/>
      </w:pPr>
    </w:p>
    <w:p>
      <w:pPr>
        <w:pStyle w:val="Heading2"/>
        <w:spacing w:after="80" w:before="320"/>
      </w:pPr>
      <w:r>
        <w:rPr>
          <w:rFonts w:ascii="Georgia" w:cs="Georgia" w:eastAsia="Georgia" w:hAnsi="Georgia"/>
          <w:b/>
          <w:bCs/>
          <w:color w:val="C9A84C"/>
          <w:sz w:val="22"/>
          <w:szCs w:val="22"/>
        </w:rPr>
        <w:t xml:space="preserve">Business Plan Truth 2 — The plan becomes your operational reality</w:t>
      </w:r>
    </w:p>
    <w:p>
      <w:pPr>
        <w:pBdr>
          <w:left w:val="single" w:color="C9A84C" w:sz="12" w:space="12"/>
        </w:pBdr>
        <w:spacing w:after="120" w:before="120"/>
        <w:ind w:left="720" w:right="720"/>
      </w:pPr>
      <w:r>
        <w:rPr>
          <w:rFonts w:ascii="Georgia" w:cs="Georgia" w:eastAsia="Georgia" w:hAnsi="Georgia"/>
          <w:i/>
          <w:iCs/>
          <w:color w:val="444444"/>
          <w:sz w:val="20"/>
          <w:szCs w:val="20"/>
        </w:rPr>
        <w:t xml:space="preserve">Even if it does get approved, you're stuck operating a business you don't actually understand or believe in. That plan doesn't just get judged by the embassy. It becomes your operational prison if you fake your way through it.</w:t>
      </w:r>
    </w:p>
    <w:p>
      <w:pPr>
        <w:spacing w:after="40" w:before="40"/>
      </w:pPr>
      <w:r>
        <w:rPr>
          <w:rFonts w:ascii="Arial" w:cs="Arial" w:eastAsia="Arial" w:hAnsi="Arial"/>
          <w:b/>
          <w:bCs/>
          <w:color w:val="0D9488"/>
          <w:sz w:val="16"/>
          <w:szCs w:val="16"/>
        </w:rPr>
        <w:t xml:space="preserve">▶ USE IN: Tab K · Business plan advisory · Renewal risk section</w:t>
      </w:r>
    </w:p>
    <w:p>
      <w:pPr>
        <w:spacing w:after="120"/>
      </w:pPr>
      <w:r>
        <w:rPr>
          <w:rFonts w:ascii="Arial" w:cs="Arial" w:eastAsia="Arial" w:hAnsi="Arial"/>
          <w:i w:val="false"/>
          <w:iCs w:val="false"/>
          <w:color w:val="1a1a1a"/>
          <w:sz w:val="20"/>
          <w:szCs w:val="20"/>
        </w:rPr>
        <w:t xml:space="preserve">e2go rewrite: At renewal, the officer compares your current business performance against the projections in your original business plan. A plan written to satisfy an officer — but not grounded in real market knowledge — creates a gap that is very difficult to explain two years later when the numbers don't match.</w:t>
      </w:r>
    </w:p>
    <w:p>
      <w:pPr>
        <w:pBdr>
          <w:bottom w:val="single" w:color="DDDDDD" w:sz="2" w:space="1"/>
        </w:pBdr>
        <w:spacing w:after="200" w:before="200"/>
      </w:pPr>
    </w:p>
    <w:p>
      <w:pPr>
        <w:pStyle w:val="Heading1"/>
        <w:pBdr>
          <w:bottom w:val="single" w:color="C9A84C" w:sz="6" w:space="6"/>
        </w:pBdr>
        <w:spacing w:after="120" w:before="480"/>
      </w:pPr>
      <w:r>
        <w:rPr>
          <w:rFonts w:ascii="Georgia" w:cs="Georgia" w:eastAsia="Georgia" w:hAnsi="Georgia"/>
          <w:b/>
          <w:bCs/>
          <w:color w:val="1a1a1a"/>
          <w:sz w:val="28"/>
          <w:szCs w:val="28"/>
        </w:rPr>
        <w:t xml:space="preserve">SECTION 6 — Source of Funds Intelligence (Tab F)</w:t>
      </w:r>
    </w:p>
    <w:p>
      <w:pPr>
        <w:spacing w:after="120"/>
      </w:pPr>
      <w:r>
        <w:rPr>
          <w:rFonts w:ascii="Arial" w:cs="Arial" w:eastAsia="Arial" w:hAnsi="Arial"/>
          <w:i w:val="false"/>
          <w:iCs w:val="false"/>
          <w:color w:val="1a1a1a"/>
          <w:sz w:val="20"/>
          <w:szCs w:val="20"/>
        </w:rPr>
        <w:t xml:space="preserve">Source of funds documentation is described by practitioners as the most forensically examined part of the entire application. These insights should shape the Tab F advisory cards.</w:t>
      </w:r>
    </w:p>
    <w:p>
      <w:pPr>
        <w:pBdr>
          <w:bottom w:val="single" w:color="DDDDDD" w:sz="2" w:space="1"/>
        </w:pBdr>
        <w:spacing w:after="200" w:before="200"/>
      </w:pPr>
    </w:p>
    <w:p>
      <w:pPr>
        <w:pStyle w:val="Heading2"/>
        <w:spacing w:after="80" w:before="320"/>
      </w:pPr>
      <w:r>
        <w:rPr>
          <w:rFonts w:ascii="Georgia" w:cs="Georgia" w:eastAsia="Georgia" w:hAnsi="Georgia"/>
          <w:b/>
          <w:bCs/>
          <w:color w:val="C9A84C"/>
          <w:sz w:val="22"/>
          <w:szCs w:val="22"/>
        </w:rPr>
        <w:t xml:space="preserve">Funds Truth 1 — If you can't prove it, it doesn't exist</w:t>
      </w:r>
    </w:p>
    <w:p>
      <w:pPr>
        <w:pBdr>
          <w:left w:val="single" w:color="C9A84C" w:sz="12" w:space="12"/>
        </w:pBdr>
        <w:spacing w:after="120" w:before="120"/>
        <w:ind w:left="720" w:right="720"/>
      </w:pPr>
      <w:r>
        <w:rPr>
          <w:rFonts w:ascii="Georgia" w:cs="Georgia" w:eastAsia="Georgia" w:hAnsi="Georgia"/>
          <w:i/>
          <w:iCs/>
          <w:color w:val="444444"/>
          <w:sz w:val="20"/>
          <w:szCs w:val="20"/>
        </w:rPr>
        <w:t xml:space="preserve">If you can't prove where the money came from, it doesn't exist. Documentation is the engine.</w:t>
      </w:r>
    </w:p>
    <w:p>
      <w:pPr>
        <w:spacing w:after="40" w:before="40"/>
      </w:pPr>
      <w:r>
        <w:rPr>
          <w:rFonts w:ascii="Arial" w:cs="Arial" w:eastAsia="Arial" w:hAnsi="Arial"/>
          <w:b/>
          <w:bCs/>
          <w:color w:val="0D9488"/>
          <w:sz w:val="16"/>
          <w:szCs w:val="16"/>
        </w:rPr>
        <w:t xml:space="preserve">▶ USE IN: Tab F · Paper trail question · QF-06 advisory</w:t>
      </w:r>
    </w:p>
    <w:p>
      <w:pPr>
        <w:spacing w:after="120"/>
      </w:pPr>
      <w:r>
        <w:rPr>
          <w:rFonts w:ascii="Arial" w:cs="Arial" w:eastAsia="Arial" w:hAnsi="Arial"/>
          <w:i w:val="false"/>
          <w:iCs w:val="false"/>
          <w:color w:val="1a1a1a"/>
          <w:sz w:val="20"/>
          <w:szCs w:val="20"/>
        </w:rPr>
        <w:t xml:space="preserve">e2go rewrite: The consular officer will trace every dollar from its origin to your U.S. business account. Every transfer, every conversion, every step in the chain needs a corresponding document. Bank statements, wire confirmations, property sale closing documents, investment account statements showing liquidation. Any gap — even a small one — triggers a Request for Evidence or a 221(g).</w:t>
      </w:r>
    </w:p>
    <w:p>
      <w:pPr>
        <w:pBdr>
          <w:bottom w:val="single" w:color="DDDDDD" w:sz="2" w:space="1"/>
        </w:pBdr>
        <w:spacing w:after="200" w:before="200"/>
      </w:pPr>
    </w:p>
    <w:p>
      <w:pPr>
        <w:pStyle w:val="Heading2"/>
        <w:spacing w:after="80" w:before="320"/>
      </w:pPr>
      <w:r>
        <w:rPr>
          <w:rFonts w:ascii="Georgia" w:cs="Georgia" w:eastAsia="Georgia" w:hAnsi="Georgia"/>
          <w:b/>
          <w:bCs/>
          <w:color w:val="C9A84C"/>
          <w:sz w:val="22"/>
          <w:szCs w:val="22"/>
        </w:rPr>
        <w:t xml:space="preserve">Funds Truth 2 — Source of funds is forensic, not administrative</w:t>
      </w:r>
    </w:p>
    <w:p>
      <w:pPr>
        <w:pBdr>
          <w:left w:val="single" w:color="C9A84C" w:sz="12" w:space="12"/>
        </w:pBdr>
        <w:spacing w:after="120" w:before="120"/>
        <w:ind w:left="720" w:right="720"/>
      </w:pPr>
      <w:r>
        <w:rPr>
          <w:rFonts w:ascii="Georgia" w:cs="Georgia" w:eastAsia="Georgia" w:hAnsi="Georgia"/>
          <w:i/>
          <w:iCs/>
          <w:color w:val="444444"/>
          <w:sz w:val="20"/>
          <w:szCs w:val="20"/>
        </w:rPr>
        <w:t xml:space="preserve">Applicants often underestimate the forensic level of detail required to prove the legal source of their capital. Any 'broken trail' or undocumented gift or loan can lead to a Request for Evidence or denial.</w:t>
      </w:r>
    </w:p>
    <w:p>
      <w:pPr>
        <w:spacing w:after="40" w:before="40"/>
      </w:pPr>
      <w:r>
        <w:rPr>
          <w:rFonts w:ascii="Arial" w:cs="Arial" w:eastAsia="Arial" w:hAnsi="Arial"/>
          <w:b/>
          <w:bCs/>
          <w:color w:val="0D9488"/>
          <w:sz w:val="16"/>
          <w:szCs w:val="16"/>
        </w:rPr>
        <w:t xml:space="preserve">▶ USE IN: Tab F · QF-06 advisory · Source of funds question helper text</w:t>
      </w:r>
    </w:p>
    <w:p>
      <w:pPr>
        <w:spacing w:after="120"/>
      </w:pPr>
      <w:r>
        <w:rPr>
          <w:rFonts w:ascii="Arial" w:cs="Arial" w:eastAsia="Arial" w:hAnsi="Arial"/>
          <w:i w:val="false"/>
          <w:iCs w:val="false"/>
          <w:color w:val="1a1a1a"/>
          <w:sz w:val="20"/>
          <w:szCs w:val="20"/>
        </w:rPr>
        <w:t xml:space="preserve">e2go rewrite: This is not a box-ticking exercise. The officer is looking for a narrative — a coherent, documented story of how the money was earned, saved, or received, and how it moved from its origin to the U.S. business. Unexplained transfers, round-number deposits, or missing periods raise questions the officer is trained to notice.</w:t>
      </w:r>
    </w:p>
    <w:p>
      <w:pPr>
        <w:pBdr>
          <w:bottom w:val="single" w:color="DDDDDD" w:sz="2" w:space="1"/>
        </w:pBdr>
        <w:spacing w:after="200" w:before="200"/>
      </w:pPr>
    </w:p>
    <w:p>
      <w:pPr>
        <w:pStyle w:val="Heading1"/>
        <w:pBdr>
          <w:bottom w:val="single" w:color="C9A84C" w:sz="6" w:space="6"/>
        </w:pBdr>
        <w:spacing w:after="120" w:before="480"/>
      </w:pPr>
      <w:r>
        <w:rPr>
          <w:rFonts w:ascii="Georgia" w:cs="Georgia" w:eastAsia="Georgia" w:hAnsi="Georgia"/>
          <w:b/>
          <w:bCs/>
          <w:color w:val="1a1a1a"/>
          <w:sz w:val="28"/>
          <w:szCs w:val="28"/>
        </w:rPr>
        <w:t xml:space="preserve">SECTION 7 — The Four Most Common Mistakes (FAQ + Denial Flags)</w:t>
      </w:r>
    </w:p>
    <w:p>
      <w:pPr>
        <w:spacing w:after="120"/>
      </w:pPr>
      <w:r>
        <w:rPr>
          <w:rFonts w:ascii="Arial" w:cs="Arial" w:eastAsia="Arial" w:hAnsi="Arial"/>
          <w:i w:val="false"/>
          <w:iCs w:val="false"/>
          <w:color w:val="1a1a1a"/>
          <w:sz w:val="20"/>
          <w:szCs w:val="20"/>
        </w:rPr>
        <w:t xml:space="preserve">Annett's four-part mistake framework maps directly to e2go's denial risk assessment. Use these as FAQ content and as the basis for the denial-risk educational cards shown during the quiz results.</w:t>
      </w:r>
    </w:p>
    <w:p>
      <w:pPr>
        <w:pBdr>
          <w:bottom w:val="single" w:color="DDDDDD" w:sz="2" w:space="1"/>
        </w:pBdr>
        <w:spacing w:after="200" w:before="200"/>
      </w:pPr>
    </w:p>
    <w:p>
      <w:pPr>
        <w:pStyle w:val="Heading2"/>
        <w:spacing w:after="80" w:before="320"/>
      </w:pPr>
      <w:r>
        <w:rPr>
          <w:rFonts w:ascii="Georgia" w:cs="Georgia" w:eastAsia="Georgia" w:hAnsi="Georgia"/>
          <w:b/>
          <w:bCs/>
          <w:color w:val="C9A84C"/>
          <w:sz w:val="22"/>
          <w:szCs w:val="22"/>
        </w:rPr>
        <w:t xml:space="preserve">Mistake #1 — Rushing to invest before confirming fit</w:t>
      </w:r>
    </w:p>
    <w:p>
      <w:pPr>
        <w:pBdr>
          <w:left w:val="single" w:color="C9A84C" w:sz="12" w:space="12"/>
        </w:pBdr>
        <w:spacing w:after="120" w:before="120"/>
        <w:ind w:left="720" w:right="720"/>
      </w:pPr>
      <w:r>
        <w:rPr>
          <w:rFonts w:ascii="Georgia" w:cs="Georgia" w:eastAsia="Georgia" w:hAnsi="Georgia"/>
          <w:i/>
          <w:iCs/>
          <w:color w:val="444444"/>
          <w:sz w:val="20"/>
          <w:szCs w:val="20"/>
        </w:rPr>
        <w:t xml:space="preserve">#1 Rushing to invest before confirming fit.</w:t>
      </w:r>
    </w:p>
    <w:p>
      <w:pPr>
        <w:spacing w:after="40" w:before="40"/>
      </w:pPr>
      <w:r>
        <w:rPr>
          <w:rFonts w:ascii="Arial" w:cs="Arial" w:eastAsia="Arial" w:hAnsi="Arial"/>
          <w:b/>
          <w:bCs/>
          <w:color w:val="0D9488"/>
          <w:sz w:val="16"/>
          <w:szCs w:val="16"/>
        </w:rPr>
        <w:t xml:space="preserve">▶ USE IN: FAQ · Quiz results · Landing page · Module 0 score explanation</w:t>
      </w:r>
    </w:p>
    <w:p>
      <w:pPr>
        <w:spacing w:after="120"/>
      </w:pPr>
      <w:r>
        <w:rPr>
          <w:rFonts w:ascii="Arial" w:cs="Arial" w:eastAsia="Arial" w:hAnsi="Arial"/>
          <w:i w:val="false"/>
          <w:iCs w:val="false"/>
          <w:color w:val="1a1a1a"/>
          <w:sz w:val="20"/>
          <w:szCs w:val="20"/>
        </w:rPr>
        <w:t xml:space="preserve">e2go rewrite: The costliest mistake in the E-2 process is committing capital to a business before confirming that the investment structure, the business model, and your qualifications will survive consular scrutiny. The right sequence is: assess first, invest second, document third. e2go is built around that sequence.</w:t>
      </w:r>
    </w:p>
    <w:p>
      <w:pPr>
        <w:pBdr>
          <w:bottom w:val="single" w:color="DDDDDD" w:sz="2" w:space="1"/>
        </w:pBdr>
        <w:spacing w:after="200" w:before="200"/>
      </w:pPr>
    </w:p>
    <w:p>
      <w:pPr>
        <w:pStyle w:val="Heading2"/>
        <w:spacing w:after="80" w:before="320"/>
      </w:pPr>
      <w:r>
        <w:rPr>
          <w:rFonts w:ascii="Georgia" w:cs="Georgia" w:eastAsia="Georgia" w:hAnsi="Georgia"/>
          <w:b/>
          <w:bCs/>
          <w:color w:val="C9A84C"/>
          <w:sz w:val="22"/>
          <w:szCs w:val="22"/>
        </w:rPr>
        <w:t xml:space="preserve">Mistake #2 — Treating it like a checklist instead of a strategy</w:t>
      </w:r>
    </w:p>
    <w:p>
      <w:pPr>
        <w:pBdr>
          <w:left w:val="single" w:color="C9A84C" w:sz="12" w:space="12"/>
        </w:pBdr>
        <w:spacing w:after="120" w:before="120"/>
        <w:ind w:left="720" w:right="720"/>
      </w:pPr>
      <w:r>
        <w:rPr>
          <w:rFonts w:ascii="Georgia" w:cs="Georgia" w:eastAsia="Georgia" w:hAnsi="Georgia"/>
          <w:i/>
          <w:iCs/>
          <w:color w:val="444444"/>
          <w:sz w:val="20"/>
          <w:szCs w:val="20"/>
        </w:rPr>
        <w:t xml:space="preserve">#2 Treating it like a checklist instead of a strategy.</w:t>
      </w:r>
    </w:p>
    <w:p>
      <w:pPr>
        <w:spacing w:after="40" w:before="40"/>
      </w:pPr>
      <w:r>
        <w:rPr>
          <w:rFonts w:ascii="Arial" w:cs="Arial" w:eastAsia="Arial" w:hAnsi="Arial"/>
          <w:b/>
          <w:bCs/>
          <w:color w:val="0D9488"/>
          <w:sz w:val="16"/>
          <w:szCs w:val="16"/>
        </w:rPr>
        <w:t xml:space="preserve">▶ USE IN: FAQ · Onboarding · Module 3 intro</w:t>
      </w:r>
    </w:p>
    <w:p>
      <w:pPr>
        <w:spacing w:after="120"/>
      </w:pPr>
      <w:r>
        <w:rPr>
          <w:rFonts w:ascii="Arial" w:cs="Arial" w:eastAsia="Arial" w:hAnsi="Arial"/>
          <w:i w:val="false"/>
          <w:iCs w:val="false"/>
          <w:color w:val="1a1a1a"/>
          <w:sz w:val="20"/>
          <w:szCs w:val="20"/>
        </w:rPr>
        <w:t xml:space="preserve">e2go rewrite: A checklist gets you organised. A strategy gets you approved. The documents e2go generates are not a checklist — they are a coordinated argument. Every document in the package answers a specific question the officer will ask. The cover letter sets the frame. The source of funds evidence proves the capital is clean. The business plan demonstrates non-marginality. The org chart shows you are the director, not just the funder. Together, they tell one story.</w:t>
      </w:r>
    </w:p>
    <w:p>
      <w:pPr>
        <w:pBdr>
          <w:bottom w:val="single" w:color="DDDDDD" w:sz="2" w:space="1"/>
        </w:pBdr>
        <w:spacing w:after="200" w:before="200"/>
      </w:pPr>
    </w:p>
    <w:p>
      <w:pPr>
        <w:pStyle w:val="Heading2"/>
        <w:spacing w:after="80" w:before="320"/>
      </w:pPr>
      <w:r>
        <w:rPr>
          <w:rFonts w:ascii="Georgia" w:cs="Georgia" w:eastAsia="Georgia" w:hAnsi="Georgia"/>
          <w:b/>
          <w:bCs/>
          <w:color w:val="C9A84C"/>
          <w:sz w:val="22"/>
          <w:szCs w:val="22"/>
        </w:rPr>
        <w:t xml:space="preserve">Mistake #3 — Getting legal help too early, or too late</w:t>
      </w:r>
    </w:p>
    <w:p>
      <w:pPr>
        <w:pBdr>
          <w:left w:val="single" w:color="C9A84C" w:sz="12" w:space="12"/>
        </w:pBdr>
        <w:spacing w:after="120" w:before="120"/>
        <w:ind w:left="720" w:right="720"/>
      </w:pPr>
      <w:r>
        <w:rPr>
          <w:rFonts w:ascii="Georgia" w:cs="Georgia" w:eastAsia="Georgia" w:hAnsi="Georgia"/>
          <w:i/>
          <w:iCs/>
          <w:color w:val="444444"/>
          <w:sz w:val="20"/>
          <w:szCs w:val="20"/>
        </w:rPr>
        <w:t xml:space="preserve">#3 Getting legal help too early, or too late.</w:t>
      </w:r>
    </w:p>
    <w:p>
      <w:pPr>
        <w:spacing w:after="40" w:before="40"/>
      </w:pPr>
      <w:r>
        <w:rPr>
          <w:rFonts w:ascii="Arial" w:cs="Arial" w:eastAsia="Arial" w:hAnsi="Arial"/>
          <w:b/>
          <w:bCs/>
          <w:color w:val="0D9488"/>
          <w:sz w:val="16"/>
          <w:szCs w:val="16"/>
        </w:rPr>
        <w:t xml:space="preserve">▶ USE IN: FAQ · Attorney referral advisory · Pricing page</w:t>
      </w:r>
    </w:p>
    <w:p>
      <w:pPr>
        <w:spacing w:after="120"/>
      </w:pPr>
      <w:r>
        <w:rPr>
          <w:rFonts w:ascii="Arial" w:cs="Arial" w:eastAsia="Arial" w:hAnsi="Arial"/>
          <w:i w:val="false"/>
          <w:iCs w:val="false"/>
          <w:color w:val="1a1a1a"/>
          <w:sz w:val="20"/>
          <w:szCs w:val="20"/>
        </w:rPr>
        <w:t xml:space="preserve">e2go rewrite: Too early means paying attorney fees to prepare documents before you know whether the business structure is E-2 compliant. Too late means arriving at the consulate with a weak application and hoping for the best. The right moment for legal involvement is after the strategy is confirmed and before the application is filed. e2go handles the strategy and the documents. An immigration attorney reviews and signs off. That is the sequence.</w:t>
      </w:r>
    </w:p>
    <w:p>
      <w:pPr>
        <w:pBdr>
          <w:bottom w:val="single" w:color="DDDDDD" w:sz="2" w:space="1"/>
        </w:pBdr>
        <w:spacing w:after="200" w:before="200"/>
      </w:pPr>
    </w:p>
    <w:p>
      <w:pPr>
        <w:pStyle w:val="Heading2"/>
        <w:spacing w:after="80" w:before="320"/>
      </w:pPr>
      <w:r>
        <w:rPr>
          <w:rFonts w:ascii="Georgia" w:cs="Georgia" w:eastAsia="Georgia" w:hAnsi="Georgia"/>
          <w:b/>
          <w:bCs/>
          <w:color w:val="C9A84C"/>
          <w:sz w:val="22"/>
          <w:szCs w:val="22"/>
        </w:rPr>
        <w:t xml:space="preserve">Mistake #4 — Over-relying on free advice without context</w:t>
      </w:r>
    </w:p>
    <w:p>
      <w:pPr>
        <w:pBdr>
          <w:left w:val="single" w:color="C9A84C" w:sz="12" w:space="12"/>
        </w:pBdr>
        <w:spacing w:after="120" w:before="120"/>
        <w:ind w:left="720" w:right="720"/>
      </w:pPr>
      <w:r>
        <w:rPr>
          <w:rFonts w:ascii="Georgia" w:cs="Georgia" w:eastAsia="Georgia" w:hAnsi="Georgia"/>
          <w:i/>
          <w:iCs/>
          <w:color w:val="444444"/>
          <w:sz w:val="20"/>
          <w:szCs w:val="20"/>
        </w:rPr>
        <w:t xml:space="preserve">#4 Over-relying on free advice without context.</w:t>
      </w:r>
    </w:p>
    <w:p>
      <w:pPr>
        <w:spacing w:after="40" w:before="40"/>
      </w:pPr>
      <w:r>
        <w:rPr>
          <w:rFonts w:ascii="Arial" w:cs="Arial" w:eastAsia="Arial" w:hAnsi="Arial"/>
          <w:b/>
          <w:bCs/>
          <w:color w:val="0D9488"/>
          <w:sz w:val="16"/>
          <w:szCs w:val="16"/>
        </w:rPr>
        <w:t xml:space="preserve">▶ USE IN: FAQ · Landing page · Results page</w:t>
      </w:r>
    </w:p>
    <w:p>
      <w:pPr>
        <w:spacing w:after="120"/>
      </w:pPr>
      <w:r>
        <w:rPr>
          <w:rFonts w:ascii="Arial" w:cs="Arial" w:eastAsia="Arial" w:hAnsi="Arial"/>
          <w:i w:val="false"/>
          <w:iCs w:val="false"/>
          <w:color w:val="1a1a1a"/>
          <w:sz w:val="20"/>
          <w:szCs w:val="20"/>
        </w:rPr>
        <w:t xml:space="preserve">e2go rewrite: Facebook groups, Reddit threads, and generic online guides cannot tell you whether your specific business, at your specific investment level, with your specific background, will survive scrutiny at your specific consulate. Context is everything in E-2. e2go's consulate intelligence database covers 82 treaty country consulates and tracks adjudication patterns, average processing times, and known officer focuses by post.</w:t>
      </w:r>
    </w:p>
    <w:p>
      <w:pPr>
        <w:pBdr>
          <w:bottom w:val="single" w:color="DDDDDD" w:sz="2" w:space="1"/>
        </w:pBdr>
        <w:spacing w:after="200" w:before="200"/>
      </w:pPr>
    </w:p>
    <w:p>
      <w:pPr>
        <w:pStyle w:val="Heading1"/>
        <w:pBdr>
          <w:bottom w:val="single" w:color="C9A84C" w:sz="6" w:space="6"/>
        </w:pBdr>
        <w:spacing w:after="120" w:before="480"/>
      </w:pPr>
      <w:r>
        <w:rPr>
          <w:rFonts w:ascii="Georgia" w:cs="Georgia" w:eastAsia="Georgia" w:hAnsi="Georgia"/>
          <w:b/>
          <w:bCs/>
          <w:color w:val="1a1a1a"/>
          <w:sz w:val="28"/>
          <w:szCs w:val="28"/>
        </w:rPr>
        <w:t xml:space="preserve">SECTION 8 — What Officers Actually Evaluate (Quiz Results + Module 3)</w:t>
      </w:r>
    </w:p>
    <w:p>
      <w:pPr>
        <w:spacing w:after="120"/>
      </w:pPr>
      <w:r>
        <w:rPr>
          <w:rFonts w:ascii="Arial" w:cs="Arial" w:eastAsia="Arial" w:hAnsi="Arial"/>
          <w:i w:val="false"/>
          <w:iCs w:val="false"/>
          <w:color w:val="1a1a1a"/>
          <w:sz w:val="20"/>
          <w:szCs w:val="20"/>
        </w:rPr>
        <w:t xml:space="preserve">These are the six things Annett says every successful E-2 application must demonstrate. They map directly to e2go's five scoring dimensions. Use on the results page and as section headers in Module 3.</w:t>
      </w:r>
    </w:p>
    <w:p>
      <w:pPr>
        <w:pBdr>
          <w:bottom w:val="single" w:color="DDDDDD" w:sz="2" w:space="1"/>
        </w:pBdr>
        <w:spacing w:after="200" w:before="200"/>
      </w:pPr>
    </w:p>
    <w:p>
      <w:pPr>
        <w:pStyle w:val="Heading2"/>
        <w:spacing w:after="80" w:before="320"/>
      </w:pPr>
      <w:r>
        <w:rPr>
          <w:rFonts w:ascii="Georgia" w:cs="Georgia" w:eastAsia="Georgia" w:hAnsi="Georgia"/>
          <w:b/>
          <w:bCs/>
          <w:color w:val="C9A84C"/>
          <w:sz w:val="22"/>
          <w:szCs w:val="22"/>
        </w:rPr>
        <w:t xml:space="preserve">The Six Things Officers Look For</w:t>
      </w:r>
    </w:p>
    <w:p>
      <w:pPr>
        <w:spacing w:after="80"/>
        <w:ind w:left="480" w:hanging="240"/>
      </w:pPr>
      <w:r>
        <w:rPr>
          <w:rFonts w:ascii="Arial" w:cs="Arial" w:eastAsia="Arial" w:hAnsi="Arial"/>
          <w:b/>
          <w:bCs/>
          <w:color w:val="C9A84C"/>
          <w:sz w:val="20"/>
          <w:szCs w:val="20"/>
        </w:rPr>
        <w:t xml:space="preserve">• </w:t>
      </w:r>
      <w:r>
        <w:rPr>
          <w:rFonts w:ascii="Arial" w:cs="Arial" w:eastAsia="Arial" w:hAnsi="Arial"/>
          <w:color w:val="1a1a1a"/>
          <w:sz w:val="20"/>
          <w:szCs w:val="20"/>
        </w:rPr>
        <w:t xml:space="preserve">#1 — A business that actually needs you (not a passive investment)</w:t>
      </w:r>
    </w:p>
    <w:p>
      <w:pPr>
        <w:spacing w:after="80"/>
        <w:ind w:left="480" w:hanging="240"/>
      </w:pPr>
      <w:r>
        <w:rPr>
          <w:rFonts w:ascii="Arial" w:cs="Arial" w:eastAsia="Arial" w:hAnsi="Arial"/>
          <w:b/>
          <w:bCs/>
          <w:color w:val="C9A84C"/>
          <w:sz w:val="20"/>
          <w:szCs w:val="20"/>
        </w:rPr>
        <w:t xml:space="preserve">• </w:t>
      </w:r>
      <w:r>
        <w:rPr>
          <w:rFonts w:ascii="Arial" w:cs="Arial" w:eastAsia="Arial" w:hAnsi="Arial"/>
          <w:color w:val="1a1a1a"/>
          <w:sz w:val="20"/>
          <w:szCs w:val="20"/>
        </w:rPr>
        <w:t xml:space="preserve">#2 — A logical, documented investment path (source to U.S. account)</w:t>
      </w:r>
    </w:p>
    <w:p>
      <w:pPr>
        <w:spacing w:after="80"/>
        <w:ind w:left="480" w:hanging="240"/>
      </w:pPr>
      <w:r>
        <w:rPr>
          <w:rFonts w:ascii="Arial" w:cs="Arial" w:eastAsia="Arial" w:hAnsi="Arial"/>
          <w:b/>
          <w:bCs/>
          <w:color w:val="C9A84C"/>
          <w:sz w:val="20"/>
          <w:szCs w:val="20"/>
        </w:rPr>
        <w:t xml:space="preserve">• </w:t>
      </w:r>
      <w:r>
        <w:rPr>
          <w:rFonts w:ascii="Arial" w:cs="Arial" w:eastAsia="Arial" w:hAnsi="Arial"/>
          <w:color w:val="1a1a1a"/>
          <w:sz w:val="20"/>
          <w:szCs w:val="20"/>
        </w:rPr>
        <w:t xml:space="preserve">#3 — A growth story that makes economic sense (non-marginality)</w:t>
      </w:r>
    </w:p>
    <w:p>
      <w:pPr>
        <w:spacing w:after="80"/>
        <w:ind w:left="480" w:hanging="240"/>
      </w:pPr>
      <w:r>
        <w:rPr>
          <w:rFonts w:ascii="Arial" w:cs="Arial" w:eastAsia="Arial" w:hAnsi="Arial"/>
          <w:b/>
          <w:bCs/>
          <w:color w:val="C9A84C"/>
          <w:sz w:val="20"/>
          <w:szCs w:val="20"/>
        </w:rPr>
        <w:t xml:space="preserve">• </w:t>
      </w:r>
      <w:r>
        <w:rPr>
          <w:rFonts w:ascii="Arial" w:cs="Arial" w:eastAsia="Arial" w:hAnsi="Arial"/>
          <w:color w:val="1a1a1a"/>
          <w:sz w:val="20"/>
          <w:szCs w:val="20"/>
        </w:rPr>
        <w:t xml:space="preserve">#4 — Proof that you're the driver, not just the funder (active management)</w:t>
      </w:r>
    </w:p>
    <w:p>
      <w:pPr>
        <w:spacing w:after="80"/>
        <w:ind w:left="480" w:hanging="240"/>
      </w:pPr>
      <w:r>
        <w:rPr>
          <w:rFonts w:ascii="Arial" w:cs="Arial" w:eastAsia="Arial" w:hAnsi="Arial"/>
          <w:b/>
          <w:bCs/>
          <w:color w:val="C9A84C"/>
          <w:sz w:val="20"/>
          <w:szCs w:val="20"/>
        </w:rPr>
        <w:t xml:space="preserve">• </w:t>
      </w:r>
      <w:r>
        <w:rPr>
          <w:rFonts w:ascii="Arial" w:cs="Arial" w:eastAsia="Arial" w:hAnsi="Arial"/>
          <w:color w:val="1a1a1a"/>
          <w:sz w:val="20"/>
          <w:szCs w:val="20"/>
        </w:rPr>
        <w:t xml:space="preserve">#5 — A strategy, not just steps (coherent narrative across all documents)</w:t>
      </w:r>
    </w:p>
    <w:p>
      <w:pPr>
        <w:spacing w:after="80"/>
        <w:ind w:left="480" w:hanging="240"/>
      </w:pPr>
      <w:r>
        <w:rPr>
          <w:rFonts w:ascii="Arial" w:cs="Arial" w:eastAsia="Arial" w:hAnsi="Arial"/>
          <w:b/>
          <w:bCs/>
          <w:color w:val="C9A84C"/>
          <w:sz w:val="20"/>
          <w:szCs w:val="20"/>
        </w:rPr>
        <w:t xml:space="preserve">• </w:t>
      </w:r>
      <w:r>
        <w:rPr>
          <w:rFonts w:ascii="Arial" w:cs="Arial" w:eastAsia="Arial" w:hAnsi="Arial"/>
          <w:color w:val="1a1a1a"/>
          <w:sz w:val="20"/>
          <w:szCs w:val="20"/>
        </w:rPr>
        <w:t xml:space="preserve">#6 — Job creation for Americans (W-2 employees, not 1099 contractors)</w:t>
      </w:r>
    </w:p>
    <w:p>
      <w:pPr>
        <w:spacing w:after="120"/>
      </w:pPr>
      <w:r>
        <w:rPr>
          <w:rFonts w:ascii="Arial" w:cs="Arial" w:eastAsia="Arial" w:hAnsi="Arial"/>
          <w:i w:val="false"/>
          <w:iCs w:val="false"/>
          <w:color w:val="1a1a1a"/>
          <w:sz w:val="20"/>
          <w:szCs w:val="20"/>
        </w:rPr>
        <w:t xml:space="preserve"/>
      </w:r>
    </w:p>
    <w:p>
      <w:pPr>
        <w:spacing w:after="40" w:before="40"/>
      </w:pPr>
      <w:r>
        <w:rPr>
          <w:rFonts w:ascii="Arial" w:cs="Arial" w:eastAsia="Arial" w:hAnsi="Arial"/>
          <w:b/>
          <w:bCs/>
          <w:color w:val="0D9488"/>
          <w:sz w:val="16"/>
          <w:szCs w:val="16"/>
        </w:rPr>
        <w:t xml:space="preserve">▶ USE IN: Quiz results · Module 3 overview · Landing page 'How it works' section</w:t>
      </w:r>
    </w:p>
    <w:p>
      <w:pPr>
        <w:spacing w:after="120"/>
      </w:pPr>
      <w:r>
        <w:rPr>
          <w:rFonts w:ascii="Arial" w:cs="Arial" w:eastAsia="Arial" w:hAnsi="Arial"/>
          <w:i w:val="false"/>
          <w:iCs w:val="false"/>
          <w:color w:val="1a1a1a"/>
          <w:sz w:val="20"/>
          <w:szCs w:val="20"/>
        </w:rPr>
        <w:t xml:space="preserve">e2go rewrite: These six things are not a checklist the officer runs through. They are a lens. Every document in your binder is evaluated through it. e2go structures your application so that every document answers every dimension — not just the one it was created for.</w:t>
      </w:r>
    </w:p>
    <w:p>
      <w:pPr>
        <w:pBdr>
          <w:bottom w:val="single" w:color="DDDDDD" w:sz="2" w:space="1"/>
        </w:pBdr>
        <w:spacing w:after="200" w:before="200"/>
      </w:pPr>
    </w:p>
    <w:p>
      <w:pPr>
        <w:pStyle w:val="Heading1"/>
        <w:pBdr>
          <w:bottom w:val="single" w:color="C9A84C" w:sz="6" w:space="6"/>
        </w:pBdr>
        <w:spacing w:after="120" w:before="480"/>
      </w:pPr>
      <w:r>
        <w:rPr>
          <w:rFonts w:ascii="Georgia" w:cs="Georgia" w:eastAsia="Georgia" w:hAnsi="Georgia"/>
          <w:b/>
          <w:bCs/>
          <w:color w:val="1a1a1a"/>
          <w:sz w:val="28"/>
          <w:szCs w:val="28"/>
        </w:rPr>
        <w:t xml:space="preserve">SECTION 9 — Micro-Copy: Form Nudges and Encouragement</w:t>
      </w:r>
    </w:p>
    <w:p>
      <w:pPr>
        <w:spacing w:after="120"/>
      </w:pPr>
      <w:r>
        <w:rPr>
          <w:rFonts w:ascii="Arial" w:cs="Arial" w:eastAsia="Arial" w:hAnsi="Arial"/>
          <w:i w:val="false"/>
          <w:iCs w:val="false"/>
          <w:color w:val="1a1a1a"/>
          <w:sz w:val="20"/>
          <w:szCs w:val="20"/>
        </w:rPr>
        <w:t xml:space="preserve">Short, direct phrases from Annett's writing that can be used as inline nudges, section intros, and encouragement messages throughout the application flow.</w:t>
      </w:r>
    </w:p>
    <w:p>
      <w:pPr>
        <w:pBdr>
          <w:bottom w:val="single" w:color="DDDDDD" w:sz="2" w:space="1"/>
        </w:pBdr>
        <w:spacing w:after="200" w:before="200"/>
      </w:pPr>
    </w:p>
    <w:p>
      <w:pPr>
        <w:pStyle w:val="Heading2"/>
        <w:spacing w:after="80" w:before="320"/>
      </w:pPr>
      <w:r>
        <w:rPr>
          <w:rFonts w:ascii="Georgia" w:cs="Georgia" w:eastAsia="Georgia" w:hAnsi="Georgia"/>
          <w:b/>
          <w:bCs/>
          <w:color w:val="C9A84C"/>
          <w:sz w:val="22"/>
          <w:szCs w:val="22"/>
        </w:rPr>
        <w:t xml:space="preserve">Nudges for Investment Questions</w:t>
      </w:r>
    </w:p>
    <w:p>
      <w:pPr>
        <w:spacing w:after="80"/>
        <w:ind w:left="480" w:hanging="240"/>
      </w:pPr>
      <w:r>
        <w:rPr>
          <w:rFonts w:ascii="Arial" w:cs="Arial" w:eastAsia="Arial" w:hAnsi="Arial"/>
          <w:b/>
          <w:bCs/>
          <w:color w:val="C9A84C"/>
          <w:sz w:val="20"/>
          <w:szCs w:val="20"/>
        </w:rPr>
        <w:t xml:space="preserve">• </w:t>
      </w:r>
      <w:r>
        <w:rPr>
          <w:rFonts w:ascii="Arial" w:cs="Arial" w:eastAsia="Arial" w:hAnsi="Arial"/>
          <w:color w:val="1a1a1a"/>
          <w:sz w:val="20"/>
          <w:szCs w:val="20"/>
        </w:rPr>
        <w:t xml:space="preserve">"Capital in a bank account is a reserve, not an investment." — use when QF-NEW-01 = No</w:t>
      </w:r>
    </w:p>
    <w:p>
      <w:pPr>
        <w:spacing w:after="80"/>
        <w:ind w:left="480" w:hanging="240"/>
      </w:pPr>
      <w:r>
        <w:rPr>
          <w:rFonts w:ascii="Arial" w:cs="Arial" w:eastAsia="Arial" w:hAnsi="Arial"/>
          <w:b/>
          <w:bCs/>
          <w:color w:val="C9A84C"/>
          <w:sz w:val="20"/>
          <w:szCs w:val="20"/>
        </w:rPr>
        <w:t xml:space="preserve">• </w:t>
      </w:r>
      <w:r>
        <w:rPr>
          <w:rFonts w:ascii="Arial" w:cs="Arial" w:eastAsia="Arial" w:hAnsi="Arial"/>
          <w:color w:val="1a1a1a"/>
          <w:sz w:val="20"/>
          <w:szCs w:val="20"/>
        </w:rPr>
        <w:t xml:space="preserve">"The safe move is often the one that leads to a denial." — use as advisory subtext</w:t>
      </w:r>
    </w:p>
    <w:p>
      <w:pPr>
        <w:spacing w:after="80"/>
        <w:ind w:left="480" w:hanging="240"/>
      </w:pPr>
      <w:r>
        <w:rPr>
          <w:rFonts w:ascii="Arial" w:cs="Arial" w:eastAsia="Arial" w:hAnsi="Arial"/>
          <w:b/>
          <w:bCs/>
          <w:color w:val="C9A84C"/>
          <w:sz w:val="20"/>
          <w:szCs w:val="20"/>
        </w:rPr>
        <w:t xml:space="preserve">• </w:t>
      </w:r>
      <w:r>
        <w:rPr>
          <w:rFonts w:ascii="Arial" w:cs="Arial" w:eastAsia="Arial" w:hAnsi="Arial"/>
          <w:color w:val="1a1a1a"/>
          <w:sz w:val="20"/>
          <w:szCs w:val="20"/>
        </w:rPr>
        <w:t xml:space="preserve">"Deploy capital to create a legacy, not a consumption ledger." — use on completion screen</w:t>
      </w:r>
    </w:p>
    <w:p>
      <w:pPr>
        <w:spacing w:after="80"/>
        <w:ind w:left="480" w:hanging="240"/>
      </w:pPr>
      <w:r>
        <w:rPr>
          <w:rFonts w:ascii="Arial" w:cs="Arial" w:eastAsia="Arial" w:hAnsi="Arial"/>
          <w:b/>
          <w:bCs/>
          <w:color w:val="C9A84C"/>
          <w:sz w:val="20"/>
          <w:szCs w:val="20"/>
        </w:rPr>
        <w:t xml:space="preserve">• </w:t>
      </w:r>
      <w:r>
        <w:rPr>
          <w:rFonts w:ascii="Arial" w:cs="Arial" w:eastAsia="Arial" w:hAnsi="Arial"/>
          <w:color w:val="1a1a1a"/>
          <w:sz w:val="20"/>
          <w:szCs w:val="20"/>
        </w:rPr>
        <w:t xml:space="preserve">"Low investment + vague plan is disqualifying. Low investment + strong plan is not." — use near investment amount field</w:t>
      </w:r>
    </w:p>
    <w:p>
      <w:pPr>
        <w:pBdr>
          <w:bottom w:val="single" w:color="DDDDDD" w:sz="2" w:space="1"/>
        </w:pBdr>
        <w:spacing w:after="200" w:before="200"/>
      </w:pPr>
    </w:p>
    <w:p>
      <w:pPr>
        <w:pStyle w:val="Heading2"/>
        <w:spacing w:after="80" w:before="320"/>
      </w:pPr>
      <w:r>
        <w:rPr>
          <w:rFonts w:ascii="Georgia" w:cs="Georgia" w:eastAsia="Georgia" w:hAnsi="Georgia"/>
          <w:b/>
          <w:bCs/>
          <w:color w:val="C9A84C"/>
          <w:sz w:val="22"/>
          <w:szCs w:val="22"/>
        </w:rPr>
        <w:t xml:space="preserve">Nudges for Hiring Questions</w:t>
      </w:r>
    </w:p>
    <w:p>
      <w:pPr>
        <w:spacing w:after="80"/>
        <w:ind w:left="480" w:hanging="240"/>
      </w:pPr>
      <w:r>
        <w:rPr>
          <w:rFonts w:ascii="Arial" w:cs="Arial" w:eastAsia="Arial" w:hAnsi="Arial"/>
          <w:b/>
          <w:bCs/>
          <w:color w:val="C9A84C"/>
          <w:sz w:val="20"/>
          <w:szCs w:val="20"/>
        </w:rPr>
        <w:t xml:space="preserve">• </w:t>
      </w:r>
      <w:r>
        <w:rPr>
          <w:rFonts w:ascii="Arial" w:cs="Arial" w:eastAsia="Arial" w:hAnsi="Arial"/>
          <w:color w:val="1a1a1a"/>
          <w:sz w:val="20"/>
          <w:szCs w:val="20"/>
        </w:rPr>
        <w:t xml:space="preserve">"If your org chart is a single box with your name in it, you have a ticking clock." — use in Tab I marginality advisory</w:t>
      </w:r>
    </w:p>
    <w:p>
      <w:pPr>
        <w:spacing w:after="80"/>
        <w:ind w:left="480" w:hanging="240"/>
      </w:pPr>
      <w:r>
        <w:rPr>
          <w:rFonts w:ascii="Arial" w:cs="Arial" w:eastAsia="Arial" w:hAnsi="Arial"/>
          <w:b/>
          <w:bCs/>
          <w:color w:val="C9A84C"/>
          <w:sz w:val="20"/>
          <w:szCs w:val="20"/>
        </w:rPr>
        <w:t xml:space="preserve">• </w:t>
      </w:r>
      <w:r>
        <w:rPr>
          <w:rFonts w:ascii="Arial" w:cs="Arial" w:eastAsia="Arial" w:hAnsi="Arial"/>
          <w:color w:val="1a1a1a"/>
          <w:sz w:val="20"/>
          <w:szCs w:val="20"/>
        </w:rPr>
        <w:t xml:space="preserve">"The cost of payroll is the price of permanent entry." — use in hiring plan section</w:t>
      </w:r>
    </w:p>
    <w:p>
      <w:pPr>
        <w:spacing w:after="80"/>
        <w:ind w:left="480" w:hanging="240"/>
      </w:pPr>
      <w:r>
        <w:rPr>
          <w:rFonts w:ascii="Arial" w:cs="Arial" w:eastAsia="Arial" w:hAnsi="Arial"/>
          <w:b/>
          <w:bCs/>
          <w:color w:val="C9A84C"/>
          <w:sz w:val="20"/>
          <w:szCs w:val="20"/>
        </w:rPr>
        <w:t xml:space="preserve">• </w:t>
      </w:r>
      <w:r>
        <w:rPr>
          <w:rFonts w:ascii="Arial" w:cs="Arial" w:eastAsia="Arial" w:hAnsi="Arial"/>
          <w:color w:val="1a1a1a"/>
          <w:sz w:val="20"/>
          <w:szCs w:val="20"/>
        </w:rPr>
        <w:t xml:space="preserve">"Move from doing the work to building the system that does the work." — use in business plan nudge</w:t>
      </w:r>
    </w:p>
    <w:p>
      <w:pPr>
        <w:spacing w:after="80"/>
        <w:ind w:left="480" w:hanging="240"/>
      </w:pPr>
      <w:r>
        <w:rPr>
          <w:rFonts w:ascii="Arial" w:cs="Arial" w:eastAsia="Arial" w:hAnsi="Arial"/>
          <w:b/>
          <w:bCs/>
          <w:color w:val="C9A84C"/>
          <w:sz w:val="20"/>
          <w:szCs w:val="20"/>
        </w:rPr>
        <w:t xml:space="preserve">• </w:t>
      </w:r>
      <w:r>
        <w:rPr>
          <w:rFonts w:ascii="Arial" w:cs="Arial" w:eastAsia="Arial" w:hAnsi="Arial"/>
          <w:color w:val="1a1a1a"/>
          <w:sz w:val="20"/>
          <w:szCs w:val="20"/>
        </w:rPr>
        <w:t xml:space="preserve">"Start the recruitment process now, or start the packing process later." — use as strong renewal risk advisory</w:t>
      </w:r>
    </w:p>
    <w:p>
      <w:pPr>
        <w:pBdr>
          <w:bottom w:val="single" w:color="DDDDDD" w:sz="2" w:space="1"/>
        </w:pBdr>
        <w:spacing w:after="200" w:before="200"/>
      </w:pPr>
    </w:p>
    <w:p>
      <w:pPr>
        <w:pStyle w:val="Heading2"/>
        <w:spacing w:after="80" w:before="320"/>
      </w:pPr>
      <w:r>
        <w:rPr>
          <w:rFonts w:ascii="Georgia" w:cs="Georgia" w:eastAsia="Georgia" w:hAnsi="Georgia"/>
          <w:b/>
          <w:bCs/>
          <w:color w:val="C9A84C"/>
          <w:sz w:val="22"/>
          <w:szCs w:val="22"/>
        </w:rPr>
        <w:t xml:space="preserve">Nudges for Business Plan Questions</w:t>
      </w:r>
    </w:p>
    <w:p>
      <w:pPr>
        <w:spacing w:after="80"/>
        <w:ind w:left="480" w:hanging="240"/>
      </w:pPr>
      <w:r>
        <w:rPr>
          <w:rFonts w:ascii="Arial" w:cs="Arial" w:eastAsia="Arial" w:hAnsi="Arial"/>
          <w:b/>
          <w:bCs/>
          <w:color w:val="C9A84C"/>
          <w:sz w:val="20"/>
          <w:szCs w:val="20"/>
        </w:rPr>
        <w:t xml:space="preserve">• </w:t>
      </w:r>
      <w:r>
        <w:rPr>
          <w:rFonts w:ascii="Arial" w:cs="Arial" w:eastAsia="Arial" w:hAnsi="Arial"/>
          <w:color w:val="1a1a1a"/>
          <w:sz w:val="20"/>
          <w:szCs w:val="20"/>
        </w:rPr>
        <w:t xml:space="preserve">"Ask: if this weren't for E-2, would I still build this business?" — use in Tab K intro</w:t>
      </w:r>
    </w:p>
    <w:p>
      <w:pPr>
        <w:spacing w:after="80"/>
        <w:ind w:left="480" w:hanging="240"/>
      </w:pPr>
      <w:r>
        <w:rPr>
          <w:rFonts w:ascii="Arial" w:cs="Arial" w:eastAsia="Arial" w:hAnsi="Arial"/>
          <w:b/>
          <w:bCs/>
          <w:color w:val="C9A84C"/>
          <w:sz w:val="20"/>
          <w:szCs w:val="20"/>
        </w:rPr>
        <w:t xml:space="preserve">• </w:t>
      </w:r>
      <w:r>
        <w:rPr>
          <w:rFonts w:ascii="Arial" w:cs="Arial" w:eastAsia="Arial" w:hAnsi="Arial"/>
          <w:color w:val="1a1a1a"/>
          <w:sz w:val="20"/>
          <w:szCs w:val="20"/>
        </w:rPr>
        <w:t xml:space="preserve">"Officers smell fluff. They know when someone has no idea how the business actually survives." — use in Tab K helper text</w:t>
      </w:r>
    </w:p>
    <w:p>
      <w:pPr>
        <w:spacing w:after="80"/>
        <w:ind w:left="480" w:hanging="240"/>
      </w:pPr>
      <w:r>
        <w:rPr>
          <w:rFonts w:ascii="Arial" w:cs="Arial" w:eastAsia="Arial" w:hAnsi="Arial"/>
          <w:b/>
          <w:bCs/>
          <w:color w:val="C9A84C"/>
          <w:sz w:val="20"/>
          <w:szCs w:val="20"/>
        </w:rPr>
        <w:t xml:space="preserve">• </w:t>
      </w:r>
      <w:r>
        <w:rPr>
          <w:rFonts w:ascii="Arial" w:cs="Arial" w:eastAsia="Arial" w:hAnsi="Arial"/>
          <w:color w:val="1a1a1a"/>
          <w:sz w:val="20"/>
          <w:szCs w:val="20"/>
        </w:rPr>
        <w:t xml:space="preserve">"Strategy beats assumption, every time." — use as section closer</w:t>
      </w:r>
    </w:p>
    <w:p>
      <w:pPr>
        <w:spacing w:after="80"/>
        <w:ind w:left="480" w:hanging="240"/>
      </w:pPr>
      <w:r>
        <w:rPr>
          <w:rFonts w:ascii="Arial" w:cs="Arial" w:eastAsia="Arial" w:hAnsi="Arial"/>
          <w:b/>
          <w:bCs/>
          <w:color w:val="C9A84C"/>
          <w:sz w:val="20"/>
          <w:szCs w:val="20"/>
        </w:rPr>
        <w:t xml:space="preserve">• </w:t>
      </w:r>
      <w:r>
        <w:rPr>
          <w:rFonts w:ascii="Arial" w:cs="Arial" w:eastAsia="Arial" w:hAnsi="Arial"/>
          <w:color w:val="1a1a1a"/>
          <w:sz w:val="20"/>
          <w:szCs w:val="20"/>
        </w:rPr>
        <w:t xml:space="preserve">"Clarity beats urgency." — use as a calming nudge when attorney flags are triggered</w:t>
      </w:r>
    </w:p>
    <w:p>
      <w:pPr>
        <w:pBdr>
          <w:bottom w:val="single" w:color="DDDDDD" w:sz="2" w:space="1"/>
        </w:pBdr>
        <w:spacing w:after="200" w:before="200"/>
      </w:pPr>
    </w:p>
    <w:p>
      <w:pPr>
        <w:pStyle w:val="Heading2"/>
        <w:spacing w:after="80" w:before="320"/>
      </w:pPr>
      <w:r>
        <w:rPr>
          <w:rFonts w:ascii="Georgia" w:cs="Georgia" w:eastAsia="Georgia" w:hAnsi="Georgia"/>
          <w:b/>
          <w:bCs/>
          <w:color w:val="C9A84C"/>
          <w:sz w:val="22"/>
          <w:szCs w:val="22"/>
        </w:rPr>
        <w:t xml:space="preserve">Nudges for Encouragement and Progress</w:t>
      </w:r>
    </w:p>
    <w:p>
      <w:pPr>
        <w:spacing w:after="80"/>
        <w:ind w:left="480" w:hanging="240"/>
      </w:pPr>
      <w:r>
        <w:rPr>
          <w:rFonts w:ascii="Arial" w:cs="Arial" w:eastAsia="Arial" w:hAnsi="Arial"/>
          <w:b/>
          <w:bCs/>
          <w:color w:val="C9A84C"/>
          <w:sz w:val="20"/>
          <w:szCs w:val="20"/>
        </w:rPr>
        <w:t xml:space="preserve">• </w:t>
      </w:r>
      <w:r>
        <w:rPr>
          <w:rFonts w:ascii="Arial" w:cs="Arial" w:eastAsia="Arial" w:hAnsi="Arial"/>
          <w:color w:val="1a1a1a"/>
          <w:sz w:val="20"/>
          <w:szCs w:val="20"/>
        </w:rPr>
        <w:t xml:space="preserve">"From Dreaming to Living — make your next move with clarity, strategy, and confidence." — use on completion screens</w:t>
      </w:r>
    </w:p>
    <w:p>
      <w:pPr>
        <w:spacing w:after="80"/>
        <w:ind w:left="480" w:hanging="240"/>
      </w:pPr>
      <w:r>
        <w:rPr>
          <w:rFonts w:ascii="Arial" w:cs="Arial" w:eastAsia="Arial" w:hAnsi="Arial"/>
          <w:b/>
          <w:bCs/>
          <w:color w:val="C9A84C"/>
          <w:sz w:val="20"/>
          <w:szCs w:val="20"/>
        </w:rPr>
        <w:t xml:space="preserve">• </w:t>
      </w:r>
      <w:r>
        <w:rPr>
          <w:rFonts w:ascii="Arial" w:cs="Arial" w:eastAsia="Arial" w:hAnsi="Arial"/>
          <w:color w:val="1a1a1a"/>
          <w:sz w:val="20"/>
          <w:szCs w:val="20"/>
        </w:rPr>
        <w:t xml:space="preserve">"The investors who get approved treat document preparation as a first step, not a final step." — use on landing page and onboarding</w:t>
      </w:r>
    </w:p>
    <w:p>
      <w:pPr>
        <w:spacing w:after="80"/>
        <w:ind w:left="480" w:hanging="240"/>
      </w:pPr>
      <w:r>
        <w:rPr>
          <w:rFonts w:ascii="Arial" w:cs="Arial" w:eastAsia="Arial" w:hAnsi="Arial"/>
          <w:b/>
          <w:bCs/>
          <w:color w:val="C9A84C"/>
          <w:sz w:val="20"/>
          <w:szCs w:val="20"/>
        </w:rPr>
        <w:t xml:space="preserve">• </w:t>
      </w:r>
      <w:r>
        <w:rPr>
          <w:rFonts w:ascii="Arial" w:cs="Arial" w:eastAsia="Arial" w:hAnsi="Arial"/>
          <w:color w:val="1a1a1a"/>
          <w:sz w:val="20"/>
          <w:szCs w:val="20"/>
        </w:rPr>
        <w:t xml:space="preserve">"Approval depends on your story, not just your documents." — use before cover letter questions</w:t>
      </w:r>
    </w:p>
    <w:p>
      <w:pPr>
        <w:spacing w:after="80"/>
        <w:ind w:left="480" w:hanging="240"/>
      </w:pPr>
      <w:r>
        <w:rPr>
          <w:rFonts w:ascii="Arial" w:cs="Arial" w:eastAsia="Arial" w:hAnsi="Arial"/>
          <w:b/>
          <w:bCs/>
          <w:color w:val="C9A84C"/>
          <w:sz w:val="20"/>
          <w:szCs w:val="20"/>
        </w:rPr>
        <w:t xml:space="preserve">• </w:t>
      </w:r>
      <w:r>
        <w:rPr>
          <w:rFonts w:ascii="Arial" w:cs="Arial" w:eastAsia="Arial" w:hAnsi="Arial"/>
          <w:color w:val="1a1a1a"/>
          <w:sz w:val="20"/>
          <w:szCs w:val="20"/>
        </w:rPr>
        <w:t xml:space="preserve">"The real risk isn't denial. It's wasting money without a plan." — use on pricing page</w:t>
      </w:r>
    </w:p>
    <w:p>
      <w:pPr>
        <w:pBdr>
          <w:bottom w:val="single" w:color="DDDDDD" w:sz="2" w:space="1"/>
        </w:pBdr>
        <w:spacing w:after="200" w:before="200"/>
      </w:pPr>
    </w:p>
    <w:p>
      <w:pPr>
        <w:pStyle w:val="Heading1"/>
        <w:pBdr>
          <w:bottom w:val="single" w:color="C9A84C" w:sz="6" w:space="6"/>
        </w:pBdr>
        <w:spacing w:after="120" w:before="480"/>
      </w:pPr>
      <w:r>
        <w:rPr>
          <w:rFonts w:ascii="Georgia" w:cs="Georgia" w:eastAsia="Georgia" w:hAnsi="Georgia"/>
          <w:b/>
          <w:bCs/>
          <w:color w:val="1a1a1a"/>
          <w:sz w:val="28"/>
          <w:szCs w:val="28"/>
        </w:rPr>
        <w:t xml:space="preserve">SECTION 10 — FAQ Content (Ready to Use)</w:t>
      </w:r>
    </w:p>
    <w:p>
      <w:pPr>
        <w:spacing w:after="120"/>
      </w:pPr>
      <w:r>
        <w:rPr>
          <w:rFonts w:ascii="Arial" w:cs="Arial" w:eastAsia="Arial" w:hAnsi="Arial"/>
          <w:i w:val="false"/>
          <w:iCs w:val="false"/>
          <w:color w:val="1a1a1a"/>
          <w:sz w:val="20"/>
          <w:szCs w:val="20"/>
        </w:rPr>
        <w:t xml:space="preserve">These FAQs are derived directly from Annett's common misconceptions list. Rewritten in e2go voice. Ready to drop into the FAQ page.</w:t>
      </w:r>
    </w:p>
    <w:p>
      <w:pPr>
        <w:pBdr>
          <w:bottom w:val="single" w:color="DDDDDD" w:sz="2" w:space="1"/>
        </w:pBdr>
        <w:spacing w:after="200" w:before="200"/>
      </w:pPr>
    </w:p>
    <w:p>
      <w:pPr>
        <w:pStyle w:val="Heading2"/>
        <w:spacing w:after="80" w:before="320"/>
      </w:pPr>
      <w:r>
        <w:rPr>
          <w:rFonts w:ascii="Georgia" w:cs="Georgia" w:eastAsia="Georgia" w:hAnsi="Georgia"/>
          <w:b/>
          <w:bCs/>
          <w:color w:val="C9A84C"/>
          <w:sz w:val="22"/>
          <w:szCs w:val="22"/>
        </w:rPr>
        <w:t xml:space="preserve">FAQ 1 — Is there a minimum investment amount?</w:t>
      </w:r>
    </w:p>
    <w:p>
      <w:pPr>
        <w:spacing w:after="120"/>
      </w:pPr>
      <w:r>
        <w:rPr>
          <w:rFonts w:ascii="Arial" w:cs="Arial" w:eastAsia="Arial" w:hAnsi="Arial"/>
          <w:i w:val="false"/>
          <w:iCs w:val="false"/>
          <w:color w:val="1a1a1a"/>
          <w:sz w:val="20"/>
          <w:szCs w:val="20"/>
        </w:rPr>
        <w:t xml:space="preserve">No. The E-2 visa does not specify a minimum dollar amount. What the law requires is that the investment be "substantial" — which is assessed proportionally. A $70,000 investment in a $70,000 business is 100% of the startup cost, which is clearly substantial. A $200,000 investment in a $1,000,000 franchise is 20%, which requires a stronger argument based on dollar magnitude. The question is not how much you invested. It is whether what you invested makes sense for the business you are building.</w:t>
      </w:r>
    </w:p>
    <w:p>
      <w:pPr>
        <w:pBdr>
          <w:bottom w:val="single" w:color="DDDDDD" w:sz="2" w:space="1"/>
        </w:pBdr>
        <w:spacing w:after="200" w:before="200"/>
      </w:pPr>
    </w:p>
    <w:p>
      <w:pPr>
        <w:pStyle w:val="Heading2"/>
        <w:spacing w:after="80" w:before="320"/>
      </w:pPr>
      <w:r>
        <w:rPr>
          <w:rFonts w:ascii="Georgia" w:cs="Georgia" w:eastAsia="Georgia" w:hAnsi="Georgia"/>
          <w:b/>
          <w:bCs/>
          <w:color w:val="C9A84C"/>
          <w:sz w:val="22"/>
          <w:szCs w:val="22"/>
        </w:rPr>
        <w:t xml:space="preserve">FAQ 2 — Can I invest in stocks or property and use that as my E-2 investment?</w:t>
      </w:r>
    </w:p>
    <w:p>
      <w:pPr>
        <w:spacing w:after="120"/>
      </w:pPr>
      <w:r>
        <w:rPr>
          <w:rFonts w:ascii="Arial" w:cs="Arial" w:eastAsia="Arial" w:hAnsi="Arial"/>
          <w:i w:val="false"/>
          <w:iCs w:val="false"/>
          <w:color w:val="1a1a1a"/>
          <w:sz w:val="20"/>
          <w:szCs w:val="20"/>
        </w:rPr>
        <w:t xml:space="preserve">No. The E-2 enterprise must be a real, active commercial operation that produces goods or services for profit. Passive investments — stocks, undeveloped land, rental properties — do not qualify. You must be actively directing and developing the business, not passively holding an asset.</w:t>
      </w:r>
    </w:p>
    <w:p>
      <w:pPr>
        <w:pBdr>
          <w:bottom w:val="single" w:color="DDDDDD" w:sz="2" w:space="1"/>
        </w:pBdr>
        <w:spacing w:after="200" w:before="200"/>
      </w:pPr>
    </w:p>
    <w:p>
      <w:pPr>
        <w:pStyle w:val="Heading2"/>
        <w:spacing w:after="80" w:before="320"/>
      </w:pPr>
      <w:r>
        <w:rPr>
          <w:rFonts w:ascii="Georgia" w:cs="Georgia" w:eastAsia="Georgia" w:hAnsi="Georgia"/>
          <w:b/>
          <w:bCs/>
          <w:color w:val="C9A84C"/>
          <w:sz w:val="22"/>
          <w:szCs w:val="22"/>
        </w:rPr>
        <w:t xml:space="preserve">FAQ 3 — My money is in the U.S. business bank account. Doesn't that satisfy the at-risk requirement?</w:t>
      </w:r>
    </w:p>
    <w:p>
      <w:pPr>
        <w:spacing w:after="120"/>
      </w:pPr>
      <w:r>
        <w:rPr>
          <w:rFonts w:ascii="Arial" w:cs="Arial" w:eastAsia="Arial" w:hAnsi="Arial"/>
          <w:i w:val="false"/>
          <w:iCs w:val="false"/>
          <w:color w:val="1a1a1a"/>
          <w:sz w:val="20"/>
          <w:szCs w:val="20"/>
        </w:rPr>
        <w:t xml:space="preserve">Not on its own. Idle funds in a business account demonstrate intent — but not commitment. The at-risk requirement is satisfied when capital is irrevocably committed to specific business expenses: a signed commercial lease, purchased equipment, a paid franchise fee, prepaid inventory. An officer calculating your investment's substantiality will typically exclude unspent cash from the analysis.</w:t>
      </w:r>
    </w:p>
    <w:p>
      <w:pPr>
        <w:pBdr>
          <w:bottom w:val="single" w:color="DDDDDD" w:sz="2" w:space="1"/>
        </w:pBdr>
        <w:spacing w:after="200" w:before="200"/>
      </w:pPr>
    </w:p>
    <w:p>
      <w:pPr>
        <w:pStyle w:val="Heading2"/>
        <w:spacing w:after="80" w:before="320"/>
      </w:pPr>
      <w:r>
        <w:rPr>
          <w:rFonts w:ascii="Georgia" w:cs="Georgia" w:eastAsia="Georgia" w:hAnsi="Georgia"/>
          <w:b/>
          <w:bCs/>
          <w:color w:val="C9A84C"/>
          <w:sz w:val="22"/>
          <w:szCs w:val="22"/>
        </w:rPr>
        <w:t xml:space="preserve">FAQ 4 — My business is profitable. Doesn't that prove it's not marginal?</w:t>
      </w:r>
    </w:p>
    <w:p>
      <w:pPr>
        <w:spacing w:after="120"/>
      </w:pPr>
      <w:r>
        <w:rPr>
          <w:rFonts w:ascii="Arial" w:cs="Arial" w:eastAsia="Arial" w:hAnsi="Arial"/>
          <w:i w:val="false"/>
          <w:iCs w:val="false"/>
          <w:color w:val="1a1a1a"/>
          <w:sz w:val="20"/>
          <w:szCs w:val="20"/>
        </w:rPr>
        <w:t xml:space="preserve">Not necessarily. The marginality test asks whether the business has the capacity to generate significantly more than a basic living for you and your family — typically through job creation for U.S. workers. A business that generates $150,000 in annual profit entirely through your own labour, with no employees, fails the marginality test. Profit is not the standard. Economic contribution is.</w:t>
      </w:r>
    </w:p>
    <w:p>
      <w:pPr>
        <w:pBdr>
          <w:bottom w:val="single" w:color="DDDDDD" w:sz="2" w:space="1"/>
        </w:pBdr>
        <w:spacing w:after="200" w:before="200"/>
      </w:pPr>
    </w:p>
    <w:p>
      <w:pPr>
        <w:pStyle w:val="Heading2"/>
        <w:spacing w:after="80" w:before="320"/>
      </w:pPr>
      <w:r>
        <w:rPr>
          <w:rFonts w:ascii="Georgia" w:cs="Georgia" w:eastAsia="Georgia" w:hAnsi="Georgia"/>
          <w:b/>
          <w:bCs/>
          <w:color w:val="C9A84C"/>
          <w:sz w:val="22"/>
          <w:szCs w:val="22"/>
        </w:rPr>
        <w:t xml:space="preserve">FAQ 5 — I got approved the first time. Will renewal be easier?</w:t>
      </w:r>
    </w:p>
    <w:p>
      <w:pPr>
        <w:spacing w:after="120"/>
      </w:pPr>
      <w:r>
        <w:rPr>
          <w:rFonts w:ascii="Arial" w:cs="Arial" w:eastAsia="Arial" w:hAnsi="Arial"/>
          <w:i w:val="false"/>
          <w:iCs w:val="false"/>
          <w:color w:val="1a1a1a"/>
          <w:sz w:val="20"/>
          <w:szCs w:val="20"/>
        </w:rPr>
        <w:t xml:space="preserve">In 2025-2026, consular officers and USCIS are conducting stricter de novo reviews at renewal — meaning they evaluate the application on its merits as if it were being filed for the first time. A prior approval does not guarantee renewal. What matters is whether your business has grown, whether you have hired U.S. workers, and whether your actual performance matches the projections in your original business plan.</w:t>
      </w:r>
    </w:p>
    <w:p>
      <w:pPr>
        <w:pBdr>
          <w:bottom w:val="single" w:color="DDDDDD" w:sz="2" w:space="1"/>
        </w:pBdr>
        <w:spacing w:after="200" w:before="200"/>
      </w:pPr>
    </w:p>
    <w:p>
      <w:pPr>
        <w:pStyle w:val="Heading2"/>
        <w:spacing w:after="80" w:before="320"/>
      </w:pPr>
      <w:r>
        <w:rPr>
          <w:rFonts w:ascii="Georgia" w:cs="Georgia" w:eastAsia="Georgia" w:hAnsi="Georgia"/>
          <w:b/>
          <w:bCs/>
          <w:color w:val="C9A84C"/>
          <w:sz w:val="22"/>
          <w:szCs w:val="22"/>
        </w:rPr>
        <w:t xml:space="preserve">FAQ 6 — I have contractors. Do they count as employees?</w:t>
      </w:r>
    </w:p>
    <w:p>
      <w:pPr>
        <w:spacing w:after="120"/>
      </w:pPr>
      <w:r>
        <w:rPr>
          <w:rFonts w:ascii="Arial" w:cs="Arial" w:eastAsia="Arial" w:hAnsi="Arial"/>
          <w:i w:val="false"/>
          <w:iCs w:val="false"/>
          <w:color w:val="1a1a1a"/>
          <w:sz w:val="20"/>
          <w:szCs w:val="20"/>
        </w:rPr>
        <w:t xml:space="preserve">For most renewal purposes, no. Independent contractors (1099) are not legally directed by you as subordinate personnel — they are self-employed. W-2 employees, whose work you direct and whose wages appear on your payroll records, are the standard that demonstrates genuine job creation. e2go flags this in your business plan and hiring plan to ensure the structure supports renewal from the beginning.</w:t>
      </w:r>
    </w:p>
    <w:p>
      <w:pPr>
        <w:pBdr>
          <w:bottom w:val="single" w:color="DDDDDD" w:sz="2" w:space="1"/>
        </w:pBdr>
        <w:spacing w:after="200" w:before="200"/>
      </w:pPr>
    </w:p>
    <w:p>
      <w:pPr>
        <w:pStyle w:val="Heading1"/>
        <w:pBdr>
          <w:bottom w:val="single" w:color="C9A84C" w:sz="6" w:space="6"/>
        </w:pBdr>
        <w:spacing w:after="120" w:before="480"/>
      </w:pPr>
      <w:r>
        <w:rPr>
          <w:rFonts w:ascii="Georgia" w:cs="Georgia" w:eastAsia="Georgia" w:hAnsi="Georgia"/>
          <w:b/>
          <w:bCs/>
          <w:color w:val="1a1a1a"/>
          <w:sz w:val="28"/>
          <w:szCs w:val="28"/>
        </w:rPr>
        <w:t xml:space="preserve">APPENDIX — Original Source Attribution</w:t>
      </w:r>
    </w:p>
    <w:p>
      <w:pPr>
        <w:spacing w:after="120"/>
      </w:pPr>
      <w:r>
        <w:rPr>
          <w:rFonts w:ascii="Arial" w:cs="Arial" w:eastAsia="Arial" w:hAnsi="Arial"/>
          <w:i w:val="false"/>
          <w:iCs w:val="false"/>
          <w:color w:val="1a1a1a"/>
          <w:sz w:val="20"/>
          <w:szCs w:val="20"/>
        </w:rPr>
        <w:t xml:space="preserve">All content in this library is derived from public posts by Annett T. Block in the E2 Visa USA and E2VisaConnect Facebook communities. Content has been substantially rewritten in e2go's voice and does not reproduce original text verbatim.</w:t>
      </w:r>
    </w:p>
    <w:p>
      <w:pPr>
        <w:spacing w:after="120"/>
      </w:pPr>
      <w:r>
        <w:rPr>
          <w:rFonts w:ascii="Arial" w:cs="Arial" w:eastAsia="Arial" w:hAnsi="Arial"/>
          <w:i w:val="false"/>
          <w:iCs w:val="false"/>
          <w:color w:val="1a1a1a"/>
          <w:sz w:val="20"/>
          <w:szCs w:val="20"/>
        </w:rPr>
        <w:t xml:space="preserve">Annett T. Block is an E-2 investor advisor based in the United States. Her Facebook content demonstrates deep practical knowledge of E-2 adjudication patterns, business structure requirements, and renewal strategy.</w:t>
      </w:r>
    </w:p>
    <w:p>
      <w:pPr>
        <w:spacing w:after="120"/>
      </w:pPr>
      <w:r>
        <w:rPr>
          <w:rFonts w:ascii="Arial" w:cs="Arial" w:eastAsia="Arial" w:hAnsi="Arial"/>
          <w:i w:val="false"/>
          <w:iCs w:val="false"/>
          <w:color w:val="1a1a1a"/>
          <w:sz w:val="20"/>
          <w:szCs w:val="20"/>
        </w:rPr>
        <w:t xml:space="preserve">e2go does not claim authorship of the underlying insights — only the presentation, organisation, and rewriting of those insights into platform-ready copy.</w:t>
      </w:r>
    </w:p>
    <w:p>
      <w:pPr>
        <w:spacing w:before="480"/>
      </w:pPr>
      <w:r>
        <w:rPr>
          <w:rFonts w:ascii="Georgia" w:cs="Georgia" w:eastAsia="Georgia" w:hAnsi="Georgia"/>
          <w:i/>
          <w:iCs/>
          <w:color w:val="C9A84C"/>
          <w:sz w:val="18"/>
          <w:szCs w:val="18"/>
        </w:rPr>
        <w:t xml:space="preserve">e2go.app — Built with clarity, strategy, and confidence.</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480"/>
      <w:outlineLvl w:val="0"/>
    </w:pPr>
    <w:rPr>
      <w:rFonts w:ascii="Georgia" w:cs="Georgia" w:eastAsia="Georgia" w:hAnsi="Georgia"/>
      <w:b/>
      <w:bCs/>
      <w:sz w:val="28"/>
      <w:szCs w:val="28"/>
    </w:rPr>
  </w:style>
  <w:style w:type="paragraph" w:styleId="Heading2">
    <w:name w:val="Heading 2"/>
    <w:basedOn w:val="Normal"/>
    <w:next w:val="Normal"/>
    <w:qFormat/>
    <w:pPr>
      <w:spacing w:after="80" w:before="320"/>
      <w:outlineLvl w:val="1"/>
    </w:pPr>
    <w:rPr>
      <w:rFonts w:ascii="Georgia" w:cs="Georgia" w:eastAsia="Georgia" w:hAnsi="Georgia"/>
      <w:b/>
      <w:bCs/>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2026-06-03T01:52:41.161Z</dcterms:created>
  <dcterms:modified xsi:type="dcterms:W3CDTF">2026-06-03T01:52:41.161Z</dcterms:modified>
</cp:coreProperties>
</file>

<file path=docProps/custom.xml><?xml version="1.0" encoding="utf-8"?>
<Properties xmlns="http://schemas.openxmlformats.org/officeDocument/2006/custom-properties" xmlns:vt="http://schemas.openxmlformats.org/officeDocument/2006/docPropsVTypes"/>
</file>