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64" w:lineRule="auto" w:before="160"/>
      </w:pPr>
      <w:r>
        <w:rPr>
          <w:rFonts w:ascii="Microsoft YaHei" w:hAnsi="Microsoft YaHei" w:eastAsia="Microsoft YaHei"/>
          <w:b/>
          <w:color w:val="2E74B5"/>
          <w:sz w:val="20"/>
        </w:rPr>
        <w:t>TARGET DISCOVERY AGENT</w:t>
      </w:r>
    </w:p>
    <w:p>
      <w:pPr>
        <w:keepNext/>
        <w:spacing w:after="160"/>
      </w:pPr>
      <w:r>
        <w:rPr>
          <w:rFonts w:ascii="Microsoft YaHei" w:hAnsi="Microsoft YaHei" w:eastAsia="Microsoft YaHei"/>
          <w:b/>
          <w:color w:val="172033"/>
          <w:sz w:val="52"/>
        </w:rPr>
        <w:t>Target 项目全景与完整评测报告</w:t>
      </w:r>
    </w:p>
    <w:p>
      <w:pPr>
        <w:spacing w:after="280" w:line="264" w:lineRule="auto"/>
      </w:pPr>
      <w:r>
        <w:rPr>
          <w:rFonts w:ascii="Microsoft YaHei" w:hAnsi="Microsoft YaHei" w:eastAsia="Microsoft YaHei"/>
          <w:b w:val="0"/>
          <w:color w:val="5B6573"/>
          <w:sz w:val="26"/>
        </w:rPr>
        <w:t>架构、数据资产、Agent 工作流、运行产物、训练对齐与 Benchmark 的统一可视化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项目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运行日期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2026-08-08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分支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agent/context-relation-benchmark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提交基线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939d9b9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运行模式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本地 fake/unit；未执行 live/GPU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Python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3.12.13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6"/>
              </w:rPr>
              <w:t>18</w:t>
            </w:r>
          </w:p>
        </w:tc>
        <w:tc>
          <w:tcPr>
            <w:tcW w:type="dxa" w:w="234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6"/>
              </w:rPr>
              <w:t>16</w:t>
            </w:r>
          </w:p>
        </w:tc>
        <w:tc>
          <w:tcPr>
            <w:tcW w:type="dxa" w:w="234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6"/>
              </w:rPr>
              <w:t>17</w:t>
            </w:r>
          </w:p>
        </w:tc>
        <w:tc>
          <w:tcPr>
            <w:tcW w:type="dxa" w:w="234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6"/>
              </w:rPr>
              <w:t>72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B6573"/>
                <w:sz w:val="18"/>
              </w:rPr>
              <w:t>疾病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B6573"/>
                <w:sz w:val="18"/>
              </w:rPr>
              <w:t>工具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B6573"/>
                <w:sz w:val="18"/>
              </w:rPr>
              <w:t>Schema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5B6573"/>
                <w:sz w:val="18"/>
              </w:rPr>
              <w:t>归档运行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执行结论</w:t>
      </w:r>
    </w:p>
    <w:p>
      <w:pPr>
        <w:spacing w:after="16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本次完整本地可复现验收全部通过，没有发现 fake/unit 主链、疾病矩阵或既有单元测试回归。新增关系评测能明显区分“只识别疾病靶点”与“理解组织、细胞类型和疾病时期上下文”两种能力。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主 Benchmark：11/11 任务、27/27 断言通过。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疾病库：72/72 任务、234/234 断言通过，覆盖正常、缺失上下文、冲突证据与因果陷阱。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pytest：81 通过、4 跳过、0 失败。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关系评测：上下文盲基线的标签准确率和必要动作召回均为 62.8%；Gold/评分器自检为 100%。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23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alidation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2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1｜完整本地验收阶段通过率。关系 Gold 为评分器完整性检查，不代表 Agent 实际性能。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</w:rPr>
        <w:t>判读原则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主 Benchmark、疾病库与 pytest 是当前 Agent fake/unit 执行结果，可用于本地回归门禁。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关系上下文盲基线是刻意设计的参照系；62.8% 表明数据集能识别缺失上下文与上下文错配。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Gold/评分器自检只证明样本与 scorer 对齐，不应表述为 Agent 达到 100% 的关系理解能力。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1. 评测范围与运行方法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</w:rPr>
        <w:t>1.1 本次执行范围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3700"/>
        <w:gridCol w:w="19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阶段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规模</w:t>
            </w:r>
          </w:p>
        </w:tc>
        <w:tc>
          <w:tcPr>
            <w:tcW w:type="dxa" w:w="3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判定对象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pytest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85 用例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代码与合同回归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81 通过 / 4 跳过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主 Benchmark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11 任务 / 27 断言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主链、迁移、确定性、鲁棒性、合同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疾病库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72 任务 / 234 断言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 疾病 × 4 任务桶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关系评测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145 样本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疾病—靶点—组织—细胞—时期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基线 62.8% / 自检 100%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</w:rPr>
        <w:t>1.2 未执行范围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Live 外部 API 任务和 Reviewer LoRA live matrix 未在本地运行。它们需要网络/API/GPU 部署配置，且仓库 rubric 将 live 结果定义为信息性结果而非 CI 合并门槛。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D77A27"/>
          <w:sz w:val="22"/>
        </w:rPr>
        <w:t>运行环境提示：本机 Python 版本为 3.12.13；仓库正式 acceptance runtime 为 Python 3.11，因此发布前仍应在远端 3.11 profile 复跑。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2. 主 Benchmark 指标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28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egory_asser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28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2｜主 Benchmark 与疾病库各能力维度断言通过率；柱顶 n 为断言数。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主 Benchmark 共执行 11 个 fake/unit 任务，27 条断言全部通过。它验证了 UC 主链输出、Legacy/LangGraph 一致性、三连跑确定性、终态与中断恢复、预算降级、MCH 边界、OOD 拒绝以及合同/Schema 门槛。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67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in_task_run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67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3｜主 Benchmark 单任务耗时。BM-03 包含三次确定性运行，因此耗时最高。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3. 疾病库 Benchmark 指标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18 个疾病分别进入 normal、missing_context、conflicting_evidence 与 trap 四类任务，共 72 项、234 条断言，全部通过。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1900"/>
        <w:gridCol w:w="2660"/>
      </w:tblGrid>
      <w:tr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任务桶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任务数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断言</w:t>
            </w:r>
          </w:p>
        </w:tc>
        <w:tc>
          <w:tcPr>
            <w:tcW w:type="dxa" w:w="2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通过率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normal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54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missing_context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54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conflicting_evidence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54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trap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72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107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ease_runtime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10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4｜四类疾病任务的单任务耗时分布。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72 个疾病任务平均耗时 1.295 秒，中位数 1.220 秒，P95 为 1.819 秒，最大值 2.470 秒。首个 UC 上下文因初始化成本略高，其余任务分布集中。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4. 上下文关系评测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关系评测不把“组织/时期置换”解释成生物学关系为假，而只判断输入是否偏离当前 curated benchmark context。这样可以测出上下文保留、缺失追问、错配降级和因果边界，同时避免制造不可靠的跨疾病 hard negatives。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08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lation_com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5｜145 条关系样本的 split 与 Gold 标签构成。所有同一疾病样本只进入一个 split。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08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lation_baseline_vs_orac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6｜上下文盲基线与 Gold/评分器自检。100% 安全得分来自基线没有输出禁用声明，不代表其上下文判断正确。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2000"/>
        <w:gridCol w:w="316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指标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上下文盲基线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Gold/评分器自检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解释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覆盖率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两组均输出全部 145 条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标签准确率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62.8%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盲基线无法识别缺失与错配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必要动作召回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62.8%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盲基线不会触发追问/降级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禁用声明安全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100.0%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盲基线不输出禁止声明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5. 关键步骤指标总览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2100"/>
        <w:gridCol w:w="1860"/>
      </w:tblGrid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步骤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核心指标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结果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判定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Goldset 生成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字节一致、Schema valid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145/145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任务规划与主链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BM-01 主链断言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11/11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迁移兼容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Legacy/LangGraph parity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3/3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确定性与恢复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deterministic/resume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3/3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鲁棒性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预算降级 + OOD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4/4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合同与 Schema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version/whitelist/export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3/3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疾病泛化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18 疾病 × 4 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234/234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关系上下文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盲基线 label/action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62.8% / 62.8%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具有区分度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关系评分器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Gold 自检四指标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100%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代码回归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pytest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81 pass / 4 skip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通过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6. 结论与下一步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当前提交已经形成可合并的本地质量闭环：原有主链和疾病矩阵保持全绿，新增关系评测提供了明确的上下文敏感度信号。它适合立即用于 Planner/Reviewer 输出适配器的回归测试，但尚不能替代论文级人工 Gold 或真实 live 工具评估。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接入 Agent 输出适配器，报告真实 Planner 的 relation label、required actions 与 forbidden claims。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为每个 disease-target anchor 增加 PMID/DOI、方向证据、cell/tissue/stage source span。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落实 paper-level 与 2021–2024 / 2025 / 2026 time split，避免论文派生资产泄漏。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在远端 Python 3.11 acceptance profile 与 Reviewer LoRA GPU profile 复跑。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7. 项目全景与 Agent 架构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Target 的主体不是评测平台，而是一个可追溯的疾病驱动靶点发现 Agent。项目把 TaskSpec、Planner、工具路由、证据存储、Reviewer、六维排序、TargetCards 与报告串成一条受契约约束的工作流。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905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ject_inven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7｜项目核心数据、契约、训练与归档运行资产数量。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57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层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规模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职责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Workflow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9 状态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Intake 到 Report 的显式状态机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Tools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13/16 启用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只允许 registry 中的工具；3 个兼容插件默认关闭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Contracts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17 Schema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约束任务、工具、证据、Reviewer、排序和报告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Scientific gates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4 类 claim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FACT / OBSERVED / PREDICTED / INFERRED 分离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D77A27"/>
          <w:sz w:val="22"/>
        </w:rPr>
        <w:t>工作流上限：30 次工具调用、20 个初始候选、2 轮 Review；上下文匹配分低于 0.5 的结果不得进入正式排名。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8. 疾病、组织、细胞与参考靶点资产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1327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isease_context_landsca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3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8｜18 个疾病覆盖 5 类疾病、13 种组织与 14 种细胞类型。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91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ference_evidence_and_gen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9｜73 个参考靶点的证据等级与跨疾病重复基因。参考靶点用于 sanity check，不代表新发现。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参考证据以 approved_drug 为主（42/73），其次为 GWAS（14）、Mendelian（10）、clinical trial（6）与 mechanistic（1）。这使疾病库适合做可解释回归，但也意味着其锚点偏向已有知识。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9. 代码、工具与契约结构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296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de_and_contract_footpr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2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10｜项目代码/契约足迹与 Schema 复杂度。src、benchmark 与 schemas 是主体。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900"/>
        <w:gridCol w:w="5360"/>
      </w:tblGrid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对象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数量</w:t>
            </w:r>
          </w:p>
        </w:tc>
        <w:tc>
          <w:tcPr>
            <w:tcW w:type="dxa" w:w="5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观察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Python 非空行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8,320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omics.py 是最大的实现文件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测试函数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82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覆盖 runtime、contracts、tools、LoRA 与 benchmark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工具注册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13 启用 / 3 关闭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关闭项均为显式兼容插件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Schema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17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ToolResult、DatasetCandidate 与 EvidenceItem 属性最多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10. 派生生物数据与因果金标准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049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c_candidate_om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4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11｜UC 20 候选基因的观测组学分布。点大小表示 disease strength；差异表达不是因果证据。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72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c_perturbation_landscap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7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12｜71 个 CRISPRa 扰动靶点的激活效应与疾病方向一致性；橙色为 UC 候选交集。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004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ch_replic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0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13｜MCH 因果配置中，论文方向预测准确率为 72.9%，项目复现为 63.9%（94/147；置换 p=0.00019998）。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D77A27"/>
          <w:sz w:val="22"/>
        </w:rPr>
        <w:t>UC 数据来自公开快照 GSE125527 与 GSE190604；MCH/K562 是项目唯一明确的 causal gold 配置。所有数据均带 limitations，不能把关联或模型预测包装成实验事实。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11. 归档 Agent 运行：流程产物、Reviewer 与排序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12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rchive_pipeline_completen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1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14｜72 个归档 fake/unit 运行均生成 status、Top-10 排名、Reviewer findings、5 张 TargetCards 与报告。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重要步骤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每运行指标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20"/>
              </w:rPr>
              <w:t>全矩阵结果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ToolExecution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12 次工具调用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72/72 一致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Evidence / Ranking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10 个排名；平均 4.76 evidence IDs/target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720 个排名结果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Reviewer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平均 19.5 findings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共 1403 条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TargetCard / Report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5 张卡片 + 1 份报告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72/72 产物完整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Terminal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completed_with_gaps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172033"/>
                <w:sz w:val="19"/>
              </w:rPr>
              <w:t>72/72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827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eviewer_find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15｜Reviewer findings 以 dataset_ineligibility、context_mismatch 与 coverage_gap 为主；归档中 1,403 条均未标记 resolved。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499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anking_dimensions_and_decis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9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16｜归档 Top-10 的六维平均分与决策分布。disease omics、perturbation、safety_translation 在该 fake/unit 矩阵中均为 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215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rchive_top_ranked_gen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2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17｜归档矩阵中最常进入 Top-10 的基因。频次来自固定回放资产，不是跨疾病生物学验证。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/>
          <w:color w:val="D77A27"/>
          <w:sz w:val="22"/>
        </w:rPr>
        <w:t>项目级结论比 benchmark 的“全绿”更严格：执行和产物合同完整，但 72 个归档运行全部是 completed_with_gaps；组学、扰动与安全维度在该矩阵中没有形成得分，Reviewer 缺口也未闭环。这些是下一阶段最重要的工程与科学信号。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12. Reviewer 对齐与验收数据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037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lignment_data_composi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3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Microsoft YaHei" w:hAnsi="Microsoft YaHei" w:eastAsia="Microsoft YaHei"/>
          <w:color w:val="5B6573"/>
          <w:sz w:val="18"/>
        </w:rPr>
        <w:t>图 18｜210 条高风险 Reviewer 数据按六类场景均衡分布：120 SFT、60 preference、30 heldout。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72033"/>
          <w:sz w:val="22"/>
        </w:rPr>
        <w:t>六类场景分别是 missing_context、out_of_distribution、conflicting_evidence、causal_overreach、tool_failure 与 correct_refusal。manifest 明确禁止自动训练；所有高风险样本在训练或晋级前需要生命科学与工程双重审批。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13. 项目级结论与优先级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产品闭环已存在：工作流、工具、证据、Reviewer、排序、TargetCards、报告与前端回放均有代码和契约。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数据覆盖已跨疾病、组织、细胞和时期，但 disease library 的参考靶点主要来自已知药物与遗传证据，适合回归，不等于发现能力。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最明显的运行缺口是 archive 全部 completed_with_gaps，且组学、扰动、安全三维在 fake/unit 排名中为 0。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下一步应把 Reviewer findings 转成可追踪的 resolved 状态，并让真实工具证据进入六维排名。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发布验收仍需 Python 3.11、live API 和 Reviewer LoRA GPU profile。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附录 A｜复现命令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-m pytest -q --junitxml=reports/full_benchmark_20260808/raw/pytest.xml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benchmark/runner.py --goldset benchmark/goldset_v2.jsonl --out reports/full_benchmark_20260808/raw/main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benchmark/generate_disease_goldset.py --check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benchmark/runner.py --goldset benchmark/goldset_diseases.jsonl --out reports/full_benchmark_20260808/raw/diseases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benchmark/generate_context_relation_goldset.py --check</w:t>
      </w:r>
    </w:p>
    <w:p>
      <w:pPr>
        <w:spacing w:after="60"/>
      </w:pPr>
      <w:r>
        <w:rPr>
          <w:rFonts w:ascii="Consolas" w:hAnsi="Consolas" w:eastAsia="Consolas"/>
          <w:color w:val="172033"/>
          <w:sz w:val="17"/>
        </w:rPr>
        <w:t>python reports/full_benchmark_20260808/build_full_report.py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</w:rPr>
        <w:t>附录 B｜数据来源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benchmark/goldset_v2.jsonl 与 benchmark/rubric.md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benchmark/goldset_diseases.jsonl 与 configs/disease_library.yaml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benchmark/goldset_context_relations.jsonl 与 schemas/context_relation_case.schema.json</w:t>
      </w:r>
    </w:p>
    <w:p>
      <w:pPr>
        <w:pStyle w:val="ListBullet"/>
        <w:spacing w:after="160" w:line="280" w:lineRule="auto"/>
      </w:pPr>
      <w:r>
        <w:rPr>
          <w:rFonts w:ascii="Microsoft YaHei" w:hAnsi="Microsoft YaHei" w:eastAsia="Microsoft YaHei"/>
          <w:color w:val="172033"/>
          <w:sz w:val="22"/>
        </w:rPr>
        <w:t>reports/full_benchmark_20260808/raw/*（本次执行原始报告与 JUnit XML）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B6573"/>
        <w:sz w:val="18"/>
      </w:rPr>
      <w:t>2026-08-08 · Local reproducible run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5B6573"/>
        <w:sz w:val="18"/>
      </w:rPr>
      <w:t>TARGET · PROJECT PANORAMA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 项目全景与完整评测报告</dc:title>
  <dc:subject>Architecture, data assets, workflow artifacts, alignment, biology snapshots, and benchmarks</dc:subject>
  <dc:creator>Target team</dc:creator>
  <cp:keywords/>
  <dc:description>Generated from committed project assets and stored fake/unit runs; no live biological claims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