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B8912F"/>
          <w:sz w:val="30"/>
          <w:szCs w:val="30"/>
        </w:rPr>
        <w:t xml:space="preserve">FIRSTMAINT</w:t>
      </w:r>
    </w:p>
    <w:p>
      <w:pPr>
        <w:spacing w:before="100"/>
        <w:jc w:val="center"/>
      </w:pPr>
      <w:r>
        <w:rPr>
          <w:b/>
          <w:bCs/>
          <w:color w:val="0E3B2E"/>
          <w:sz w:val="42"/>
          <w:szCs w:val="42"/>
        </w:rPr>
        <w:t xml:space="preserve">GUIDE UTILISATEUR</w:t>
      </w:r>
    </w:p>
    <w:p>
      <w:pPr>
        <w:spacing w:before="150"/>
        <w:jc w:val="center"/>
      </w:pPr>
      <w:r>
        <w:rPr>
          <w:i/>
          <w:iCs/>
          <w:color w:val="6B7268"/>
          <w:sz w:val="22"/>
          <w:szCs w:val="22"/>
        </w:rPr>
        <w:t xml:space="preserve">Gestion de la Maintenance Assistée par Ordinateur</w:t>
      </w:r>
    </w:p>
    <w:p>
      <w:pPr>
        <w:pBdr>
          <w:bottom w:val="single" w:color="8B1E1E" w:sz="8" w:space="8"/>
        </w:pBdr>
        <w:spacing w:before="40"/>
        <w:jc w:val="center"/>
      </w:pPr>
      <w:r>
        <w:rPr>
          <w:sz w:val="4"/>
          <w:szCs w:val="4"/>
        </w:rPr>
        <w:t xml:space="preserve"> </w:t>
      </w:r>
    </w:p>
    <w:p>
      <w:pPr>
        <w:spacing w:before="700"/>
      </w:pPr>
    </w:p>
    <w:p>
      <w:pPr>
        <w:spacing w:before="60"/>
        <w:jc w:val="center"/>
      </w:pPr>
      <w:r>
        <w:rPr>
          <w:color w:val="1B211D"/>
          <w:sz w:val="21"/>
          <w:szCs w:val="21"/>
        </w:rPr>
        <w:t xml:space="preserve">Afriland First Bank — Direction des Moyens Généraux</w:t>
      </w:r>
    </w:p>
    <w:p>
      <w:pPr>
        <w:spacing w:before="60"/>
        <w:jc w:val="center"/>
      </w:pPr>
      <w:r>
        <w:rPr>
          <w:color w:val="1B211D"/>
          <w:sz w:val="21"/>
          <w:szCs w:val="21"/>
        </w:rPr>
        <w:t xml:space="preserve">Version 1.0  |  Août 2026</w:t>
      </w:r>
    </w:p>
    <w:p>
      <w:pPr>
        <w:sectPr>
          <w:pgSz w:w="11906" w:h="16838" w:orient="portrait"/>
          <w:pgMar w:top="1440" w:right="1440" w:bottom="1440" w:left="1440" w:header="708" w:footer="708" w:gutter="0"/>
          <w:pgNumType/>
          <w:docGrid w:linePitch="360"/>
        </w:sectPr>
      </w:pPr>
    </w:p>
    <w:p>
      <w:pPr>
        <w:pStyle w:val="Heading1"/>
        <w:pBdr>
          <w:bottom w:val="single" w:color="8B1E1E" w:sz="4" w:space="4"/>
        </w:pBdr>
        <w:spacing w:after="180" w:before="380"/>
      </w:pPr>
      <w:r>
        <w:rPr>
          <w:b/>
          <w:bCs/>
          <w:color w:val="0E3B2E"/>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8B1E1E" w:sz="4" w:space="4"/>
        </w:pBdr>
        <w:spacing w:after="180" w:before="380"/>
      </w:pPr>
      <w:r>
        <w:rPr>
          <w:b/>
          <w:bCs/>
          <w:color w:val="8B1E1E"/>
        </w:rPr>
        <w:t xml:space="preserve">1.  </w:t>
      </w:r>
      <w:r>
        <w:rPr>
          <w:b/>
          <w:bCs/>
          <w:color w:val="0E3B2E"/>
        </w:rPr>
        <w:t xml:space="preserve">Introduction</w:t>
      </w:r>
    </w:p>
    <w:p>
      <w:pPr>
        <w:spacing w:after="140" w:line="300"/>
        <w:jc w:val="both"/>
      </w:pPr>
      <w:r>
        <w:rPr>
          <w:b w:val="false"/>
          <w:bCs w:val="false"/>
          <w:i w:val="false"/>
          <w:iCs w:val="false"/>
          <w:color w:val="1B211D"/>
          <w:sz w:val="22"/>
          <w:szCs w:val="22"/>
        </w:rPr>
        <w:t xml:space="preserve">FirstMaint est l'outil de Gestion de la Maintenance Assistée par Ordinateur (GMAO) d'Afriland First Bank. Il centralise le référentiel du patrimoine immobilier et technique du Groupe (siège, agences, équipements), le suivi des interventions correctives (pannes) et la planification automatique de la maintenance préventive — du siège de Yaoundé à l'ensemble des agences du réseau.</w:t>
      </w:r>
    </w:p>
    <w:p>
      <w:pPr>
        <w:spacing w:after="140" w:line="300"/>
        <w:jc w:val="both"/>
      </w:pPr>
      <w:r>
        <w:rPr>
          <w:b w:val="false"/>
          <w:bCs w:val="false"/>
          <w:i w:val="false"/>
          <w:iCs w:val="false"/>
          <w:color w:val="1B211D"/>
          <w:sz w:val="22"/>
          <w:szCs w:val="22"/>
        </w:rPr>
        <w:t xml:space="preserve">Ce guide s'adresse à tous les utilisateurs de l'application : gestionnaires de la DMG, responsables de site, techniciens et prestataires, ainsi qu'aux directions métier consultant les tableaux de bord. Chaque section peut être lue indépendamment selon votre profil (voir section 4).</w:t>
      </w:r>
    </w:p>
    <w:p>
      <w:pPr>
        <w:pStyle w:val="Heading1"/>
        <w:pBdr>
          <w:bottom w:val="single" w:color="8B1E1E" w:sz="4" w:space="4"/>
        </w:pBdr>
        <w:spacing w:after="180" w:before="380"/>
      </w:pPr>
      <w:r>
        <w:rPr>
          <w:b/>
          <w:bCs/>
          <w:color w:val="8B1E1E"/>
        </w:rPr>
        <w:t xml:space="preserve">2.  </w:t>
      </w:r>
      <w:r>
        <w:rPr>
          <w:b/>
          <w:bCs/>
          <w:color w:val="0E3B2E"/>
        </w:rPr>
        <w:t xml:space="preserve">Se connecter à l'application</w:t>
      </w:r>
    </w:p>
    <w:p>
      <w:pPr>
        <w:spacing w:after="90"/>
      </w:pPr>
      <w:r>
        <w:rPr>
          <w:b/>
          <w:bCs/>
          <w:color w:val="B8912F"/>
          <w:sz w:val="22"/>
          <w:szCs w:val="22"/>
        </w:rPr>
        <w:t xml:space="preserve">1. </w:t>
      </w:r>
      <w:r>
        <w:rPr>
          <w:color w:val="1B211D"/>
          <w:sz w:val="22"/>
          <w:szCs w:val="22"/>
        </w:rPr>
        <w:t xml:space="preserve">Ouvrir le lien de l'application (page d'accueil FirstMaint).</w:t>
      </w:r>
    </w:p>
    <w:p>
      <w:pPr>
        <w:spacing w:after="90"/>
      </w:pPr>
      <w:r>
        <w:rPr>
          <w:b/>
          <w:bCs/>
          <w:color w:val="B8912F"/>
          <w:sz w:val="22"/>
          <w:szCs w:val="22"/>
        </w:rPr>
        <w:t xml:space="preserve">2. </w:t>
      </w:r>
      <w:r>
        <w:rPr>
          <w:color w:val="1B211D"/>
          <w:sz w:val="22"/>
          <w:szCs w:val="22"/>
        </w:rPr>
        <w:t xml:space="preserve">Sur la page d'accueil, cliquer sur « Se connecter ».</w:t>
      </w:r>
    </w:p>
    <w:p>
      <w:pPr>
        <w:spacing w:after="90"/>
      </w:pPr>
      <w:r>
        <w:rPr>
          <w:b/>
          <w:bCs/>
          <w:color w:val="B8912F"/>
          <w:sz w:val="22"/>
          <w:szCs w:val="22"/>
        </w:rPr>
        <w:t xml:space="preserve">3. </w:t>
      </w:r>
      <w:r>
        <w:rPr>
          <w:color w:val="1B211D"/>
          <w:sz w:val="22"/>
          <w:szCs w:val="22"/>
        </w:rPr>
        <w:t xml:space="preserve">S'authentifier avec votre compte professionnel Afriland First Bank.</w:t>
      </w:r>
    </w:p>
    <w:p>
      <w:pPr>
        <w:spacing w:after="90"/>
      </w:pPr>
      <w:r>
        <w:rPr>
          <w:b/>
          <w:bCs/>
          <w:color w:val="B8912F"/>
          <w:sz w:val="22"/>
          <w:szCs w:val="22"/>
        </w:rPr>
        <w:t xml:space="preserve">4. </w:t>
      </w:r>
      <w:r>
        <w:rPr>
          <w:color w:val="1B211D"/>
          <w:sz w:val="22"/>
          <w:szCs w:val="22"/>
        </w:rPr>
        <w:t xml:space="preserve">Choisir votre profil dans la liste proposée (voir section 4 pour le détail de chaque profil).</w:t>
      </w:r>
    </w:p>
    <w:p>
      <w:pPr>
        <w:spacing w:after="90"/>
      </w:pPr>
      <w:r>
        <w:rPr>
          <w:b/>
          <w:bCs/>
          <w:color w:val="B8912F"/>
          <w:sz w:val="22"/>
          <w:szCs w:val="22"/>
        </w:rPr>
        <w:t xml:space="preserve">5. </w:t>
      </w:r>
      <w:r>
        <w:rPr>
          <w:color w:val="1B211D"/>
          <w:sz w:val="22"/>
          <w:szCs w:val="22"/>
        </w:rPr>
        <w:t xml:space="preserve">Vous arrivez sur le Tableau de bord.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B8912F" w:sz="4"/>
              <w:left w:val="single" w:color="B8912F" w:sz="4"/>
              <w:bottom w:val="single" w:color="B8912F" w:sz="4"/>
              <w:right w:val="single" w:color="B8912F" w:sz="4"/>
            </w:tcBorders>
            <w:shd w:fill="F5EDD8" w:val="clear"/>
            <w:tcMar>
              <w:top w:type="dxa" w:w="160"/>
              <w:left w:type="dxa" w:w="200"/>
              <w:bottom w:type="dxa" w:w="160"/>
              <w:right w:type="dxa" w:w="200"/>
            </w:tcMar>
          </w:tcPr>
          <w:p>
            <w:r>
              <w:rPr>
                <w:b w:val="false"/>
                <w:bCs w:val="false"/>
                <w:i/>
                <w:iCs/>
                <w:color w:val="1B211D"/>
                <w:sz w:val="21"/>
                <w:szCs w:val="21"/>
              </w:rPr>
              <w:t xml:space="preserve">En cas de difficulté de connexion (accès refusé, compte non reconnu), contactez votre administrateur applicatif — voir section 16 (Support).</w:t>
            </w:r>
          </w:p>
        </w:tc>
      </w:tr>
    </w:tbl>
    <w:p>
      <w:pPr>
        <w:pStyle w:val="Heading1"/>
        <w:pBdr>
          <w:bottom w:val="single" w:color="8B1E1E" w:sz="4" w:space="4"/>
        </w:pBdr>
        <w:spacing w:after="180" w:before="380"/>
      </w:pPr>
      <w:r>
        <w:rPr>
          <w:b/>
          <w:bCs/>
          <w:color w:val="8B1E1E"/>
        </w:rPr>
        <w:t xml:space="preserve">3.  </w:t>
      </w:r>
      <w:r>
        <w:rPr>
          <w:b/>
          <w:bCs/>
          <w:color w:val="0E3B2E"/>
        </w:rPr>
        <w:t xml:space="preserve">Découvrir l'interface</w:t>
      </w:r>
    </w:p>
    <w:p>
      <w:pPr>
        <w:pStyle w:val="ListParagraph"/>
        <w:numPr>
          <w:ilvl w:val="0"/>
          <w:numId w:val="1"/>
        </w:numPr>
        <w:spacing w:after="90"/>
      </w:pPr>
      <w:r>
        <w:rPr>
          <w:b/>
          <w:bCs/>
          <w:color w:val="0E3B2E"/>
          <w:sz w:val="22"/>
          <w:szCs w:val="22"/>
        </w:rPr>
        <w:t xml:space="preserve">Bandeau supérieur : </w:t>
      </w:r>
      <w:r>
        <w:rPr>
          <w:color w:val="1B211D"/>
          <w:sz w:val="22"/>
          <w:szCs w:val="22"/>
        </w:rPr>
        <w:t xml:space="preserve">logo, accès rapide aux tâches et alertes (avec compteur), aux configurations, et menu du profil connecté (email, déconnexion).</w:t>
      </w:r>
    </w:p>
    <w:p>
      <w:pPr>
        <w:pStyle w:val="ListParagraph"/>
        <w:numPr>
          <w:ilvl w:val="0"/>
          <w:numId w:val="1"/>
        </w:numPr>
        <w:spacing w:after="90"/>
      </w:pPr>
      <w:r>
        <w:rPr>
          <w:b/>
          <w:bCs/>
          <w:color w:val="0E3B2E"/>
          <w:sz w:val="22"/>
          <w:szCs w:val="22"/>
        </w:rPr>
        <w:t xml:space="preserve">Barre latérale (sidebar) : </w:t>
      </w:r>
      <w:r>
        <w:rPr>
          <w:color w:val="1B211D"/>
          <w:sz w:val="22"/>
          <w:szCs w:val="22"/>
        </w:rPr>
        <w:t xml:space="preserve">arborescence des modules regroupés par thème (Installations et actifs, Gestion de la maintenance, Direction financière, etc.). Un champ de recherche en haut permet de filtrer directement les écrans par nom.</w:t>
      </w:r>
    </w:p>
    <w:p>
      <w:pPr>
        <w:pStyle w:val="ListParagraph"/>
        <w:numPr>
          <w:ilvl w:val="0"/>
          <w:numId w:val="1"/>
        </w:numPr>
        <w:spacing w:after="90"/>
      </w:pPr>
      <w:r>
        <w:rPr>
          <w:b/>
          <w:bCs/>
          <w:color w:val="0E3B2E"/>
          <w:sz w:val="22"/>
          <w:szCs w:val="22"/>
        </w:rPr>
        <w:t xml:space="preserve">Zone principale : </w:t>
      </w:r>
      <w:r>
        <w:rPr>
          <w:color w:val="1B211D"/>
          <w:sz w:val="22"/>
          <w:szCs w:val="22"/>
        </w:rPr>
        <w:t xml:space="preserve">contenu de l'écran sélectionné — tableaux de données, formulaires, fiches détail.</w:t>
      </w:r>
    </w:p>
    <w:p>
      <w:pPr>
        <w:spacing w:after="140" w:line="300"/>
        <w:jc w:val="both"/>
      </w:pPr>
      <w:r>
        <w:rPr>
          <w:b w:val="false"/>
          <w:bCs w:val="false"/>
          <w:i/>
          <w:iCs/>
          <w:color w:val="1B211D"/>
          <w:sz w:val="22"/>
          <w:szCs w:val="22"/>
        </w:rPr>
        <w:t xml:space="preserve">Les modules visibles dans la barre latérale dépendent de votre profil de connexion — certains écrans ne sont accessibles qu'aux gestionnaires DMG ou aux responsables de site.</w:t>
      </w:r>
    </w:p>
    <w:p>
      <w:pPr>
        <w:pStyle w:val="Heading1"/>
        <w:pBdr>
          <w:bottom w:val="single" w:color="8B1E1E" w:sz="4" w:space="4"/>
        </w:pBdr>
        <w:spacing w:after="180" w:before="380"/>
      </w:pPr>
      <w:r>
        <w:rPr>
          <w:b/>
          <w:bCs/>
          <w:color w:val="8B1E1E"/>
        </w:rPr>
        <w:t xml:space="preserve">4.  </w:t>
      </w:r>
      <w:r>
        <w:rPr>
          <w:b/>
          <w:bCs/>
          <w:color w:val="0E3B2E"/>
        </w:rPr>
        <w:t xml:space="preserve">Les profils utilisateurs</w:t>
      </w:r>
    </w:p>
    <w:p>
      <w:pPr>
        <w:spacing w:after="140" w:line="300"/>
        <w:jc w:val="both"/>
      </w:pPr>
      <w:r>
        <w:rPr>
          <w:b w:val="false"/>
          <w:bCs w:val="false"/>
          <w:i w:val="false"/>
          <w:iCs w:val="false"/>
          <w:color w:val="1B211D"/>
          <w:sz w:val="22"/>
          <w:szCs w:val="22"/>
        </w:rPr>
        <w:t xml:space="preserve">Le profil choisi à la connexion détermine les modules accessibles et, pour le Responsable de site, restreint la vue aux données de son propre site (sécurité par ligne).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000"/>
      </w:tblGrid>
      <w:tr>
        <w:trPr>
          <w:tblHeader/>
        </w:trPr>
        <w:tc>
          <w:tcPr>
            <w:tcW w:type="dxa" w:w="2000"/>
            <w:shd w:fill="0E3B2E" w:color="auto" w:val="clear"/>
            <w:tcMar>
              <w:top w:type="dxa" w:w="110"/>
              <w:left w:type="dxa" w:w="120"/>
              <w:bottom w:type="dxa" w:w="110"/>
              <w:right w:type="dxa" w:w="120"/>
            </w:tcMar>
            <w:vAlign w:val="center"/>
          </w:tcPr>
          <w:p>
            <w:r>
              <w:rPr>
                <w:b/>
                <w:bCs/>
                <w:color w:val="FFFFFF"/>
                <w:sz w:val="19"/>
                <w:szCs w:val="19"/>
              </w:rPr>
              <w:t xml:space="preserve">Profil</w:t>
            </w:r>
          </w:p>
        </w:tc>
        <w:tc>
          <w:tcPr>
            <w:tcW w:type="dxa" w:w="3400"/>
            <w:shd w:fill="0E3B2E" w:color="auto" w:val="clear"/>
            <w:tcMar>
              <w:top w:type="dxa" w:w="110"/>
              <w:left w:type="dxa" w:w="120"/>
              <w:bottom w:type="dxa" w:w="110"/>
              <w:right w:type="dxa" w:w="120"/>
            </w:tcMar>
            <w:vAlign w:val="center"/>
          </w:tcPr>
          <w:p>
            <w:r>
              <w:rPr>
                <w:b/>
                <w:bCs/>
                <w:color w:val="FFFFFF"/>
                <w:sz w:val="19"/>
                <w:szCs w:val="19"/>
              </w:rPr>
              <w:t xml:space="preserve">Rôle</w:t>
            </w:r>
          </w:p>
        </w:tc>
        <w:tc>
          <w:tcPr>
            <w:tcW w:type="dxa" w:w="4000"/>
            <w:shd w:fill="0E3B2E" w:color="auto" w:val="clear"/>
            <w:tcMar>
              <w:top w:type="dxa" w:w="110"/>
              <w:left w:type="dxa" w:w="120"/>
              <w:bottom w:type="dxa" w:w="110"/>
              <w:right w:type="dxa" w:w="120"/>
            </w:tcMar>
            <w:vAlign w:val="center"/>
          </w:tcPr>
          <w:p>
            <w:r>
              <w:rPr>
                <w:b/>
                <w:bCs/>
                <w:color w:val="FFFFFF"/>
                <w:sz w:val="19"/>
                <w:szCs w:val="19"/>
              </w:rPr>
              <w:t xml:space="preserve">Accès principal</w:t>
            </w:r>
          </w:p>
        </w:tc>
      </w:tr>
      <w:tr>
        <w:tc>
          <w:tcPr>
            <w:tcW w:type="dxa" w:w="2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Gestionnaire DMG</w:t>
            </w:r>
          </w:p>
        </w:tc>
        <w:tc>
          <w:tcPr>
            <w:tcW w:type="dxa" w:w="34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Créateur et propriétaire des fiches actif, dispatch des interventions.</w:t>
            </w:r>
          </w:p>
        </w:tc>
        <w:tc>
          <w:tcPr>
            <w:tcW w:type="dxa" w:w="4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Accès complet à tous les modules.</w:t>
            </w:r>
          </w:p>
        </w:tc>
      </w:tr>
      <w:tr>
        <w:tc>
          <w:tcPr>
            <w:tcW w:type="dxa" w:w="2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Responsable de site</w:t>
            </w:r>
          </w:p>
        </w:tc>
        <w:tc>
          <w:tcPr>
            <w:tcW w:type="dxa" w:w="34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Fournit les informations terrain, valide la clôture des interventions sur son site.</w:t>
            </w:r>
          </w:p>
        </w:tc>
        <w:tc>
          <w:tcPr>
            <w:tcW w:type="dxa" w:w="4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Tableau de bord, Actifs, Emplacements, Ordres de travail, Tickets, Maintenance préventive, Clés &amp; Accès, Pièces de rechange, Énergie — filtré à son site.</w:t>
            </w:r>
          </w:p>
        </w:tc>
      </w:tr>
      <w:tr>
        <w:tc>
          <w:tcPr>
            <w:tcW w:type="dxa" w:w="2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Technicien / Prestataire</w:t>
            </w:r>
          </w:p>
        </w:tc>
        <w:tc>
          <w:tcPr>
            <w:tcW w:type="dxa" w:w="34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Accuse réception, diagnostique, intervient, saisit les comptes-rendus.</w:t>
            </w:r>
          </w:p>
        </w:tc>
        <w:tc>
          <w:tcPr>
            <w:tcW w:type="dxa" w:w="4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Tableau de bord, Ordres de travail, Tickets, Pièces de rechange.</w:t>
            </w:r>
          </w:p>
        </w:tc>
      </w:tr>
      <w:tr>
        <w:tc>
          <w:tcPr>
            <w:tcW w:type="dxa" w:w="2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Responsable DMG</w:t>
            </w:r>
          </w:p>
        </w:tc>
        <w:tc>
          <w:tcPr>
            <w:tcW w:type="dxa" w:w="34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Pilotage, validations critiques, suivi budgétaire et contractuel.</w:t>
            </w:r>
          </w:p>
        </w:tc>
        <w:tc>
          <w:tcPr>
            <w:tcW w:type="dxa" w:w="4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Tableau de bord, Tableau de bord Afriland, Actifs, Emplacements, Fournisseurs, Évaluations prestataires, Projets immobiliers, Tâches &amp; Alertes, Énergie.</w:t>
            </w:r>
          </w:p>
        </w:tc>
      </w:tr>
      <w:tr>
        <w:tc>
          <w:tcPr>
            <w:tcW w:type="dxa" w:w="2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Opérateur DMG</w:t>
            </w:r>
          </w:p>
        </w:tc>
        <w:tc>
          <w:tcPr>
            <w:tcW w:type="dxa" w:w="34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Saisie déportée des comptes-rendus prestataires (postes sans accès direct).</w:t>
            </w:r>
          </w:p>
        </w:tc>
        <w:tc>
          <w:tcPr>
            <w:tcW w:type="dxa" w:w="4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Tableau de bord, Ordres de travail, Maintenance préventive, Tickets.</w:t>
            </w:r>
          </w:p>
        </w:tc>
      </w:tr>
    </w:tbl>
    <w:p>
      <w:pPr>
        <w:pStyle w:val="Heading1"/>
        <w:pBdr>
          <w:bottom w:val="single" w:color="8B1E1E" w:sz="4" w:space="4"/>
        </w:pBdr>
        <w:spacing w:after="180" w:before="380"/>
      </w:pPr>
      <w:r>
        <w:rPr>
          <w:b/>
          <w:bCs/>
          <w:color w:val="8B1E1E"/>
        </w:rPr>
        <w:t xml:space="preserve">5.  </w:t>
      </w:r>
      <w:r>
        <w:rPr>
          <w:b/>
          <w:bCs/>
          <w:color w:val="0E3B2E"/>
        </w:rPr>
        <w:t xml:space="preserve">Tableau de bord</w:t>
      </w:r>
    </w:p>
    <w:p>
      <w:pPr>
        <w:spacing w:after="140" w:line="300"/>
        <w:jc w:val="both"/>
      </w:pPr>
      <w:r>
        <w:rPr>
          <w:b w:val="false"/>
          <w:bCs w:val="false"/>
          <w:i w:val="false"/>
          <w:iCs w:val="false"/>
          <w:color w:val="1B211D"/>
          <w:sz w:val="22"/>
          <w:szCs w:val="22"/>
        </w:rPr>
        <w:t xml:space="preserve">Vue d'ensemble consolidée : liste des ordres de travail les plus récents (titre, actif concerné et sa localisation, priorité, technicien, statut). Boutons d'export CSV et d'impression/PDF disponibles en haut de l'écran pour un reporting rapide.</w:t>
      </w:r>
    </w:p>
    <w:p>
      <w:pPr>
        <w:pStyle w:val="Heading1"/>
        <w:pBdr>
          <w:bottom w:val="single" w:color="8B1E1E" w:sz="4" w:space="4"/>
        </w:pBdr>
        <w:spacing w:after="180" w:before="380"/>
      </w:pPr>
      <w:r>
        <w:rPr>
          <w:b/>
          <w:bCs/>
          <w:color w:val="8B1E1E"/>
        </w:rPr>
        <w:t xml:space="preserve">6.  </w:t>
      </w:r>
      <w:r>
        <w:rPr>
          <w:b/>
          <w:bCs/>
          <w:color w:val="0E3B2E"/>
        </w:rPr>
        <w:t xml:space="preserve">Installations et actifs</w:t>
      </w:r>
    </w:p>
    <w:p>
      <w:pPr>
        <w:pStyle w:val="Heading2"/>
        <w:spacing w:after="120" w:before="260"/>
      </w:pPr>
      <w:r>
        <w:rPr>
          <w:b/>
          <w:bCs/>
          <w:color w:val="B8912F"/>
        </w:rPr>
        <w:t xml:space="preserve">6.1 </w:t>
      </w:r>
      <w:r>
        <w:rPr>
          <w:b/>
          <w:bCs/>
          <w:color w:val="0E3B2E"/>
        </w:rPr>
        <w:t xml:space="preserve">Actifs</w:t>
      </w:r>
    </w:p>
    <w:p>
      <w:pPr>
        <w:spacing w:after="140" w:line="300"/>
        <w:jc w:val="both"/>
      </w:pPr>
      <w:r>
        <w:rPr>
          <w:b w:val="false"/>
          <w:bCs w:val="false"/>
          <w:i w:val="false"/>
          <w:iCs w:val="false"/>
          <w:color w:val="1B211D"/>
          <w:sz w:val="22"/>
          <w:szCs w:val="22"/>
        </w:rPr>
        <w:t xml:space="preserve">Le référentiel unique du patrimoine (US-01) — aucune intervention ne peut exister sans que l'équipement concerné y soit enregistré.</w:t>
      </w:r>
    </w:p>
    <w:p>
      <w:pPr>
        <w:pStyle w:val="Heading3"/>
        <w:spacing w:after="100" w:before="200"/>
      </w:pPr>
      <w:r>
        <w:rPr>
          <w:b/>
          <w:bCs/>
          <w:i/>
          <w:iCs/>
          <w:color w:val="B8912F"/>
        </w:rPr>
        <w:t xml:space="preserve">Cycle de vie d'une fiche actif</w:t>
      </w:r>
    </w:p>
    <w:p>
      <w:pPr>
        <w:spacing w:after="200"/>
        <w:jc w:val="center"/>
      </w:pPr>
      <w:r>
        <w:rPr>
          <w:b/>
          <w:bCs/>
          <w:color w:val="B8912F"/>
          <w:sz w:val="24"/>
          <w:szCs w:val="24"/>
        </w:rPr>
        <w:t xml:space="preserve">En saisie  →  Actif  →  En retrait  →  Retiré</w:t>
      </w:r>
    </w:p>
    <w:p>
      <w:pPr>
        <w:pStyle w:val="ListParagraph"/>
        <w:numPr>
          <w:ilvl w:val="0"/>
          <w:numId w:val="1"/>
        </w:numPr>
        <w:spacing w:after="90"/>
      </w:pPr>
      <w:r>
        <w:rPr>
          <w:b/>
          <w:bCs/>
          <w:color w:val="0E3B2E"/>
          <w:sz w:val="22"/>
          <w:szCs w:val="22"/>
        </w:rPr>
        <w:t xml:space="preserve">Créer un actif : </w:t>
      </w:r>
      <w:r>
        <w:rPr>
          <w:color w:val="1B211D"/>
          <w:sz w:val="22"/>
          <w:szCs w:val="22"/>
        </w:rPr>
        <w:t xml:space="preserve">nom, numéro de série, emplacement, catégorie, criticité, dates d'acquisition et de fin de garantie, valeur. Un code inventaire est généré automatiquement par le système (jamais saisi à la main).</w:t>
      </w:r>
    </w:p>
    <w:p>
      <w:pPr>
        <w:pStyle w:val="ListParagraph"/>
        <w:numPr>
          <w:ilvl w:val="0"/>
          <w:numId w:val="1"/>
        </w:numPr>
        <w:spacing w:after="90"/>
      </w:pPr>
      <w:r>
        <w:rPr>
          <w:b/>
          <w:bCs/>
          <w:color w:val="0E3B2E"/>
          <w:sz w:val="22"/>
          <w:szCs w:val="22"/>
        </w:rPr>
        <w:t xml:space="preserve">Activer un actif : </w:t>
      </w:r>
      <w:r>
        <w:rPr>
          <w:color w:val="1B211D"/>
          <w:sz w:val="22"/>
          <w:szCs w:val="22"/>
        </w:rPr>
        <w:t xml:space="preserve">fait passer la fiche de « En saisie » à « Actif ». Pour un actif de criticité Critique sans contrat ni plan préventif rattaché, une alerte (non bloquante) est générée pour inviter à régulariser.</w:t>
      </w:r>
    </w:p>
    <w:p>
      <w:pPr>
        <w:pStyle w:val="ListParagraph"/>
        <w:numPr>
          <w:ilvl w:val="0"/>
          <w:numId w:val="1"/>
        </w:numPr>
        <w:spacing w:after="90"/>
      </w:pPr>
      <w:r>
        <w:rPr>
          <w:b/>
          <w:bCs/>
          <w:color w:val="0E3B2E"/>
          <w:sz w:val="22"/>
          <w:szCs w:val="22"/>
        </w:rPr>
        <w:t xml:space="preserve">Modifier un actif : </w:t>
      </w:r>
      <w:r>
        <w:rPr>
          <w:color w:val="1B211D"/>
          <w:sz w:val="22"/>
          <w:szCs w:val="22"/>
        </w:rPr>
        <w:t xml:space="preserve">les changements courants sont appliqués et tracés immédiatement ; les changements critiques (criticité, statut de cycle de vie, valeur d'acquisition) demandent la validation du Responsable DMG avant application.</w:t>
      </w:r>
    </w:p>
    <w:p>
      <w:pPr>
        <w:pStyle w:val="ListParagraph"/>
        <w:numPr>
          <w:ilvl w:val="0"/>
          <w:numId w:val="1"/>
        </w:numPr>
        <w:spacing w:after="90"/>
      </w:pPr>
      <w:r>
        <w:rPr>
          <w:b/>
          <w:bCs/>
          <w:color w:val="0E3B2E"/>
          <w:sz w:val="22"/>
          <w:szCs w:val="22"/>
        </w:rPr>
        <w:t xml:space="preserve">Retirer un actif : </w:t>
      </w:r>
      <w:r>
        <w:rPr>
          <w:color w:val="1B211D"/>
          <w:sz w:val="22"/>
          <w:szCs w:val="22"/>
        </w:rPr>
        <w:t xml:space="preserve">le retrait clôture automatiquement les ordres de travail encore ouverts et suspend les échéances de maintenance préventive associées.</w:t>
      </w:r>
    </w:p>
    <w:p>
      <w:pPr>
        <w:pStyle w:val="ListParagraph"/>
        <w:numPr>
          <w:ilvl w:val="0"/>
          <w:numId w:val="1"/>
        </w:numPr>
        <w:spacing w:after="90"/>
      </w:pPr>
      <w:r>
        <w:rPr>
          <w:b/>
          <w:bCs/>
          <w:color w:val="0E3B2E"/>
          <w:sz w:val="22"/>
          <w:szCs w:val="22"/>
        </w:rPr>
        <w:t xml:space="preserve">Fiche détail d'un actif : </w:t>
      </w:r>
      <w:r>
        <w:rPr>
          <w:color w:val="1B211D"/>
          <w:sz w:val="22"/>
          <w:szCs w:val="22"/>
        </w:rPr>
        <w:t xml:space="preserve">historique complet des interventions, documents joints, demandes de modification, journal d'audit.</w:t>
      </w:r>
    </w:p>
    <w:p>
      <w:pPr>
        <w:pStyle w:val="ListParagraph"/>
        <w:numPr>
          <w:ilvl w:val="0"/>
          <w:numId w:val="1"/>
        </w:numPr>
        <w:spacing w:after="90"/>
      </w:pPr>
      <w:r>
        <w:rPr>
          <w:b/>
          <w:bCs/>
          <w:color w:val="0E3B2E"/>
          <w:sz w:val="22"/>
          <w:szCs w:val="22"/>
        </w:rPr>
        <w:t xml:space="preserve">Import en masse (CSV) : </w:t>
      </w:r>
      <w:r>
        <w:rPr>
          <w:color w:val="1B211D"/>
          <w:sz w:val="22"/>
          <w:szCs w:val="22"/>
        </w:rPr>
        <w:t xml:space="preserve">pour l'inventaire initial ou des alimentations ultérieures — un journal détaille les lignes créées et rejetées avec leur motif.</w:t>
      </w:r>
    </w:p>
    <w:p>
      <w:pPr>
        <w:pStyle w:val="Heading2"/>
        <w:spacing w:after="120" w:before="260"/>
      </w:pPr>
      <w:r>
        <w:rPr>
          <w:b/>
          <w:bCs/>
          <w:color w:val="B8912F"/>
        </w:rPr>
        <w:t xml:space="preserve">6.2 </w:t>
      </w:r>
      <w:r>
        <w:rPr>
          <w:b/>
          <w:bCs/>
          <w:color w:val="0E3B2E"/>
        </w:rPr>
        <w:t xml:space="preserve">Emplacements</w:t>
      </w:r>
    </w:p>
    <w:p>
      <w:pPr>
        <w:pStyle w:val="ListParagraph"/>
        <w:numPr>
          <w:ilvl w:val="0"/>
          <w:numId w:val="1"/>
        </w:numPr>
        <w:spacing w:after="90"/>
      </w:pPr>
      <w:r>
        <w:rPr>
          <w:b/>
          <w:bCs/>
          <w:color w:val="0E3B2E"/>
          <w:sz w:val="22"/>
          <w:szCs w:val="22"/>
        </w:rPr>
        <w:t xml:space="preserve">Hiérarchie des sites : </w:t>
      </w:r>
      <w:r>
        <w:rPr>
          <w:color w:val="1B211D"/>
          <w:sz w:val="22"/>
          <w:szCs w:val="22"/>
        </w:rPr>
        <w:t xml:space="preserve">Siège &gt; Agences &gt; Étages &gt; Salles, consultable sous forme d'arbre dépliable.</w:t>
      </w:r>
    </w:p>
    <w:p>
      <w:pPr>
        <w:pStyle w:val="ListParagraph"/>
        <w:numPr>
          <w:ilvl w:val="0"/>
          <w:numId w:val="1"/>
        </w:numPr>
        <w:spacing w:after="90"/>
      </w:pPr>
      <w:r>
        <w:rPr>
          <w:color w:val="1B211D"/>
          <w:sz w:val="22"/>
          <w:szCs w:val="22"/>
        </w:rPr>
        <w:t xml:space="preserve">Chaque emplacement possède un type (Siège, Agence, Bâtiment, Étage, Salle, Local) et un emplacement parent optionnel.</w:t>
      </w:r>
    </w:p>
    <w:p>
      <w:pPr>
        <w:pStyle w:val="ListParagraph"/>
        <w:numPr>
          <w:ilvl w:val="0"/>
          <w:numId w:val="1"/>
        </w:numPr>
        <w:spacing w:after="90"/>
      </w:pPr>
      <w:r>
        <w:rPr>
          <w:color w:val="1B211D"/>
          <w:sz w:val="22"/>
          <w:szCs w:val="22"/>
        </w:rPr>
        <w:t xml:space="preserve">L'arbre affiche le nombre d'actifs rattachés à chaque nœud, et permet de les consulter directement en le dépliant.</w:t>
      </w:r>
    </w:p>
    <w:p>
      <w:pPr>
        <w:pStyle w:val="ListParagraph"/>
        <w:numPr>
          <w:ilvl w:val="0"/>
          <w:numId w:val="1"/>
        </w:numPr>
        <w:spacing w:after="90"/>
      </w:pPr>
      <w:r>
        <w:rPr>
          <w:b/>
          <w:bCs/>
          <w:color w:val="0E3B2E"/>
          <w:sz w:val="22"/>
          <w:szCs w:val="22"/>
        </w:rPr>
        <w:t xml:space="preserve">Créer un nouvel emplacement : </w:t>
      </w:r>
      <w:r>
        <w:rPr>
          <w:color w:val="1B211D"/>
          <w:sz w:val="22"/>
          <w:szCs w:val="22"/>
        </w:rPr>
        <w:t xml:space="preserve">nom, type, rattachement à un emplacement parent existant.</w:t>
      </w:r>
    </w:p>
    <w:p>
      <w:pPr>
        <w:pStyle w:val="Heading1"/>
        <w:pBdr>
          <w:bottom w:val="single" w:color="8B1E1E" w:sz="4" w:space="4"/>
        </w:pBdr>
        <w:spacing w:after="180" w:before="380"/>
      </w:pPr>
      <w:r>
        <w:rPr>
          <w:b/>
          <w:bCs/>
          <w:color w:val="8B1E1E"/>
        </w:rPr>
        <w:t xml:space="preserve">7.  </w:t>
      </w:r>
      <w:r>
        <w:rPr>
          <w:b/>
          <w:bCs/>
          <w:color w:val="0E3B2E"/>
        </w:rPr>
        <w:t xml:space="preserve">Archives de base — Catégories d'actifs</w:t>
      </w:r>
    </w:p>
    <w:p>
      <w:pPr>
        <w:spacing w:after="140" w:line="300"/>
        <w:jc w:val="both"/>
      </w:pPr>
      <w:r>
        <w:rPr>
          <w:b w:val="false"/>
          <w:bCs w:val="false"/>
          <w:i w:val="false"/>
          <w:iCs w:val="false"/>
          <w:color w:val="1B211D"/>
          <w:sz w:val="22"/>
          <w:szCs w:val="22"/>
        </w:rPr>
        <w:t xml:space="preserve">Chaque famille d'équipement (Informatique, Climatisation, Groupe électrogène, Sécurité…) porte des valeurs par défaut héritées automatiquement à la création d'un actif : criticité par défaut, fréquence préventive suggérée, prestataire habituel, mode opératoire type. Une fiche actif peut toujours surcharger ces valeurs au cas par cas.</w:t>
      </w:r>
    </w:p>
    <w:p>
      <w:pPr>
        <w:pStyle w:val="Heading1"/>
        <w:pBdr>
          <w:bottom w:val="single" w:color="8B1E1E" w:sz="4" w:space="4"/>
        </w:pBdr>
        <w:spacing w:after="180" w:before="380"/>
      </w:pPr>
      <w:r>
        <w:rPr>
          <w:b/>
          <w:bCs/>
          <w:color w:val="8B1E1E"/>
        </w:rPr>
        <w:t xml:space="preserve">8.  </w:t>
      </w:r>
      <w:r>
        <w:rPr>
          <w:b/>
          <w:bCs/>
          <w:color w:val="0E3B2E"/>
        </w:rPr>
        <w:t xml:space="preserve">Gestion de la maintenance</w:t>
      </w:r>
    </w:p>
    <w:p>
      <w:pPr>
        <w:pStyle w:val="Heading2"/>
        <w:spacing w:after="120" w:before="260"/>
      </w:pPr>
      <w:r>
        <w:rPr>
          <w:b/>
          <w:bCs/>
          <w:color w:val="B8912F"/>
        </w:rPr>
        <w:t xml:space="preserve">8.1 </w:t>
      </w:r>
      <w:r>
        <w:rPr>
          <w:b/>
          <w:bCs/>
          <w:color w:val="0E3B2E"/>
        </w:rPr>
        <w:t xml:space="preserve">Ordres de travail</w:t>
      </w:r>
    </w:p>
    <w:p>
      <w:pPr>
        <w:spacing w:after="140" w:line="300"/>
        <w:jc w:val="both"/>
      </w:pPr>
      <w:r>
        <w:rPr>
          <w:b w:val="false"/>
          <w:bCs w:val="false"/>
          <w:i w:val="false"/>
          <w:iCs w:val="false"/>
          <w:color w:val="1B211D"/>
          <w:sz w:val="22"/>
          <w:szCs w:val="22"/>
        </w:rPr>
        <w:t xml:space="preserve">Suivi des interventions correctives et préventives (US-02) — machine à 9 états.</w:t>
      </w:r>
    </w:p>
    <w:p>
      <w:pPr>
        <w:spacing w:after="60"/>
        <w:jc w:val="center"/>
      </w:pPr>
      <w:r>
        <w:rPr>
          <w:b/>
          <w:bCs/>
          <w:color w:val="B8912F"/>
          <w:sz w:val="21"/>
          <w:szCs w:val="21"/>
        </w:rPr>
        <w:t xml:space="preserve">Nouveau → En qualification → Affecté → En cours → [En attente de pièce | En escalade] → Résolu → Clôturé</w:t>
      </w:r>
    </w:p>
    <w:p>
      <w:pPr>
        <w:spacing w:after="200"/>
        <w:jc w:val="center"/>
      </w:pPr>
      <w:r>
        <w:rPr>
          <w:i/>
          <w:iCs/>
          <w:color w:val="6B7268"/>
          <w:sz w:val="18"/>
          <w:szCs w:val="18"/>
        </w:rPr>
        <w:t xml:space="preserve">(sortie possible en « Rejeté » dès la qualification, ou refus à chaque étape ramenant à un état antérieur)</w:t>
      </w:r>
    </w:p>
    <w:p>
      <w:pPr>
        <w:pStyle w:val="Heading3"/>
        <w:spacing w:after="100" w:before="200"/>
      </w:pPr>
      <w:r>
        <w:rPr>
          <w:b/>
          <w:bCs/>
          <w:i/>
          <w:iCs/>
          <w:color w:val="B8912F"/>
        </w:rPr>
        <w:t xml:space="preserve">Traitement d'une panne, étape par étape</w:t>
      </w:r>
    </w:p>
    <w:p>
      <w:pPr>
        <w:pStyle w:val="ListParagraph"/>
        <w:numPr>
          <w:ilvl w:val="0"/>
          <w:numId w:val="1"/>
        </w:numPr>
        <w:spacing w:after="90"/>
      </w:pPr>
      <w:r>
        <w:rPr>
          <w:b/>
          <w:bCs/>
          <w:color w:val="0E3B2E"/>
          <w:sz w:val="22"/>
          <w:szCs w:val="22"/>
        </w:rPr>
        <w:t xml:space="preserve">Qualification : </w:t>
      </w:r>
      <w:r>
        <w:rPr>
          <w:color w:val="1B211D"/>
          <w:sz w:val="22"/>
          <w:szCs w:val="22"/>
        </w:rPr>
        <w:t xml:space="preserve">le Gestionnaire DMG confirme ou ajuste la priorité, vérifie le contrat de maintenance rattaché à l'équipement, et affecte un prestataire ou technicien (proposé par défaut selon la catégorie de l'actif, modifiable).</w:t>
      </w:r>
    </w:p>
    <w:p>
      <w:pPr>
        <w:pStyle w:val="ListParagraph"/>
        <w:numPr>
          <w:ilvl w:val="0"/>
          <w:numId w:val="1"/>
        </w:numPr>
        <w:spacing w:after="90"/>
      </w:pPr>
      <w:r>
        <w:rPr>
          <w:b/>
          <w:bCs/>
          <w:color w:val="0E3B2E"/>
          <w:sz w:val="22"/>
          <w:szCs w:val="22"/>
        </w:rPr>
        <w:t xml:space="preserve">Accusé de réception : </w:t>
      </w:r>
      <w:r>
        <w:rPr>
          <w:color w:val="1B211D"/>
          <w:sz w:val="22"/>
          <w:szCs w:val="22"/>
        </w:rPr>
        <w:t xml:space="preserve">le technicien/prestataire accepte la prise en charge ou refuse (motif obligatoire) — un refus renvoie l'OT à l'état Nouveau pour ré-affectation.</w:t>
      </w:r>
    </w:p>
    <w:p>
      <w:pPr>
        <w:pStyle w:val="ListParagraph"/>
        <w:numPr>
          <w:ilvl w:val="0"/>
          <w:numId w:val="1"/>
        </w:numPr>
        <w:spacing w:after="90"/>
      </w:pPr>
      <w:r>
        <w:rPr>
          <w:b/>
          <w:bCs/>
          <w:color w:val="0E3B2E"/>
          <w:sz w:val="22"/>
          <w:szCs w:val="22"/>
        </w:rPr>
        <w:t xml:space="preserve">Intervention : </w:t>
      </w:r>
      <w:r>
        <w:rPr>
          <w:color w:val="1B211D"/>
          <w:sz w:val="22"/>
          <w:szCs w:val="22"/>
        </w:rPr>
        <w:t xml:space="preserve">passage en attente de pièce si nécessaire ; le temps d'intervention est chronométré automatiquement.</w:t>
      </w:r>
    </w:p>
    <w:p>
      <w:pPr>
        <w:pStyle w:val="ListParagraph"/>
        <w:numPr>
          <w:ilvl w:val="0"/>
          <w:numId w:val="1"/>
        </w:numPr>
        <w:spacing w:after="90"/>
      </w:pPr>
      <w:r>
        <w:rPr>
          <w:b/>
          <w:bCs/>
          <w:color w:val="0E3B2E"/>
          <w:sz w:val="22"/>
          <w:szCs w:val="22"/>
        </w:rPr>
        <w:t xml:space="preserve">Résolution : </w:t>
      </w:r>
      <w:r>
        <w:rPr>
          <w:color w:val="1B211D"/>
          <w:sz w:val="22"/>
          <w:szCs w:val="22"/>
        </w:rPr>
        <w:t xml:space="preserve">compte-rendu structuré obligatoire (actions réalisées, pièces utilisées, durée, coût réel) — aucune clôture n'est possible sans ce compte-rendu.</w:t>
      </w:r>
    </w:p>
    <w:p>
      <w:pPr>
        <w:pStyle w:val="ListParagraph"/>
        <w:numPr>
          <w:ilvl w:val="0"/>
          <w:numId w:val="1"/>
        </w:numPr>
        <w:spacing w:after="90"/>
      </w:pPr>
      <w:r>
        <w:rPr>
          <w:b/>
          <w:bCs/>
          <w:color w:val="0E3B2E"/>
          <w:sz w:val="22"/>
          <w:szCs w:val="22"/>
        </w:rPr>
        <w:t xml:space="preserve">Validation et clôture : </w:t>
      </w:r>
      <w:r>
        <w:rPr>
          <w:color w:val="1B211D"/>
          <w:sz w:val="22"/>
          <w:szCs w:val="22"/>
        </w:rPr>
        <w:t xml:space="preserve">le Responsable de site confirme la remise en service. Cette étape met à jour les indicateurs (délai de résolution) et déclenche, pour un actif Critique, la génération automatique d'une fiche d'analyse post-incident.</w:t>
      </w:r>
    </w:p>
    <w:p>
      <w:pPr>
        <w:pStyle w:val="ListParagraph"/>
        <w:numPr>
          <w:ilvl w:val="0"/>
          <w:numId w:val="1"/>
        </w:numPr>
        <w:spacing w:after="90"/>
      </w:pPr>
      <w:r>
        <w:rPr>
          <w:b/>
          <w:bCs/>
          <w:color w:val="0E3B2E"/>
          <w:sz w:val="22"/>
          <w:szCs w:val="22"/>
        </w:rPr>
        <w:t xml:space="preserve">Escalade automatique : </w:t>
      </w:r>
      <w:r>
        <w:rPr>
          <w:color w:val="1B211D"/>
          <w:sz w:val="22"/>
          <w:szCs w:val="22"/>
        </w:rPr>
        <w:t xml:space="preserve">un ordre de travail qui dépasse le délai maximal associé à la criticité de l'équipement bascule automatiquement en « En escalade » et génère une alerte.</w:t>
      </w:r>
    </w:p>
    <w:p>
      <w:pPr>
        <w:pStyle w:val="Heading2"/>
        <w:spacing w:after="120" w:before="260"/>
      </w:pPr>
      <w:r>
        <w:rPr>
          <w:b/>
          <w:bCs/>
          <w:color w:val="B8912F"/>
        </w:rPr>
        <w:t xml:space="preserve">8.2 </w:t>
      </w:r>
      <w:r>
        <w:rPr>
          <w:b/>
          <w:bCs/>
          <w:color w:val="0E3B2E"/>
        </w:rPr>
        <w:t xml:space="preserve">Tickets</w:t>
      </w:r>
    </w:p>
    <w:p>
      <w:pPr>
        <w:spacing w:after="140" w:line="300"/>
        <w:jc w:val="both"/>
      </w:pPr>
      <w:r>
        <w:rPr>
          <w:b w:val="false"/>
          <w:bCs w:val="false"/>
          <w:i w:val="false"/>
          <w:iCs w:val="false"/>
          <w:color w:val="1B211D"/>
          <w:sz w:val="22"/>
          <w:szCs w:val="22"/>
        </w:rPr>
        <w:t xml:space="preserve">Portail de signalement simplifié — un utilisateur de site constate une anomalie et la signale sans passer par le formulaire complet d'ordre de travail.</w:t>
      </w:r>
    </w:p>
    <w:p>
      <w:pPr>
        <w:pStyle w:val="ListParagraph"/>
        <w:numPr>
          <w:ilvl w:val="0"/>
          <w:numId w:val="1"/>
        </w:numPr>
        <w:spacing w:after="90"/>
      </w:pPr>
      <w:r>
        <w:rPr>
          <w:b/>
          <w:bCs/>
          <w:color w:val="0E3B2E"/>
          <w:sz w:val="22"/>
          <w:szCs w:val="22"/>
        </w:rPr>
        <w:t xml:space="preserve">Créer un ticket : </w:t>
      </w:r>
      <w:r>
        <w:rPr>
          <w:color w:val="1B211D"/>
          <w:sz w:val="22"/>
          <w:szCs w:val="22"/>
        </w:rPr>
        <w:t xml:space="preserve">titre, description, urgence perçue, emplacement concerné.</w:t>
      </w:r>
    </w:p>
    <w:p>
      <w:pPr>
        <w:pStyle w:val="ListParagraph"/>
        <w:numPr>
          <w:ilvl w:val="0"/>
          <w:numId w:val="1"/>
        </w:numPr>
        <w:spacing w:after="90"/>
      </w:pPr>
      <w:r>
        <w:rPr>
          <w:color w:val="1B211D"/>
          <w:sz w:val="22"/>
          <w:szCs w:val="22"/>
        </w:rPr>
        <w:t xml:space="preserve">Un ticket peut ensuite être transformé en ordre de travail correctif par le Gestionnaire DMG pour entrer dans le circuit de traitement standard.</w:t>
      </w:r>
    </w:p>
    <w:p>
      <w:pPr>
        <w:pStyle w:val="Heading2"/>
        <w:spacing w:after="120" w:before="260"/>
      </w:pPr>
      <w:r>
        <w:rPr>
          <w:b/>
          <w:bCs/>
          <w:color w:val="B8912F"/>
        </w:rPr>
        <w:t xml:space="preserve">8.3 </w:t>
      </w:r>
      <w:r>
        <w:rPr>
          <w:b/>
          <w:bCs/>
          <w:color w:val="0E3B2E"/>
        </w:rPr>
        <w:t xml:space="preserve">Maintenance préventive</w:t>
      </w:r>
    </w:p>
    <w:p>
      <w:pPr>
        <w:spacing w:after="140" w:line="300"/>
        <w:jc w:val="both"/>
      </w:pPr>
      <w:r>
        <w:rPr>
          <w:b w:val="false"/>
          <w:bCs w:val="false"/>
          <w:i w:val="false"/>
          <w:iCs w:val="false"/>
          <w:color w:val="1B211D"/>
          <w:sz w:val="22"/>
          <w:szCs w:val="22"/>
        </w:rPr>
        <w:t xml:space="preserve">Planification et déclenchement automatique (US-03) — le cœur de la bascule d'un mode réactif à un mode proactif.</w:t>
      </w:r>
    </w:p>
    <w:p>
      <w:pPr>
        <w:pStyle w:val="ListParagraph"/>
        <w:numPr>
          <w:ilvl w:val="0"/>
          <w:numId w:val="1"/>
        </w:numPr>
        <w:spacing w:after="90"/>
      </w:pPr>
      <w:r>
        <w:rPr>
          <w:b/>
          <w:bCs/>
          <w:color w:val="0E3B2E"/>
          <w:sz w:val="22"/>
          <w:szCs w:val="22"/>
        </w:rPr>
        <w:t xml:space="preserve">Quatre types de plans : </w:t>
      </w:r>
      <w:r>
        <w:rPr>
          <w:color w:val="1B211D"/>
          <w:sz w:val="22"/>
          <w:szCs w:val="22"/>
        </w:rPr>
        <w:t xml:space="preserve">Calendaire, Basé sur l'usage, Réglementaire, Conditionnel.</w:t>
      </w:r>
    </w:p>
    <w:p>
      <w:pPr>
        <w:pStyle w:val="ListParagraph"/>
        <w:numPr>
          <w:ilvl w:val="0"/>
          <w:numId w:val="1"/>
        </w:numPr>
        <w:spacing w:after="90"/>
      </w:pPr>
      <w:r>
        <w:rPr>
          <w:b/>
          <w:bCs/>
          <w:color w:val="0E3B2E"/>
          <w:sz w:val="22"/>
          <w:szCs w:val="22"/>
        </w:rPr>
        <w:t xml:space="preserve">Créer un plan : </w:t>
      </w:r>
      <w:r>
        <w:rPr>
          <w:color w:val="1B211D"/>
          <w:sz w:val="22"/>
          <w:szCs w:val="22"/>
        </w:rPr>
        <w:t xml:space="preserve">périmètre (actif unique ou catégorie entière), checklist d'opérations, fréquence, prestataire par défaut, durée et coût estimés.</w:t>
      </w:r>
    </w:p>
    <w:p>
      <w:pPr>
        <w:pStyle w:val="ListParagraph"/>
        <w:numPr>
          <w:ilvl w:val="0"/>
          <w:numId w:val="1"/>
        </w:numPr>
        <w:spacing w:after="90"/>
      </w:pPr>
      <w:r>
        <w:rPr>
          <w:b/>
          <w:bCs/>
          <w:color w:val="0E3B2E"/>
          <w:sz w:val="22"/>
          <w:szCs w:val="22"/>
        </w:rPr>
        <w:t xml:space="preserve">Activer un plan : </w:t>
      </w:r>
      <w:r>
        <w:rPr>
          <w:color w:val="1B211D"/>
          <w:sz w:val="22"/>
          <w:szCs w:val="22"/>
        </w:rPr>
        <w:t xml:space="preserve">génère une échéance par actif couvert. Quand le plan cible une catégorie entière, les échéances sont étalées sur la période de fréquence pour éviter un pic d'ordres de travail à l'activation.</w:t>
      </w:r>
    </w:p>
    <w:p>
      <w:pPr>
        <w:pStyle w:val="ListParagraph"/>
        <w:numPr>
          <w:ilvl w:val="0"/>
          <w:numId w:val="1"/>
        </w:numPr>
        <w:spacing w:after="90"/>
      </w:pPr>
      <w:r>
        <w:rPr>
          <w:color w:val="1B211D"/>
          <w:sz w:val="22"/>
          <w:szCs w:val="22"/>
        </w:rPr>
        <w:t xml:space="preserve">À l'échéance, l'ordre de travail préventif est généré automatiquement (checklist et documents inclus), avec une fenêtre de tolérance de ±30 % pour la date d'intervention réellement planifiée avec le Responsable de site.</w:t>
      </w:r>
    </w:p>
    <w:p>
      <w:pPr>
        <w:pStyle w:val="ListParagraph"/>
        <w:numPr>
          <w:ilvl w:val="0"/>
          <w:numId w:val="1"/>
        </w:numPr>
        <w:spacing w:after="90"/>
      </w:pPr>
      <w:r>
        <w:rPr>
          <w:color w:val="1B211D"/>
          <w:sz w:val="22"/>
          <w:szCs w:val="22"/>
        </w:rPr>
        <w:t xml:space="preserve">Si une anomalie est détectée pendant une intervention préventive, un ordre de travail correctif peut être créé en un clic depuis l'ordre préventif, en conservant le contexte.</w:t>
      </w:r>
    </w:p>
    <w:p>
      <w:pPr>
        <w:pStyle w:val="ListParagraph"/>
        <w:numPr>
          <w:ilvl w:val="0"/>
          <w:numId w:val="1"/>
        </w:numPr>
        <w:spacing w:after="90"/>
      </w:pPr>
      <w:r>
        <w:rPr>
          <w:color w:val="1B211D"/>
          <w:sz w:val="22"/>
          <w:szCs w:val="22"/>
        </w:rPr>
        <w:t xml:space="preserve">À la clôture, la prochaine échéance du plan est calculée automatiquement, et les préconisations éventuelles sont reportées comme item de la checklist du prochain cycle.</w:t>
      </w:r>
    </w:p>
    <w:p>
      <w:pPr>
        <w:pStyle w:val="Heading1"/>
        <w:pBdr>
          <w:bottom w:val="single" w:color="8B1E1E" w:sz="4" w:space="4"/>
        </w:pBdr>
        <w:spacing w:after="180" w:before="380"/>
      </w:pPr>
      <w:r>
        <w:rPr>
          <w:b/>
          <w:bCs/>
          <w:color w:val="8B1E1E"/>
        </w:rPr>
        <w:t xml:space="preserve">9.  </w:t>
      </w:r>
      <w:r>
        <w:rPr>
          <w:b/>
          <w:bCs/>
          <w:color w:val="0E3B2E"/>
        </w:rPr>
        <w:t xml:space="preserve">Direction financière — Fournisseurs &amp; Contrats</w:t>
      </w:r>
    </w:p>
    <w:p>
      <w:pPr>
        <w:pStyle w:val="ListParagraph"/>
        <w:numPr>
          <w:ilvl w:val="0"/>
          <w:numId w:val="1"/>
        </w:numPr>
        <w:spacing w:after="90"/>
      </w:pPr>
      <w:r>
        <w:rPr>
          <w:b/>
          <w:bCs/>
          <w:color w:val="0E3B2E"/>
          <w:sz w:val="22"/>
          <w:szCs w:val="22"/>
        </w:rPr>
        <w:t xml:space="preserve">Fiche fournisseur : </w:t>
      </w:r>
      <w:r>
        <w:rPr>
          <w:color w:val="1B211D"/>
          <w:sz w:val="22"/>
          <w:szCs w:val="22"/>
        </w:rPr>
        <w:t xml:space="preserve">contact, téléphone, email, spécialité, RCCM, statut.</w:t>
      </w:r>
    </w:p>
    <w:p>
      <w:pPr>
        <w:pStyle w:val="ListParagraph"/>
        <w:numPr>
          <w:ilvl w:val="0"/>
          <w:numId w:val="1"/>
        </w:numPr>
        <w:spacing w:after="90"/>
      </w:pPr>
      <w:r>
        <w:rPr>
          <w:b/>
          <w:bCs/>
          <w:color w:val="0E3B2E"/>
          <w:sz w:val="22"/>
          <w:szCs w:val="22"/>
        </w:rPr>
        <w:t xml:space="preserve">Contrat : </w:t>
      </w:r>
      <w:r>
        <w:rPr>
          <w:color w:val="1B211D"/>
          <w:sz w:val="22"/>
          <w:szCs w:val="22"/>
        </w:rPr>
        <w:t xml:space="preserve">type, objet, valeur, dates de début/fin, conditions de renouvellement, liste des actifs couverts — sert de référence pour l'affectation automatique lors de la qualification d'un ordre de travail.</w:t>
      </w:r>
    </w:p>
    <w:p>
      <w:pPr>
        <w:pStyle w:val="Heading1"/>
        <w:pBdr>
          <w:bottom w:val="single" w:color="8B1E1E" w:sz="4" w:space="4"/>
        </w:pBdr>
        <w:spacing w:after="180" w:before="380"/>
      </w:pPr>
      <w:r>
        <w:rPr>
          <w:b/>
          <w:bCs/>
          <w:color w:val="8B1E1E"/>
        </w:rPr>
        <w:t xml:space="preserve">10.  </w:t>
      </w:r>
      <w:r>
        <w:rPr>
          <w:b/>
          <w:bCs/>
          <w:color w:val="0E3B2E"/>
        </w:rPr>
        <w:t xml:space="preserve">Gestion de la logistique — Pièces de rechange</w:t>
      </w:r>
    </w:p>
    <w:p>
      <w:pPr>
        <w:pStyle w:val="ListParagraph"/>
        <w:numPr>
          <w:ilvl w:val="0"/>
          <w:numId w:val="1"/>
        </w:numPr>
        <w:spacing w:after="90"/>
      </w:pPr>
      <w:r>
        <w:rPr>
          <w:b/>
          <w:bCs/>
          <w:color w:val="0E3B2E"/>
          <w:sz w:val="22"/>
          <w:szCs w:val="22"/>
        </w:rPr>
        <w:t xml:space="preserve">Catalogue de pièces : </w:t>
      </w:r>
      <w:r>
        <w:rPr>
          <w:color w:val="1B211D"/>
          <w:sz w:val="22"/>
          <w:szCs w:val="22"/>
        </w:rPr>
        <w:t xml:space="preserve">référence, catégorie, quantité en stock, seuil minimum.</w:t>
      </w:r>
    </w:p>
    <w:p>
      <w:pPr>
        <w:pStyle w:val="ListParagraph"/>
        <w:numPr>
          <w:ilvl w:val="0"/>
          <w:numId w:val="1"/>
        </w:numPr>
        <w:spacing w:after="90"/>
      </w:pPr>
      <w:r>
        <w:rPr>
          <w:b/>
          <w:bCs/>
          <w:color w:val="0E3B2E"/>
          <w:sz w:val="22"/>
          <w:szCs w:val="22"/>
        </w:rPr>
        <w:t xml:space="preserve">Mouvements de stock : </w:t>
      </w:r>
      <w:r>
        <w:rPr>
          <w:color w:val="1B211D"/>
          <w:sz w:val="22"/>
          <w:szCs w:val="22"/>
        </w:rPr>
        <w:t xml:space="preserve">chaque entrée/sortie met à jour la quantité en stock en temps réel et conserve un historique motivé (ex. « Intervention climatiseur salle serveur »).</w:t>
      </w:r>
    </w:p>
    <w:p>
      <w:pPr>
        <w:pStyle w:val="Heading1"/>
        <w:pBdr>
          <w:bottom w:val="single" w:color="8B1E1E" w:sz="4" w:space="4"/>
        </w:pBdr>
        <w:spacing w:after="180" w:before="380"/>
      </w:pPr>
      <w:r>
        <w:rPr>
          <w:b/>
          <w:bCs/>
          <w:color w:val="8B1E1E"/>
        </w:rPr>
        <w:t xml:space="preserve">11.  </w:t>
      </w:r>
      <w:r>
        <w:rPr>
          <w:b/>
          <w:bCs/>
          <w:color w:val="0E3B2E"/>
        </w:rPr>
        <w:t xml:space="preserve">Gestion de l'énergie — Relevés de consommation</w:t>
      </w:r>
    </w:p>
    <w:p>
      <w:pPr>
        <w:spacing w:after="140" w:line="300"/>
        <w:jc w:val="both"/>
      </w:pPr>
      <w:r>
        <w:rPr>
          <w:b w:val="false"/>
          <w:bCs w:val="false"/>
          <w:i w:val="false"/>
          <w:iCs w:val="false"/>
          <w:color w:val="1B211D"/>
          <w:sz w:val="22"/>
          <w:szCs w:val="22"/>
        </w:rPr>
        <w:t xml:space="preserve">Suivi des consommations par site et par type d'énergie (électricité, carburant de groupe électrogène…) : valeur, unité, coût. Permet le suivi budgétaire énergétique par agence.</w:t>
      </w:r>
    </w:p>
    <w:p>
      <w:pPr>
        <w:pStyle w:val="Heading1"/>
        <w:pBdr>
          <w:bottom w:val="single" w:color="8B1E1E" w:sz="4" w:space="4"/>
        </w:pBdr>
        <w:spacing w:after="180" w:before="380"/>
      </w:pPr>
      <w:r>
        <w:rPr>
          <w:b/>
          <w:bCs/>
          <w:color w:val="8B1E1E"/>
        </w:rPr>
        <w:t xml:space="preserve">12.  </w:t>
      </w:r>
      <w:r>
        <w:rPr>
          <w:b/>
          <w:bCs/>
          <w:color w:val="0E3B2E"/>
        </w:rPr>
        <w:t xml:space="preserve">Configurations — Utilisateurs &amp; rôles</w:t>
      </w:r>
    </w:p>
    <w:p>
      <w:pPr>
        <w:spacing w:after="140" w:line="300"/>
        <w:jc w:val="both"/>
      </w:pPr>
      <w:r>
        <w:rPr>
          <w:b w:val="false"/>
          <w:bCs w:val="false"/>
          <w:i w:val="false"/>
          <w:iCs w:val="false"/>
          <w:color w:val="1B211D"/>
          <w:sz w:val="22"/>
          <w:szCs w:val="22"/>
        </w:rPr>
        <w:t xml:space="preserve">Gestion des comptes utilisateurs de l'application : nom, email, rôle (profil), statut (actif/inactif). Réservé aux profils disposant des droits d'administration fonctionnelle.</w:t>
      </w:r>
    </w:p>
    <w:p>
      <w:pPr>
        <w:pStyle w:val="Heading1"/>
        <w:pBdr>
          <w:bottom w:val="single" w:color="8B1E1E" w:sz="4" w:space="4"/>
        </w:pBdr>
        <w:spacing w:after="180" w:before="380"/>
      </w:pPr>
      <w:r>
        <w:rPr>
          <w:b/>
          <w:bCs/>
          <w:color w:val="8B1E1E"/>
        </w:rPr>
        <w:t xml:space="preserve">13.  </w:t>
      </w:r>
      <w:r>
        <w:rPr>
          <w:b/>
          <w:bCs/>
          <w:color w:val="0E3B2E"/>
        </w:rPr>
        <w:t xml:space="preserve">Modules Afriland</w:t>
      </w:r>
    </w:p>
    <w:p>
      <w:pPr>
        <w:spacing w:after="140" w:line="300"/>
        <w:jc w:val="both"/>
      </w:pPr>
      <w:r>
        <w:rPr>
          <w:b w:val="false"/>
          <w:bCs w:val="false"/>
          <w:i w:val="false"/>
          <w:iCs w:val="false"/>
          <w:color w:val="1B211D"/>
          <w:sz w:val="22"/>
          <w:szCs w:val="22"/>
        </w:rPr>
        <w:t xml:space="preserve">Extension métier propre à ce déploiement, au-delà du socle GMAO standard — pilotage des engagements contractuels bancaires et de la sécurité patrimoniale.</w:t>
      </w:r>
    </w:p>
    <w:p>
      <w:pPr>
        <w:pStyle w:val="Heading2"/>
        <w:spacing w:after="120" w:before="260"/>
      </w:pPr>
      <w:r>
        <w:rPr>
          <w:b/>
          <w:bCs/>
          <w:color w:val="B8912F"/>
        </w:rPr>
        <w:t xml:space="preserve">13.1 </w:t>
      </w:r>
      <w:r>
        <w:rPr>
          <w:b/>
          <w:bCs/>
          <w:color w:val="0E3B2E"/>
        </w:rPr>
        <w:t xml:space="preserve">Tableau de bord Afriland</w:t>
      </w:r>
    </w:p>
    <w:p>
      <w:pPr>
        <w:spacing w:after="140" w:line="300"/>
        <w:jc w:val="both"/>
      </w:pPr>
      <w:r>
        <w:rPr>
          <w:b w:val="false"/>
          <w:bCs w:val="false"/>
          <w:i w:val="false"/>
          <w:iCs w:val="false"/>
          <w:color w:val="1B211D"/>
          <w:sz w:val="22"/>
          <w:szCs w:val="22"/>
        </w:rPr>
        <w:t xml:space="preserve">Indicateurs consolidés spécifiques au déploiement (SLA, pénalités, évaluations).</w:t>
      </w:r>
    </w:p>
    <w:p>
      <w:pPr>
        <w:pStyle w:val="Heading2"/>
        <w:spacing w:after="120" w:before="260"/>
      </w:pPr>
      <w:r>
        <w:rPr>
          <w:b/>
          <w:bCs/>
          <w:color w:val="B8912F"/>
        </w:rPr>
        <w:t xml:space="preserve">13.2 </w:t>
      </w:r>
      <w:r>
        <w:rPr>
          <w:b/>
          <w:bCs/>
          <w:color w:val="0E3B2E"/>
        </w:rPr>
        <w:t xml:space="preserve">Règles &amp; Mesures SLA</w:t>
      </w:r>
    </w:p>
    <w:p>
      <w:pPr>
        <w:pStyle w:val="ListParagraph"/>
        <w:numPr>
          <w:ilvl w:val="0"/>
          <w:numId w:val="1"/>
        </w:numPr>
        <w:spacing w:after="90"/>
      </w:pPr>
      <w:r>
        <w:rPr>
          <w:color w:val="1B211D"/>
          <w:sz w:val="22"/>
          <w:szCs w:val="22"/>
        </w:rPr>
        <w:t xml:space="preserve">Une règle SLA associe un délai de réponse et un délai de résolution contractuels à une catégorie d'actif et à un contrat.</w:t>
      </w:r>
    </w:p>
    <w:p>
      <w:pPr>
        <w:pStyle w:val="ListParagraph"/>
        <w:numPr>
          <w:ilvl w:val="0"/>
          <w:numId w:val="1"/>
        </w:numPr>
        <w:spacing w:after="90"/>
      </w:pPr>
      <w:r>
        <w:rPr>
          <w:color w:val="1B211D"/>
          <w:sz w:val="22"/>
          <w:szCs w:val="22"/>
        </w:rPr>
        <w:t xml:space="preserve">À la clôture de chaque ordre de travail, une mesure SLA est calculée automatiquement (délai réel vs délai contractuel) et le résultat (conforme / non conforme) est enregistré.</w:t>
      </w:r>
    </w:p>
    <w:p>
      <w:pPr>
        <w:pStyle w:val="Heading2"/>
        <w:spacing w:after="120" w:before="260"/>
      </w:pPr>
      <w:r>
        <w:rPr>
          <w:b/>
          <w:bCs/>
          <w:color w:val="B8912F"/>
        </w:rPr>
        <w:t xml:space="preserve">13.3 </w:t>
      </w:r>
      <w:r>
        <w:rPr>
          <w:b/>
          <w:bCs/>
          <w:color w:val="0E3B2E"/>
        </w:rPr>
        <w:t xml:space="preserve">Pénalités &amp; Paiements</w:t>
      </w:r>
    </w:p>
    <w:p>
      <w:pPr>
        <w:pStyle w:val="ListParagraph"/>
        <w:numPr>
          <w:ilvl w:val="0"/>
          <w:numId w:val="1"/>
        </w:numPr>
        <w:spacing w:after="90"/>
      </w:pPr>
      <w:r>
        <w:rPr>
          <w:color w:val="1B211D"/>
          <w:sz w:val="22"/>
          <w:szCs w:val="22"/>
        </w:rPr>
        <w:t xml:space="preserve">Une non-conformité SLA déclenche automatiquement le calcul d'une pénalité contractuelle (pourcentage de la valeur du contrat).</w:t>
      </w:r>
    </w:p>
    <w:p>
      <w:pPr>
        <w:pStyle w:val="ListParagraph"/>
        <w:numPr>
          <w:ilvl w:val="0"/>
          <w:numId w:val="1"/>
        </w:numPr>
        <w:spacing w:after="90"/>
      </w:pPr>
      <w:r>
        <w:rPr>
          <w:b/>
          <w:bCs/>
          <w:color w:val="0E3B2E"/>
          <w:sz w:val="22"/>
          <w:szCs w:val="22"/>
        </w:rPr>
        <w:t xml:space="preserve">Validation du paiement : </w:t>
      </w:r>
      <w:r>
        <w:rPr>
          <w:color w:val="1B211D"/>
          <w:sz w:val="22"/>
          <w:szCs w:val="22"/>
        </w:rPr>
        <w:t xml:space="preserve">au-delà d'un seuil de montant, une double validation par deux valideurs distincts est exigée avant que le paiement passe à l'état « Validé ».</w:t>
      </w:r>
    </w:p>
    <w:p>
      <w:pPr>
        <w:pStyle w:val="Heading2"/>
        <w:spacing w:after="120" w:before="260"/>
      </w:pPr>
      <w:r>
        <w:rPr>
          <w:b/>
          <w:bCs/>
          <w:color w:val="B8912F"/>
        </w:rPr>
        <w:t xml:space="preserve">13.4 </w:t>
      </w:r>
      <w:r>
        <w:rPr>
          <w:b/>
          <w:bCs/>
          <w:color w:val="0E3B2E"/>
        </w:rPr>
        <w:t xml:space="preserve">Évaluations prestataires</w:t>
      </w:r>
    </w:p>
    <w:p>
      <w:pPr>
        <w:spacing w:after="140" w:line="300"/>
        <w:jc w:val="both"/>
      </w:pPr>
      <w:r>
        <w:rPr>
          <w:b w:val="false"/>
          <w:bCs w:val="false"/>
          <w:i w:val="false"/>
          <w:iCs w:val="false"/>
          <w:color w:val="1B211D"/>
          <w:sz w:val="22"/>
          <w:szCs w:val="22"/>
        </w:rPr>
        <w:t xml:space="preserve">Notation périodique des prestataires sur trois axes : qualité, délai, coût, avec commentaire libre — alimente les décisions de renouvellement de contrat.</w:t>
      </w:r>
    </w:p>
    <w:p>
      <w:pPr>
        <w:pStyle w:val="Heading2"/>
        <w:spacing w:after="120" w:before="260"/>
      </w:pPr>
      <w:r>
        <w:rPr>
          <w:b/>
          <w:bCs/>
          <w:color w:val="B8912F"/>
        </w:rPr>
        <w:t xml:space="preserve">13.5 </w:t>
      </w:r>
      <w:r>
        <w:rPr>
          <w:b/>
          <w:bCs/>
          <w:color w:val="0E3B2E"/>
        </w:rPr>
        <w:t xml:space="preserve">Clés &amp; Accès</w:t>
      </w:r>
    </w:p>
    <w:p>
      <w:pPr>
        <w:pStyle w:val="ListParagraph"/>
        <w:numPr>
          <w:ilvl w:val="0"/>
          <w:numId w:val="1"/>
        </w:numPr>
        <w:spacing w:after="90"/>
      </w:pPr>
      <w:r>
        <w:rPr>
          <w:color w:val="1B211D"/>
          <w:sz w:val="22"/>
          <w:szCs w:val="22"/>
        </w:rPr>
        <w:t xml:space="preserve">Registre des clés physiques et badges par emplacement, avec classification (Standard / Élevée) et détenteur actuel.</w:t>
      </w:r>
    </w:p>
    <w:p>
      <w:pPr>
        <w:pStyle w:val="ListParagraph"/>
        <w:numPr>
          <w:ilvl w:val="0"/>
          <w:numId w:val="1"/>
        </w:numPr>
        <w:spacing w:after="90"/>
      </w:pPr>
      <w:r>
        <w:rPr>
          <w:b/>
          <w:bCs/>
          <w:color w:val="0E3B2E"/>
          <w:sz w:val="22"/>
          <w:szCs w:val="22"/>
        </w:rPr>
        <w:t xml:space="preserve">Retrait d'une clé de zone classifiée Élevée : </w:t>
      </w:r>
      <w:r>
        <w:rPr>
          <w:color w:val="1B211D"/>
          <w:sz w:val="22"/>
          <w:szCs w:val="22"/>
        </w:rPr>
        <w:t xml:space="preserve">exige la double validation de deux personnes distinctes avant que le retrait soit effectif — contrôle non contournable.</w:t>
      </w:r>
    </w:p>
    <w:p>
      <w:pPr>
        <w:pStyle w:val="ListParagraph"/>
        <w:numPr>
          <w:ilvl w:val="0"/>
          <w:numId w:val="1"/>
        </w:numPr>
        <w:spacing w:after="90"/>
      </w:pPr>
      <w:r>
        <w:rPr>
          <w:color w:val="1B211D"/>
          <w:sz w:val="22"/>
          <w:szCs w:val="22"/>
        </w:rPr>
        <w:t xml:space="preserve">Chaque mouvement (retrait, retour, perte signalée) est tracé dans le journal d'audit.</w:t>
      </w:r>
    </w:p>
    <w:p>
      <w:pPr>
        <w:pStyle w:val="Heading2"/>
        <w:spacing w:after="120" w:before="260"/>
      </w:pPr>
      <w:r>
        <w:rPr>
          <w:b/>
          <w:bCs/>
          <w:color w:val="B8912F"/>
        </w:rPr>
        <w:t xml:space="preserve">13.6 </w:t>
      </w:r>
      <w:r>
        <w:rPr>
          <w:b/>
          <w:bCs/>
          <w:color w:val="0E3B2E"/>
        </w:rPr>
        <w:t xml:space="preserve">Projets immobiliers</w:t>
      </w:r>
    </w:p>
    <w:p>
      <w:pPr>
        <w:pStyle w:val="ListParagraph"/>
        <w:numPr>
          <w:ilvl w:val="0"/>
          <w:numId w:val="1"/>
        </w:numPr>
        <w:spacing w:after="90"/>
      </w:pPr>
      <w:r>
        <w:rPr>
          <w:b/>
          <w:bCs/>
          <w:color w:val="0E3B2E"/>
          <w:sz w:val="22"/>
          <w:szCs w:val="22"/>
        </w:rPr>
        <w:t xml:space="preserve">Suivi de projet : </w:t>
      </w:r>
      <w:r>
        <w:rPr>
          <w:color w:val="1B211D"/>
          <w:sz w:val="22"/>
          <w:szCs w:val="22"/>
        </w:rPr>
        <w:t xml:space="preserve">budget, budget consommé, dates, statut, chef de projet, jalons.</w:t>
      </w:r>
    </w:p>
    <w:p>
      <w:pPr>
        <w:pStyle w:val="ListParagraph"/>
        <w:numPr>
          <w:ilvl w:val="0"/>
          <w:numId w:val="1"/>
        </w:numPr>
        <w:spacing w:after="90"/>
      </w:pPr>
      <w:r>
        <w:rPr>
          <w:b/>
          <w:bCs/>
          <w:color w:val="0E3B2E"/>
          <w:sz w:val="22"/>
          <w:szCs w:val="22"/>
        </w:rPr>
        <w:t xml:space="preserve">Réception d'un projet : </w:t>
      </w:r>
      <w:r>
        <w:rPr>
          <w:color w:val="1B211D"/>
          <w:sz w:val="22"/>
          <w:szCs w:val="22"/>
        </w:rPr>
        <w:t xml:space="preserve">bascule automatique en exploitation — un nouvel emplacement est créé dans le référentiel patrimoine et un plan de maintenance préventive générique y est activé.</w:t>
      </w:r>
    </w:p>
    <w:p>
      <w:pPr>
        <w:pStyle w:val="Heading2"/>
        <w:spacing w:after="120" w:before="260"/>
      </w:pPr>
      <w:r>
        <w:rPr>
          <w:b/>
          <w:bCs/>
          <w:color w:val="B8912F"/>
        </w:rPr>
        <w:t xml:space="preserve">13.7 </w:t>
      </w:r>
      <w:r>
        <w:rPr>
          <w:b/>
          <w:bCs/>
          <w:color w:val="0E3B2E"/>
        </w:rPr>
        <w:t xml:space="preserve">Tâches &amp; Alertes</w:t>
      </w:r>
    </w:p>
    <w:p>
      <w:pPr>
        <w:spacing w:after="140" w:line="300"/>
        <w:jc w:val="both"/>
      </w:pPr>
      <w:r>
        <w:rPr>
          <w:b w:val="false"/>
          <w:bCs w:val="false"/>
          <w:i w:val="false"/>
          <w:iCs w:val="false"/>
          <w:color w:val="1B211D"/>
          <w:sz w:val="22"/>
          <w:szCs w:val="22"/>
        </w:rPr>
        <w:t xml:space="preserve">Centralise les tâches de workflow (validations de pénalité, approbations de paiement…) et les alertes automatiques générées par le système (dépassement SLA, clé non retournée, actif critique sans rattachement…), avec indicateur de lecture.</w:t>
      </w:r>
    </w:p>
    <w:p>
      <w:pPr>
        <w:pStyle w:val="Heading1"/>
        <w:pBdr>
          <w:bottom w:val="single" w:color="8B1E1E" w:sz="4" w:space="4"/>
        </w:pBdr>
        <w:spacing w:after="180" w:before="380"/>
      </w:pPr>
      <w:r>
        <w:rPr>
          <w:b/>
          <w:bCs/>
          <w:color w:val="8B1E1E"/>
        </w:rPr>
        <w:t xml:space="preserve">14.  </w:t>
      </w:r>
      <w:r>
        <w:rPr>
          <w:b/>
          <w:bCs/>
          <w:color w:val="0E3B2E"/>
        </w:rPr>
        <w:t xml:space="preserve">Glossaire des statuts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0E3B2E" w:color="auto" w:val="clear"/>
            <w:tcMar>
              <w:top w:type="dxa" w:w="110"/>
              <w:left w:type="dxa" w:w="120"/>
              <w:bottom w:type="dxa" w:w="110"/>
              <w:right w:type="dxa" w:w="120"/>
            </w:tcMar>
            <w:vAlign w:val="center"/>
          </w:tcPr>
          <w:p>
            <w:r>
              <w:rPr>
                <w:b/>
                <w:bCs/>
                <w:color w:val="FFFFFF"/>
                <w:sz w:val="19"/>
                <w:szCs w:val="19"/>
              </w:rPr>
              <w:t xml:space="preserve">Terme</w:t>
            </w:r>
          </w:p>
        </w:tc>
        <w:tc>
          <w:tcPr>
            <w:tcW w:type="dxa" w:w="7000"/>
            <w:shd w:fill="0E3B2E" w:color="auto" w:val="clear"/>
            <w:tcMar>
              <w:top w:type="dxa" w:w="110"/>
              <w:left w:type="dxa" w:w="120"/>
              <w:bottom w:type="dxa" w:w="110"/>
              <w:right w:type="dxa" w:w="120"/>
            </w:tcMar>
            <w:vAlign w:val="center"/>
          </w:tcPr>
          <w:p>
            <w:r>
              <w:rPr>
                <w:b/>
                <w:bCs/>
                <w:color w:val="FFFFFF"/>
                <w:sz w:val="19"/>
                <w:szCs w:val="19"/>
              </w:rPr>
              <w:t xml:space="preserve">Signification</w:t>
            </w:r>
          </w:p>
        </w:tc>
      </w:tr>
      <w:tr>
        <w:tc>
          <w:tcPr>
            <w:tcW w:type="dxa" w:w="24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OT</w:t>
            </w:r>
          </w:p>
        </w:tc>
        <w:tc>
          <w:tcPr>
            <w:tcW w:type="dxa" w:w="7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Ordre de travail — intervention corrective ou préventive sur un actif.</w:t>
            </w:r>
          </w:p>
        </w:tc>
      </w:tr>
      <w:tr>
        <w:tc>
          <w:tcPr>
            <w:tcW w:type="dxa" w:w="24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MTTR</w:t>
            </w:r>
          </w:p>
        </w:tc>
        <w:tc>
          <w:tcPr>
            <w:tcW w:type="dxa" w:w="7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Mean Time To Repair — durée moyenne de résolution d'une panne.</w:t>
            </w:r>
          </w:p>
        </w:tc>
      </w:tr>
      <w:tr>
        <w:tc>
          <w:tcPr>
            <w:tcW w:type="dxa" w:w="24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SLA</w:t>
            </w:r>
          </w:p>
        </w:tc>
        <w:tc>
          <w:tcPr>
            <w:tcW w:type="dxa" w:w="7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Service Level Agreement — engagement contractuel de délai avec un prestataire.</w:t>
            </w:r>
          </w:p>
        </w:tc>
      </w:tr>
      <w:tr>
        <w:tc>
          <w:tcPr>
            <w:tcW w:type="dxa" w:w="24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DMG</w:t>
            </w:r>
          </w:p>
        </w:tc>
        <w:tc>
          <w:tcPr>
            <w:tcW w:type="dxa" w:w="7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Direction des Moyens Généraux.</w:t>
            </w:r>
          </w:p>
        </w:tc>
      </w:tr>
      <w:tr>
        <w:tc>
          <w:tcPr>
            <w:tcW w:type="dxa" w:w="24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Criticité</w:t>
            </w:r>
          </w:p>
        </w:tc>
        <w:tc>
          <w:tcPr>
            <w:tcW w:type="dxa" w:w="7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Niveau 1 (Critique) à 4 (Faible) piloté par équipement, déterminant délais et priorités.</w:t>
            </w:r>
          </w:p>
        </w:tc>
      </w:tr>
      <w:tr>
        <w:tc>
          <w:tcPr>
            <w:tcW w:type="dxa" w:w="24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Sécurité par ligne</w:t>
            </w:r>
          </w:p>
        </w:tc>
        <w:tc>
          <w:tcPr>
            <w:tcW w:type="dxa" w:w="7000"/>
            <w:tcBorders>
              <w:top w:val="single" w:color="E1DCCC" w:sz="2"/>
              <w:left w:val="single" w:color="E1DCCC" w:sz="2"/>
              <w:bottom w:val="single" w:color="E1DCCC" w:sz="2"/>
              <w:right w:val="single" w:color="E1DCCC" w:sz="2"/>
            </w:tcBorders>
            <w:tcMar>
              <w:top w:type="dxa" w:w="90"/>
              <w:left w:type="dxa" w:w="120"/>
              <w:bottom w:type="dxa" w:w="90"/>
              <w:right w:type="dxa" w:w="120"/>
            </w:tcMar>
          </w:tcPr>
          <w:p>
            <w:r>
              <w:rPr>
                <w:color w:val="1B211D"/>
                <w:sz w:val="18"/>
                <w:szCs w:val="18"/>
              </w:rPr>
              <w:t xml:space="preserve">Restriction d'accès aux données du seul site du Responsable connecté.</w:t>
            </w:r>
          </w:p>
        </w:tc>
      </w:tr>
    </w:tbl>
    <w:p>
      <w:pPr>
        <w:pStyle w:val="Heading1"/>
        <w:pBdr>
          <w:bottom w:val="single" w:color="8B1E1E" w:sz="4" w:space="4"/>
        </w:pBdr>
        <w:spacing w:after="180" w:before="380"/>
      </w:pPr>
      <w:r>
        <w:rPr>
          <w:b/>
          <w:bCs/>
          <w:color w:val="8B1E1E"/>
        </w:rPr>
        <w:t xml:space="preserve">15.  </w:t>
      </w:r>
      <w:r>
        <w:rPr>
          <w:b/>
          <w:bCs/>
          <w:color w:val="0E3B2E"/>
        </w:rPr>
        <w:t xml:space="preserve">Bonnes pratiques</w:t>
      </w:r>
    </w:p>
    <w:p>
      <w:pPr>
        <w:pStyle w:val="ListParagraph"/>
        <w:numPr>
          <w:ilvl w:val="0"/>
          <w:numId w:val="1"/>
        </w:numPr>
        <w:spacing w:after="90"/>
      </w:pPr>
      <w:r>
        <w:rPr>
          <w:color w:val="1B211D"/>
          <w:sz w:val="22"/>
          <w:szCs w:val="22"/>
        </w:rPr>
        <w:t xml:space="preserve">Toujours rattacher un nouvel équipement à son emplacement précis dès la création — l'historique et les alertes en dépendent entièrement.</w:t>
      </w:r>
    </w:p>
    <w:p>
      <w:pPr>
        <w:pStyle w:val="ListParagraph"/>
        <w:numPr>
          <w:ilvl w:val="0"/>
          <w:numId w:val="1"/>
        </w:numPr>
        <w:spacing w:after="90"/>
      </w:pPr>
      <w:r>
        <w:rPr>
          <w:color w:val="1B211D"/>
          <w:sz w:val="22"/>
          <w:szCs w:val="22"/>
        </w:rPr>
        <w:t xml:space="preserve">Ne jamais clôturer un ordre de travail sans compte-rendu complet : c'est la donnée qui alimente l'arbitrage réparer/remplacer et l'évaluation des prestataires.</w:t>
      </w:r>
    </w:p>
    <w:p>
      <w:pPr>
        <w:pStyle w:val="ListParagraph"/>
        <w:numPr>
          <w:ilvl w:val="0"/>
          <w:numId w:val="1"/>
        </w:numPr>
        <w:spacing w:after="90"/>
      </w:pPr>
      <w:r>
        <w:rPr>
          <w:color w:val="1B211D"/>
          <w:sz w:val="22"/>
          <w:szCs w:val="22"/>
        </w:rPr>
        <w:t xml:space="preserve">Vérifier régulièrement l'onglet « Tâches &amp; Alertes » : les alertes automatiques signalent les anomalies de référentiel (actif critique sans contrat, clé non rendue…) avant qu'elles ne deviennent bloquantes.</w:t>
      </w:r>
    </w:p>
    <w:p>
      <w:pPr>
        <w:pStyle w:val="Heading1"/>
        <w:pBdr>
          <w:bottom w:val="single" w:color="8B1E1E" w:sz="4" w:space="4"/>
        </w:pBdr>
        <w:spacing w:after="180" w:before="380"/>
      </w:pPr>
      <w:r>
        <w:rPr>
          <w:b/>
          <w:bCs/>
          <w:color w:val="8B1E1E"/>
        </w:rPr>
        <w:t xml:space="preserve">16.  </w:t>
      </w:r>
      <w:r>
        <w:rPr>
          <w:b/>
          <w:bCs/>
          <w:color w:val="0E3B2E"/>
        </w:rPr>
        <w:t xml:space="preserve">Support</w:t>
      </w:r>
    </w:p>
    <w:p>
      <w:pPr>
        <w:spacing w:after="140" w:line="300"/>
        <w:jc w:val="both"/>
      </w:pPr>
      <w:r>
        <w:rPr>
          <w:b w:val="false"/>
          <w:bCs w:val="false"/>
          <w:i w:val="false"/>
          <w:iCs w:val="false"/>
          <w:color w:val="1B211D"/>
          <w:sz w:val="22"/>
          <w:szCs w:val="22"/>
        </w:rPr>
        <w:t xml:space="preserve">Pour toute difficulté d'accès, anomalie ou question fonctionnelle, contactez votre Gestionnaire DMG ou l'administrateur applicatif FirstMaint.</w:t>
      </w:r>
    </w:p>
    <w:p>
      <w:pPr>
        <w:spacing w:before="400"/>
        <w:jc w:val="center"/>
      </w:pPr>
      <w:r>
        <w:rPr>
          <w:i/>
          <w:iCs/>
          <w:color w:val="6B7268"/>
          <w:sz w:val="18"/>
          <w:szCs w:val="18"/>
        </w:rPr>
        <w:t xml:space="preserve">FirstMaint — Afriland First Bank — Direction des Moyens Généraux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68"/>
        <w:sz w:val="16"/>
        <w:szCs w:val="16"/>
      </w:rPr>
      <w:t xml:space="preserve">Page </w:t>
    </w:r>
    <w:r>
      <w:rPr>
        <w:color w:val="6B72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68"/>
        <w:sz w:val="16"/>
        <w:szCs w:val="16"/>
      </w:rPr>
      <w:t xml:space="preserve">FirstMaint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2026-08-18T11:02:25.250Z</dcterms:created>
  <dcterms:modified xsi:type="dcterms:W3CDTF">2026-08-18T11:02:25.250Z</dcterms:modified>
</cp:coreProperties>
</file>

<file path=docProps/custom.xml><?xml version="1.0" encoding="utf-8"?>
<Properties xmlns="http://schemas.openxmlformats.org/officeDocument/2006/custom-properties" xmlns:vt="http://schemas.openxmlformats.org/officeDocument/2006/docPropsVTypes"/>
</file>