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40"/>
        <w:jc w:val="center"/>
      </w:pPr>
      <w:r>
        <w:rPr>
          <w:b/>
          <w:bCs/>
          <w:i w:val="false"/>
          <w:iCs w:val="false"/>
          <w:color w:val="B8912F"/>
          <w:sz w:val="26"/>
          <w:szCs w:val="26"/>
        </w:rPr>
        <w:t xml:space="preserve">AFRILAND FIRST BANK</w:t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6B7268"/>
          <w:sz w:val="22"/>
          <w:szCs w:val="22"/>
        </w:rPr>
        <w:t xml:space="preserve">Direction des Moyens Généraux</w:t>
      </w:r>
    </w:p>
    <w:p>
      <w:pPr>
        <w:spacing w:before="400"/>
      </w:pPr>
    </w:p>
    <w:p>
      <w:pPr>
        <w:spacing w:after="140"/>
        <w:jc w:val="center"/>
      </w:pPr>
      <w:r>
        <w:rPr>
          <w:b/>
          <w:bCs/>
          <w:i w:val="false"/>
          <w:iCs w:val="false"/>
          <w:color w:val="0E3B2E"/>
          <w:sz w:val="40"/>
          <w:szCs w:val="40"/>
        </w:rPr>
        <w:t xml:space="preserve">MATRICE DE CONFORMITÉ</w:t>
      </w:r>
    </w:p>
    <w:p>
      <w:pPr>
        <w:pBdr>
          <w:bottom w:val="single" w:color="8B1E1E" w:sz="8" w:space="8"/>
        </w:pBdr>
        <w:spacing w:before="60"/>
        <w:jc w:val="center"/>
      </w:pPr>
      <w:r>
        <w:rPr>
          <w:b/>
          <w:bCs/>
          <w:color w:val="B8912F"/>
          <w:sz w:val="22"/>
          <w:szCs w:val="22"/>
        </w:rPr>
        <w:t xml:space="preserve">Cahier des charges (Workflows détaillés maintenance) vs réalisé — Solution FirstMaint</w:t>
      </w:r>
    </w:p>
    <w:p>
      <w:pPr>
        <w:spacing w:before="700"/>
      </w:pPr>
    </w:p>
    <w:p>
      <w:pPr>
        <w:spacing w:after="140"/>
        <w:jc w:val="center"/>
      </w:pPr>
      <w:r>
        <w:rPr>
          <w:b w:val="false"/>
          <w:bCs w:val="false"/>
          <w:i w:val="false"/>
          <w:iCs w:val="false"/>
          <w:color w:val="6B7268"/>
          <w:sz w:val="20"/>
          <w:szCs w:val="20"/>
        </w:rPr>
        <w:t xml:space="preserve">Version 1.0  |  Août 2026  |  Périmètre : US-01, US-02, US-03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8B1E1E" w:sz="4" w:space="4"/>
        </w:pBdr>
        <w:spacing w:after="180" w:before="380"/>
      </w:pPr>
      <w:r>
        <w:rPr>
          <w:b/>
          <w:bCs/>
          <w:color w:val="0E3B2E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Bdr>
          <w:bottom w:val="single" w:color="8B1E1E" w:sz="4" w:space="4"/>
        </w:pBdr>
        <w:spacing w:after="180" w:before="380"/>
      </w:pPr>
      <w:r>
        <w:rPr>
          <w:b/>
          <w:bCs/>
          <w:color w:val="0E3B2E"/>
        </w:rPr>
        <w:t xml:space="preserve">Méthodologie et légende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1B211D"/>
          <w:sz w:val="22"/>
          <w:szCs w:val="22"/>
        </w:rPr>
        <w:t xml:space="preserve">Chaque exigence listée dans le document « Workflows détaillés solution FirstMaint » (US-01 Référentiel patrimoine, US-02 Interventions correctives, US-03 Maintenance préventive) a été confrontée au code source réel de l'application (src/services/dataService.js, src/domain/, src/services/automationEngine.js, composants d'écran). Chaque ligne cite la fonction ou le fichier qui a servi de preuve.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11D"/>
                <w:sz w:val="19"/>
                <w:szCs w:val="19"/>
              </w:rPr>
              <w:t xml:space="preserve">✅ Respecté</w:t>
            </w:r>
          </w:p>
        </w:tc>
        <w:tc>
          <w:tcPr>
            <w:tcW w:type="dxa" w:w="70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11D"/>
                <w:sz w:val="19"/>
                <w:szCs w:val="19"/>
              </w:rPr>
              <w:t xml:space="preserve">L'exigence est implémentée telle que décrite dans le cahier des charges.</w:t>
            </w:r>
          </w:p>
        </w:tc>
      </w:tr>
      <w:tr>
        <w:tc>
          <w:tcPr>
            <w:tcW w:type="dxa" w:w="24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11D"/>
                <w:sz w:val="19"/>
                <w:szCs w:val="19"/>
              </w:rPr>
              <w:t xml:space="preserve">⚠ Partiel</w:t>
            </w:r>
          </w:p>
        </w:tc>
        <w:tc>
          <w:tcPr>
            <w:tcW w:type="dxa" w:w="70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11D"/>
                <w:sz w:val="19"/>
                <w:szCs w:val="19"/>
              </w:rPr>
              <w:t xml:space="preserve">L'exigence existe mais de façon simplifiée, non bloquante, ou incomplète par rapport au texte d'origine.</w:t>
            </w:r>
          </w:p>
        </w:tc>
      </w:tr>
      <w:tr>
        <w:tc>
          <w:tcPr>
            <w:tcW w:type="dxa" w:w="24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11D"/>
                <w:sz w:val="19"/>
                <w:szCs w:val="19"/>
              </w:rPr>
              <w:t xml:space="preserve">❌ Non respecté</w:t>
            </w:r>
          </w:p>
        </w:tc>
        <w:tc>
          <w:tcPr>
            <w:tcW w:type="dxa" w:w="70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11D"/>
                <w:sz w:val="19"/>
                <w:szCs w:val="19"/>
              </w:rPr>
              <w:t xml:space="preserve">Aucune trace de l'exigence dans le code.</w:t>
            </w:r>
          </w:p>
        </w:tc>
      </w:tr>
    </w:tbl>
    <w:p>
      <w:pPr>
        <w:spacing w:after="100" w:before="200"/>
      </w:pPr>
      <w:r>
        <w:rPr>
          <w:b/>
          <w:bCs/>
          <w:color w:val="0E3B2E"/>
          <w:sz w:val="21"/>
          <w:szCs w:val="21"/>
        </w:rPr>
        <w:t xml:space="preserve">Origine des données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1B211D"/>
          <w:sz w:val="22"/>
          <w:szCs w:val="22"/>
        </w:rPr>
        <w:t xml:space="preserve">« Dataverse (réel) » : la fonctionnalité s'appuie sur les tables réellement connectées à Dataverse via Power Pages (Actif, Emplacement, Catégorie d'actif, Agence, Technicien, Ordre de travail, Ticket — en lecture, sauf création de Ticket). « Démo (mock) » : la fonctionnalité fonctionne uniquement sur les données fictives de src/data/mockData.js, réinitialisées à chaque rechargement de page — aucune écriture réelle en base.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912F" w:sz="4"/>
              <w:left w:val="single" w:color="B8912F" w:sz="4"/>
              <w:bottom w:val="single" w:color="B8912F" w:sz="4"/>
              <w:right w:val="single" w:color="B8912F" w:sz="4"/>
            </w:tcBorders>
            <w:shd w:fill="F5ED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B211D"/>
                <w:sz w:val="21"/>
                <w:szCs w:val="21"/>
              </w:rPr>
              <w:t xml:space="preserve">Constat majeur transverse : même pour les tables listées comme « réelles », les écrans d'actifs et d'ordres de travail issus de Dataverse n'exposent pas encore les champs pilotés par le moteur de règles (cycle de vie, criticité, code inventaire) — ces attributs sont forcés à une valeur par défaut à la lecture (dataService.js, getActifs). Toute la mécanique de workflow décrite ci-dessous s'applique donc aujourd'hui aux données de démonstration, pas encore aux enregistrements réels du référentiel patrimoine.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1E" w:sz="4" w:space="4"/>
        </w:pBdr>
        <w:spacing w:after="180" w:before="380"/>
      </w:pPr>
      <w:r>
        <w:rPr>
          <w:b/>
          <w:bCs/>
          <w:color w:val="0E3B2E"/>
        </w:rPr>
        <w:t xml:space="preserve">US-01 — Référentiel unique du patrimoine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500"/>
        <w:gridCol w:w="1500"/>
        <w:gridCol w:w="2800"/>
      </w:tblGrid>
      <w:tr>
        <w:trPr>
          <w:tblHeader/>
        </w:trPr>
        <w:tc>
          <w:tcPr>
            <w:tcW w:type="dxa" w:w="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Exigence (cahier des charges)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Données</w:t>
            </w:r>
          </w:p>
        </w:tc>
        <w:tc>
          <w:tcPr>
            <w:tcW w:type="dxa" w:w="28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Constat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Cycle de vie de fiche actif à 5 états (Brouillon, En validation, Actif, En retrait, Retiré)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4 états seulement (En saisie → Actif → En retrait → Retiré) — l'étape de validation hiérarchique a été retirée par choix produit (« workflows v2.0 »).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Hiérarchie de rattachement Site &gt; Bâtiment &gt; Local &gt; Équipement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Dataverse (réel)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Arbre libre parent/enfant avec type au choix (Siège, Agence, Bâtiment, Étage, Salle, Local) — aucune contrainte de niveau imposée par le système.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Génération automatique du code inventaire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genererProchainCodeInventaire() : nomenclature INV-{année}-{numéro séquentiel}, jamais saisie à la main.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Actif de criticité 1 obligatoirement rattaché à un plan préventif et un contrat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Contrôle existant mais non bloquant : une alerte « Avertissement » est levée, l'activation reste possible.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Documents joints horodatés et versionnés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Horodatage présent (date d'ajout) ; aucune gestion de version (un nouvel envoi du même type de document s'ajoute, ne remplace pas).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6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Trois catégories de modification (mineure / structurante / critique) avec double validation sur les critiques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Seulement 2 catégories implémentées (courante / critique), et validation par un seul valideur (Responsable DMG), pas de double validation Gestionnaire + Directeur DMG.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7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Import en masse avec contrôle qualité et rapport de rejets ligne par ligne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Rapport de rejets fonctionnel, mais seul contrôle qualité effectué : nom manquant (pas de vérification d'unicité, de cohérence emplacement/catégorie).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8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Sécurité par ligne (responsable de site ne voit que son site)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Filtrage effectué côté client uniquement après récupération de la totalité des données — pas de sécurité au niveau de la source. L'écran Tickets n'applique pas ce filtre.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9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Journal d'audit (utilisateur, date, champs modifiés, avant/après) sur Actif et Site/Bâtiment/Local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Audit actif sur les actifs, OT, pénalités, clés — mais absent sur la création/modification d'un emplacement. Pas de diff structuré avant/après, un résumé texte.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10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Formulaire adaptatif selon le type d'équipement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Un unique champ libre « attribut spécifique » pour tous les types — pas de formulaire dynamique par typologie (GAB, mobilier, etc.).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11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QR code unique par actif, imprimable en étiquette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QR code réellement généré (composant QrCode.jsx) et affiché sur la fiche actif ; fonctionne uniquement pour les actifs créés en démo (code inventaire absent sur les actifs Dataverse) ; pas de gabarit d'impression dédié.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1E" w:sz="4" w:space="4"/>
        </w:pBdr>
        <w:spacing w:after="180" w:before="380"/>
      </w:pPr>
      <w:r>
        <w:rPr>
          <w:b/>
          <w:bCs/>
          <w:color w:val="0E3B2E"/>
        </w:rPr>
        <w:t xml:space="preserve">US-02 — Interventions correctives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500"/>
        <w:gridCol w:w="1500"/>
        <w:gridCol w:w="2800"/>
      </w:tblGrid>
      <w:tr>
        <w:trPr>
          <w:tblHeader/>
        </w:trPr>
        <w:tc>
          <w:tcPr>
            <w:tcW w:type="dxa" w:w="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Exigence (cahier des charges)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Données</w:t>
            </w:r>
          </w:p>
        </w:tc>
        <w:tc>
          <w:tcPr>
            <w:tcW w:type="dxa" w:w="28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Constat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12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Cycle de vie de l'OT correctif à 9 états exacts, avec transitions contrôlées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Dataverse (réel)*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Les 9 états et la table de transitions autorisées sont fidèlement implémentés (domain/ordreTravailWorkflow.js). *Lecture Dataverse, mutations sur données démo.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13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Signalement par scan QR code ou sélection dans une liste filtrée par site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Le « scan » est une saisie manuelle du code (pas de caméra) ; la liste d'actifs proposée n'est pas filtrée par site.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14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Notification email au déclarant (numéro de ticket, délai calculé)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Aucun envoi d'e-mail dans le code (ni SMTP, ni Power Automate).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15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Affectation automatique proposée d'un prestataire selon contrat/catégorie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qualifierOrdreTravail() propose le prestataire par défaut de la catégorie de l'actif.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16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Alerte si équipement sans contrat de maintenance rattaché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Alerte automatique générée à la qualification si aucune règle SLA/contrat applicable.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17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Accusé de réception : délai contractuel par criticité (30min/2h/4h) + pré-escalade automatique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Seuils implémentés et alerte générée en cas de dépassement, mais Moyenne et Basse partagent le même seuil (4h) au lieu d'être distinguées ; pas de changement de statut automatique.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18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Photo « avant intervention » obligatoire (criticités 1-2)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Champ explicitement libellé « (recommandé) » dans l'interface, jamais contrôlé au blocage de la résolution.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19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Chronométrage automatique du temps d'intervention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Calcul par différence de dates arrondie à la journée (pas un vrai chronomètre), et modifiable manuellement dans le compte-rendu.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20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Compte-rendu structuré obligatoire et bloquant à la clôture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resoudreOrdreTravail() refuse la résolution sans actions réalisées ni checklist complète.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21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Photo « après intervention » obligatoire (criticités 1-2)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Même constat que l'item 18 — recommandé, non bloquant.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22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Validation tacite de clôture après 48h sans action du responsable de site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Choix produit inverse et assumé : la clôture reste bloquée tant que le responsable de site n'a pas validé explicitement (un simple rappel quotidien est envoyé).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23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Fiche d'analyse post-incident automatique (OT clôturé, actif Critique)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genererFicheAnalysePostIncidentSiNecessaire() déclenchée automatiquement à la clôture.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24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Escalade automatique à 4 paliers (50% / 80% / 100% / 200-400%) avec destinataires différenciés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4 paliers avec destinataires différenciés implémentés (jusqu'à Direction Générale), mais un seul palier haut à 200% — pas de palier distinct à 400%.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25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Géolocalisation du pointage d'arrivée sur site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Aucune utilisation de la géolocalisation navigateur/mobile dans le code.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26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Application mobile avec saisie hors-ligne synchronisée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Application web (SPA) uniquement — pas de PWA, service worker, stockage hors-ligne, ni application mobile dédiée.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1E" w:sz="4" w:space="4"/>
        </w:pBdr>
        <w:spacing w:after="180" w:before="380"/>
      </w:pPr>
      <w:r>
        <w:rPr>
          <w:b/>
          <w:bCs/>
          <w:color w:val="0E3B2E"/>
        </w:rPr>
        <w:t xml:space="preserve">US-03 — Maintenance préventive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500"/>
        <w:gridCol w:w="1500"/>
        <w:gridCol w:w="2800"/>
      </w:tblGrid>
      <w:tr>
        <w:trPr>
          <w:tblHeader/>
        </w:trPr>
        <w:tc>
          <w:tcPr>
            <w:tcW w:type="dxa" w:w="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Exigence (cahier des charges)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Données</w:t>
            </w:r>
          </w:p>
        </w:tc>
        <w:tc>
          <w:tcPr>
            <w:tcW w:type="dxa" w:w="28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Constat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27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4 types de plans distincts (Calendaire, Basé sur l'usage, Réglementaire, Conditionnel)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Les 4 types existent comme option de formulaire, mais le moteur de planification n'exploite que la fréquence calendaire — les 3 autres logiques ne sont pas implémentées.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28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Génération auto de l'OT préventif à J-30 (crit. 1-2) / J-15 (crit. 3-4)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automationEngine.js applique exactement ces délais d'anticipation, de façon idempotente.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29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Numérotation distincte préventif (PREV) vs correctif (CORR)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prochainNumeroOt() applique le préfixe correspondant à l'origine de l'OT.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30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Fenêtre de tolérance ±30% pour la date d'intervention, avec escalade si dépassée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validerDateIntervention() calcule la tolérance et déclenche alerte + tâche d'arbitrage en cas de dépassement.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31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Étalement des échéances à l'activation d'un plan multi-équipements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validerPlanPreventif() répartit les dates de première échéance pour éviter un pic d'OT.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32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Basculement préventif → correctif en un clic sur anomalie détectée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signalerAnomaliePreventif() crée un OT correctif lié, accessible depuis un bouton dédié.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33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Historique des mesures/paramètres relevés pour suivi de tendances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❌ Non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La structure de données existe (compteRendu.mesures) mais aucun écran ne permet de la saisir ni de la consulter — donnée morte.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34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Rapport mensuel automatique consolidé, envoyé au Directeur DMG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⚠ Partiel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Génération automatique du rapport consolidé simulée, sans envoi d'e-mail réel ; destinataire enregistré « Responsable DMG » et non « Directeur DMG ».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35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Non-respect d'échéance à 3 paliers (1j / 7-15j / 30-60j) avec suspension de contrat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Les 3 paliers sont implémentés fidèlement, jusqu'à la suspension automatique du contrat au 3e palier. Les criticités Moyenne/Basse n'ont cependant qu'un rappel, sans escalade.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1E" w:sz="4" w:space="4"/>
        </w:pBdr>
        <w:spacing w:after="180" w:before="380"/>
      </w:pPr>
      <w:r>
        <w:rPr>
          <w:b/>
          <w:bCs/>
          <w:color w:val="0E3B2E"/>
        </w:rPr>
        <w:t xml:space="preserve">Modules complémentaires Afriland (hors périmètre initial du cahier des charges)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1B211D"/>
          <w:sz w:val="22"/>
          <w:szCs w:val="22"/>
        </w:rPr>
        <w:t xml:space="preserve">Ces modules ne figurent pas dans les 3 workflows initiaux (US-01 à US-03) mais ont été ajoutés pour le déploiement Afriland First Bank. Ils sont listés ici pour information — tous fonctionnent exclusivement sur données de démonstration, sans lien avec Dataverse.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500"/>
        <w:gridCol w:w="1500"/>
        <w:gridCol w:w="2800"/>
      </w:tblGrid>
      <w:tr>
        <w:trPr>
          <w:tblHeader/>
        </w:trPr>
        <w:tc>
          <w:tcPr>
            <w:tcW w:type="dxa" w:w="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Exigence (cahier des charges)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  <w:tc>
          <w:tcPr>
            <w:tcW w:type="dxa" w:w="15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Données</w:t>
            </w:r>
          </w:p>
        </w:tc>
        <w:tc>
          <w:tcPr>
            <w:tcW w:type="dxa" w:w="2800"/>
            <w:shd w:fill="8B1E1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Constat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Règles &amp; mesures SLA (délai contractuel, mesure automatique à la clôture)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Résolution de la règle applicable et mesure automatique correctement implémentées.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Pénalités avec double validation au-delà d'un seuil de montant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Seuil de 500 000 FCFA ; deux valideurs distincts requis — implémentation conforme à la règle.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Évaluations prestataires (qualité / délai / coût)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Saisie simple, sans calcul de tendance automatisé.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Clés &amp; accès — double validation pour zone classifiée « Élevée »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Retrait bloqué sans deux valideurs distincts ; mouvement tracé au journal d'audit.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E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Projets immobiliers — bascule automatique en exploitation à la réception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Création automatique d'un emplacement et activation d'un plan préventif générique à la réception du projet.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F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Tâches de workflow (validations, approbations en attente)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Alimentées automatiquement par les autres règles métier (SLA, escalade, non-conformité).</w:t>
            </w:r>
          </w:p>
        </w:tc>
      </w:tr>
      <w:tr>
        <w:tc>
          <w:tcPr>
            <w:tcW w:type="dxa" w:w="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G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Alertes automatiques centralisées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11D"/>
                <w:sz w:val="16"/>
                <w:szCs w:val="16"/>
              </w:rPr>
              <w:t xml:space="preserve">✅ Respecté</w:t>
            </w:r>
          </w:p>
        </w:tc>
        <w:tc>
          <w:tcPr>
            <w:tcW w:type="dxa" w:w="15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Démo (mock)</w:t>
            </w:r>
          </w:p>
        </w:tc>
        <w:tc>
          <w:tcPr>
            <w:tcW w:type="dxa" w:w="28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11D"/>
                <w:sz w:val="16"/>
                <w:szCs w:val="16"/>
              </w:rPr>
              <w:t xml:space="preserve">Module le plus abouti : une dizaine de règles d'alerte distinctes, toutes idempotentes.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1E" w:sz="4" w:space="4"/>
        </w:pBdr>
        <w:spacing w:after="180" w:before="380"/>
      </w:pPr>
      <w:r>
        <w:rPr>
          <w:b/>
          <w:bCs/>
          <w:color w:val="0E3B2E"/>
        </w:rPr>
        <w:t xml:space="preserve">Synthèse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1B211D"/>
          <w:sz w:val="22"/>
          <w:szCs w:val="22"/>
        </w:rPr>
        <w:t xml:space="preserve">Sur les 35 exigences du cahier des charges (US-01 à US-03)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200"/>
      </w:tblGrid>
      <w:tr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E5F0E9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211D"/>
                <w:sz w:val="32"/>
                <w:szCs w:val="32"/>
              </w:rPr>
              <w:t xml:space="preserve">12</w:t>
            </w:r>
          </w:p>
          <w:p>
            <w:pPr>
              <w:spacing w:before="60"/>
              <w:jc w:val="center"/>
            </w:pPr>
            <w:r>
              <w:rPr>
                <w:color w:val="1B211D"/>
                <w:sz w:val="19"/>
                <w:szCs w:val="19"/>
              </w:rPr>
              <w:t xml:space="preserve">✅ Respecté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DD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211D"/>
                <w:sz w:val="32"/>
                <w:szCs w:val="32"/>
              </w:rPr>
              <w:t xml:space="preserve">15</w:t>
            </w:r>
          </w:p>
          <w:p>
            <w:pPr>
              <w:spacing w:before="60"/>
              <w:jc w:val="center"/>
            </w:pPr>
            <w:r>
              <w:rPr>
                <w:color w:val="1B211D"/>
                <w:sz w:val="19"/>
                <w:szCs w:val="19"/>
              </w:rPr>
              <w:t xml:space="preserve">⚠ Partiel</w:t>
            </w:r>
          </w:p>
        </w:tc>
        <w:tc>
          <w:tcPr>
            <w:tcW w:type="dxa" w:w="3100"/>
            <w:tcBorders>
              <w:top w:val="single" w:color="E1DCCC" w:sz="2"/>
              <w:left w:val="single" w:color="E1DCCC" w:sz="2"/>
              <w:bottom w:val="single" w:color="E1DCCC" w:sz="2"/>
              <w:right w:val="single" w:color="E1DCCC" w:sz="2"/>
            </w:tcBorders>
            <w:shd w:fill="F5E6E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211D"/>
                <w:sz w:val="32"/>
                <w:szCs w:val="32"/>
              </w:rPr>
              <w:t xml:space="preserve">8</w:t>
            </w:r>
          </w:p>
          <w:p>
            <w:pPr>
              <w:spacing w:before="60"/>
              <w:jc w:val="center"/>
            </w:pPr>
            <w:r>
              <w:rPr>
                <w:color w:val="1B211D"/>
                <w:sz w:val="19"/>
                <w:szCs w:val="19"/>
              </w:rPr>
              <w:t xml:space="preserve">❌ Non respecté</w:t>
            </w:r>
          </w:p>
        </w:tc>
      </w:tr>
    </w:tbl>
    <w:p>
      <w:pPr>
        <w:spacing w:before="300"/>
      </w:pP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1B211D"/>
          <w:sz w:val="22"/>
          <w:szCs w:val="22"/>
        </w:rPr>
        <w:t xml:space="preserve">Aucune des exigences respectées ou partiellement respectées ne s'applique aujourd'hui aux données réelles du référentiel Dataverse : la totalité du moteur de règles métier (cycle de vie, criticité, escalades, SLA, préventif) tourne sur le jeu de données de démonstration (src/data/mockData.js), réinitialisé à chaque rechargement. Les 7 tables connectées à Dataverse via Power Pages ne sont, à ce stade, utilisées qu'en lecture (à l'exception de la création de Ticket).</w:t>
      </w:r>
    </w:p>
    <w:p>
      <w:pPr>
        <w:pStyle w:val="Heading2"/>
        <w:spacing w:after="110" w:before="240"/>
      </w:pPr>
      <w:r>
        <w:rPr>
          <w:b/>
          <w:bCs/>
          <w:color w:val="0E3B2E"/>
        </w:rPr>
        <w:t xml:space="preserve">Recommandations prioritaires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11D"/>
          <w:sz w:val="22"/>
          <w:szCs w:val="22"/>
        </w:rPr>
        <w:t xml:space="preserve">Brancher les écritures du moteur de règles (création/modification d'actif, changements de statut d'OT) sur Dataverse au lieu du jeu de données de démonstration — condition préalable à toute mise en production.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11D"/>
          <w:sz w:val="22"/>
          <w:szCs w:val="22"/>
        </w:rPr>
        <w:t xml:space="preserve">Rendre bloquantes les photos avant/après pour les criticités 1-2 (items 18, 21), conformément au cahier des charges.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11D"/>
          <w:sz w:val="22"/>
          <w:szCs w:val="22"/>
        </w:rPr>
        <w:t xml:space="preserve">Mettre en œuvre l'envoi d'e-mail réel au déclarant et pour le rapport mensuel (items 14, 34).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11D"/>
          <w:sz w:val="22"/>
          <w:szCs w:val="22"/>
        </w:rPr>
        <w:t xml:space="preserve">Compléter la sécurité par ligne côté source de données plutôt qu'en filtrage client (item 8), et corriger l'écran Tickets qui n'applique pas encore ce filtre.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B211D"/>
          <w:sz w:val="22"/>
          <w:szCs w:val="22"/>
        </w:rPr>
        <w:t xml:space="preserve">Clarifier avec la DMG si la validation hiérarchique à la création d'actif (état « En validation ») et la double validation des modifications critiques doivent être réintroduites (items 1, 6), ou si la simplification « workflows v2.0 » est validée définitivement.</w:t>
      </w:r>
    </w:p>
    <w:p>
      <w:pPr>
        <w:pBdr>
          <w:top w:val="single" w:color="E1DCCC" w:sz="4" w:space="8"/>
        </w:pBdr>
        <w:spacing w:before="500"/>
        <w:jc w:val="center"/>
      </w:pPr>
      <w:r>
        <w:rPr>
          <w:i/>
          <w:iCs/>
          <w:color w:val="6B7268"/>
          <w:sz w:val="18"/>
          <w:szCs w:val="18"/>
        </w:rPr>
        <w:t xml:space="preserve">FirstMaint — Afriland First Bank — Direction des Moyens Généraux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68"/>
        <w:sz w:val="16"/>
        <w:szCs w:val="16"/>
      </w:rPr>
      <w:t xml:space="preserve">Page </w:t>
    </w:r>
    <w:r>
      <w:rPr>
        <w:color w:val="6B72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68"/>
        <w:sz w:val="16"/>
        <w:szCs w:val="16"/>
      </w:rPr>
      <w:t xml:space="preserve">FirstMaint — Matrice de Conformité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2026-08-18T11:00:38.219Z</dcterms:created>
  <dcterms:modified xsi:type="dcterms:W3CDTF">2026-08-18T11:00:38.219Z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