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40"/>
        <w:jc w:val="left"/>
      </w:pPr>
      <w:r>
        <w:rPr>
          <w:rFonts w:ascii="Calibri" w:cs="Calibri" w:eastAsia="Calibri" w:hAnsi="Calibri"/>
          <w:b/>
          <w:bCs/>
          <w:color w:val="2E5F8A"/>
          <w:spacing w:val="60"/>
          <w:sz w:val="26"/>
          <w:szCs w:val="26"/>
        </w:rPr>
        <w:t xml:space="preserve">MARINE SURVEY APP</w:t>
      </w:r>
    </w:p>
    <w:p>
      <w:pPr>
        <w:pBdr>
          <w:bottom w:val="single" w:color="1F3A5F" w:sz="12" w:space="8"/>
        </w:pBdr>
        <w:spacing w:after="200"/>
        <w:jc w:val="left"/>
      </w:pPr>
      <w:r>
        <w:rPr>
          <w:rFonts w:ascii="Calibri" w:cs="Calibri" w:eastAsia="Calibri" w:hAnsi="Calibri"/>
          <w:sz w:val="8"/>
          <w:szCs w:val="8"/>
        </w:rPr>
        <w:t xml:space="preserve"/>
      </w:r>
    </w:p>
    <w:p>
      <w:pPr>
        <w:spacing w:after="60"/>
      </w:pPr>
      <w:r>
        <w:rPr>
          <w:rFonts w:ascii="Calibri" w:cs="Calibri" w:eastAsia="Calibri" w:hAnsi="Calibri"/>
          <w:b/>
          <w:bCs/>
          <w:color w:val="1F3A5F"/>
          <w:sz w:val="52"/>
          <w:szCs w:val="52"/>
        </w:rPr>
        <w:t xml:space="preserve">Integrating the C&amp;S — AHTS Module</w:t>
      </w:r>
    </w:p>
    <w:p>
      <w:pPr>
        <w:spacing w:after="300"/>
      </w:pPr>
      <w:r>
        <w:rPr>
          <w:rFonts w:ascii="Calibri" w:cs="Calibri" w:eastAsia="Calibri" w:hAnsi="Calibri"/>
          <w:i/>
          <w:iCs/>
          <w:color w:val="5B7A99"/>
          <w:sz w:val="26"/>
          <w:szCs w:val="26"/>
        </w:rPr>
        <w:t xml:space="preserve">Condition &amp; Suitability (Marine Warranty) survey as a new case type</w:t>
      </w:r>
    </w:p>
    <w:p>
      <w:pPr>
        <w:spacing w:after="120" w:line="276"/>
      </w:pPr>
      <w:r>
        <w:rPr>
          <w:rFonts w:ascii="Calibri" w:cs="Calibri" w:eastAsia="Calibri" w:hAnsi="Calibri"/>
          <w:b/>
          <w:bCs/>
          <w:color w:val="1A1A1A"/>
          <w:sz w:val="21"/>
          <w:szCs w:val="21"/>
        </w:rPr>
        <w:t xml:space="preserve">Prepared for: </w:t>
      </w:r>
      <w:r>
        <w:rPr>
          <w:rFonts w:ascii="Calibri" w:cs="Calibri" w:eastAsia="Calibri" w:hAnsi="Calibri"/>
          <w:color w:val="1A1A1A"/>
          <w:sz w:val="21"/>
          <w:szCs w:val="21"/>
        </w:rPr>
        <w:t xml:space="preserve">Pierre-Louis Constant (ABL Group), sole developer</w:t>
      </w:r>
    </w:p>
    <w:p>
      <w:pPr>
        <w:spacing w:after="120" w:line="276"/>
      </w:pPr>
      <w:r>
        <w:rPr>
          <w:rFonts w:ascii="Calibri" w:cs="Calibri" w:eastAsia="Calibri" w:hAnsi="Calibri"/>
          <w:b/>
          <w:bCs/>
          <w:color w:val="1A1A1A"/>
          <w:sz w:val="21"/>
          <w:szCs w:val="21"/>
        </w:rPr>
        <w:t xml:space="preserve">Scope: </w:t>
      </w:r>
      <w:r>
        <w:rPr>
          <w:rFonts w:ascii="Calibri" w:cs="Calibri" w:eastAsia="Calibri" w:hAnsi="Calibri"/>
          <w:color w:val="1A1A1A"/>
          <w:sz w:val="21"/>
          <w:szCs w:val="21"/>
        </w:rPr>
        <w:t xml:space="preserve">How to add C&amp;S — AHTS to the existing Flutter + Supabase app — selecting it at case creation and reusing the current tools, data model, AI and report-builder rather than building a parallel product.</w:t>
      </w:r>
    </w:p>
    <w:p>
      <w:pPr>
        <w:spacing w:after="120" w:line="276"/>
      </w:pPr>
      <w:r>
        <w:rPr>
          <w:rFonts w:ascii="Calibri" w:cs="Calibri" w:eastAsia="Calibri" w:hAnsi="Calibri"/>
          <w:b/>
          <w:bCs/>
          <w:color w:val="1A1A1A"/>
          <w:sz w:val="21"/>
          <w:szCs w:val="21"/>
        </w:rPr>
        <w:t xml:space="preserve">Reference template: </w:t>
      </w:r>
      <w:r>
        <w:rPr>
          <w:rFonts w:ascii="Calibri" w:cs="Calibri" w:eastAsia="Calibri" w:hAnsi="Calibri"/>
          <w:color w:val="1A1A1A"/>
          <w:sz w:val="21"/>
          <w:szCs w:val="21"/>
        </w:rPr>
        <w:t xml:space="preserve">ABL Marine Warranty Condition &amp; Suitability Survey Report (Tug / AHT / DP), as filled for the Normand Scorpion (Woodside / Scarborough FPU, AU-G30-030818).</w:t>
      </w:r>
    </w:p>
    <w:p>
      <w:pPr>
        <w:spacing w:after="20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How to read this document</w:t>
            </w:r>
          </w:p>
          <w:p>
            <w:pPr>
              <w:spacing w:after="40" w:line="264"/>
            </w:pPr>
            <w:r>
              <w:rPr>
                <w:rFonts w:ascii="Calibri" w:cs="Calibri" w:eastAsia="Calibri" w:hAnsi="Calibri"/>
                <w:color w:val="1A1A1A"/>
                <w:sz w:val="20"/>
                <w:szCs w:val="20"/>
              </w:rPr>
              <w:t xml:space="preserve">Sections 1–3 frame the problem and the core design decision (one engine, two report shapes).</w:t>
            </w:r>
          </w:p>
          <w:p>
            <w:pPr>
              <w:spacing w:after="40" w:line="264"/>
            </w:pPr>
            <w:r>
              <w:rPr>
                <w:rFonts w:ascii="Calibri" w:cs="Calibri" w:eastAsia="Calibri" w:hAnsi="Calibri"/>
                <w:color w:val="1A1A1A"/>
                <w:sz w:val="20"/>
                <w:szCs w:val="20"/>
              </w:rPr>
              <w:t xml:space="preserve">Sections 4–6 are the concrete build: case-creation change, data model, and report generation.</w:t>
            </w:r>
          </w:p>
          <w:p>
            <w:pPr>
              <w:spacing w:after="40" w:line="264"/>
            </w:pPr>
            <w:r>
              <w:rPr>
                <w:rFonts w:ascii="Calibri" w:cs="Calibri" w:eastAsia="Calibri" w:hAnsi="Calibri"/>
                <w:color w:val="1A1A1A"/>
                <w:sz w:val="20"/>
                <w:szCs w:val="20"/>
              </w:rPr>
              <w:t xml:space="preserve">Sections 7–9 cover field capture, AI reuse, and compliance parity.</w:t>
            </w:r>
          </w:p>
          <w:p>
            <w:pPr>
              <w:spacing w:after="40" w:line="264"/>
            </w:pPr>
            <w:r>
              <w:rPr>
                <w:rFonts w:ascii="Calibri" w:cs="Calibri" w:eastAsia="Calibri" w:hAnsi="Calibri"/>
                <w:color w:val="1A1A1A"/>
                <w:sz w:val="20"/>
                <w:szCs w:val="20"/>
              </w:rPr>
              <w:t xml:space="preserve">Section 10 is a phased plan you can execute incrementally; Section 11 lists open decisions for you to make.</w:t>
            </w:r>
          </w:p>
        </w:tc>
      </w:tr>
    </w:tbl>
    <w:p>
      <w:r>
        <w:br w:type="page"/>
      </w:r>
    </w:p>
    <w:p>
      <w:pPr>
        <w:pStyle w:val="Heading1"/>
        <w:spacing w:after="140" w:before="32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A5F"/>
          <w:sz w:val="30"/>
          <w:szCs w:val="30"/>
        </w:rPr>
        <w:t xml:space="preserve">1.  The opportunity, in one paragraph</w:t>
      </w:r>
    </w:p>
    <w:p>
      <w:pPr>
        <w:spacing w:after="120" w:line="276"/>
      </w:pPr>
      <w:r>
        <w:rPr>
          <w:rFonts w:ascii="Calibri" w:cs="Calibri" w:eastAsia="Calibri" w:hAnsi="Calibri"/>
          <w:color w:val="1A1A1A"/>
          <w:sz w:val="21"/>
          <w:szCs w:val="21"/>
        </w:rPr>
        <w:t xml:space="preserve">The app today builds one kind of deliverable end-to-end: a Hull &amp; Machinery casualty report — a narrative that flows from occurrence to causation to damage register to apportioned cost. A </w:t>
      </w:r>
      <w:r>
        <w:rPr>
          <w:rFonts w:ascii="Calibri" w:cs="Calibri" w:eastAsia="Calibri" w:hAnsi="Calibri"/>
          <w:b/>
          <w:bCs/>
          <w:color w:val="1A1A1A"/>
          <w:sz w:val="21"/>
          <w:szCs w:val="21"/>
        </w:rPr>
        <w:t xml:space="preserve">Condition &amp; Suitability (C&amp;S)</w:t>
      </w:r>
      <w:r>
        <w:rPr>
          <w:rFonts w:ascii="Calibri" w:cs="Calibri" w:eastAsia="Calibri" w:hAnsi="Calibri"/>
          <w:color w:val="1A1A1A"/>
          <w:sz w:val="21"/>
          <w:szCs w:val="21"/>
        </w:rPr>
        <w:t xml:space="preserve"> survey is a different animal. It is not a story about a casualty; it is a structured, item-by-item inspection of a vessel against a standard, ending in a single verdict — is this vessel </w:t>
      </w:r>
      <w:r>
        <w:rPr>
          <w:rFonts w:ascii="Calibri" w:cs="Calibri" w:eastAsia="Calibri" w:hAnsi="Calibri"/>
          <w:i/>
          <w:iCs/>
          <w:color w:val="1A1A1A"/>
          <w:sz w:val="21"/>
          <w:szCs w:val="21"/>
        </w:rPr>
        <w:t xml:space="preserve">suitable</w:t>
      </w:r>
      <w:r>
        <w:rPr>
          <w:rFonts w:ascii="Calibri" w:cs="Calibri" w:eastAsia="Calibri" w:hAnsi="Calibri"/>
          <w:color w:val="1A1A1A"/>
          <w:sz w:val="21"/>
          <w:szCs w:val="21"/>
        </w:rPr>
        <w:t xml:space="preserve"> for the intended operation — plus a gated list of recommendations that must be closed before approval. The good news: almost every </w:t>
      </w:r>
      <w:r>
        <w:rPr>
          <w:rFonts w:ascii="Calibri" w:cs="Calibri" w:eastAsia="Calibri" w:hAnsi="Calibri"/>
          <w:b/>
          <w:bCs/>
          <w:color w:val="1A1A1A"/>
          <w:sz w:val="21"/>
          <w:szCs w:val="21"/>
        </w:rPr>
        <w:t xml:space="preserve">capability</w:t>
      </w:r>
      <w:r>
        <w:rPr>
          <w:rFonts w:ascii="Calibri" w:cs="Calibri" w:eastAsia="Calibri" w:hAnsi="Calibri"/>
          <w:color w:val="1A1A1A"/>
          <w:sz w:val="21"/>
          <w:szCs w:val="21"/>
        </w:rPr>
        <w:t xml:space="preserve"> the app already has (offline capture, photos, voice notes, document extraction, the Case Analyst, the OOXML report generator, dual sign-off, the AI audit trail) is directly reusable. What changes is the </w:t>
      </w:r>
      <w:r>
        <w:rPr>
          <w:rFonts w:ascii="Calibri" w:cs="Calibri" w:eastAsia="Calibri" w:hAnsi="Calibri"/>
          <w:b/>
          <w:bCs/>
          <w:color w:val="1A1A1A"/>
          <w:sz w:val="21"/>
          <w:szCs w:val="21"/>
        </w:rPr>
        <w:t xml:space="preserve">shape of the record and the shape of the report</w:t>
      </w:r>
      <w:r>
        <w:rPr>
          <w:rFonts w:ascii="Calibri" w:cs="Calibri" w:eastAsia="Calibri" w:hAnsi="Calibri"/>
          <w:color w:val="1A1A1A"/>
          <w:sz w:val="21"/>
          <w:szCs w:val="21"/>
        </w:rPr>
        <w:t xml:space="preserve">, not the toolset.</w:t>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C08A2E" w:sz="24"/>
              <w:bottom w:val="none" w:color="FFFFFF" w:sz="0"/>
              <w:right w:val="none" w:color="FFFFFF" w:sz="0"/>
            </w:tcBorders>
            <w:shd w:fill="FDF3E3"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The one-sentence thesis</w:t>
            </w:r>
          </w:p>
          <w:p>
            <w:pPr>
              <w:spacing w:after="40" w:line="264"/>
            </w:pPr>
            <w:r>
              <w:rPr>
                <w:rFonts w:ascii="Calibri" w:cs="Calibri" w:eastAsia="Calibri" w:hAnsi="Calibri"/>
                <w:color w:val="1A1A1A"/>
                <w:sz w:val="20"/>
                <w:szCs w:val="20"/>
              </w:rPr>
              <w:t xml:space="preserve">Add C&amp;S as a second case type behind the same tools — a new report shape and a lightweight inspection data model bolted onto the existing engine — not a separate app.</w:t>
            </w:r>
          </w:p>
        </w:tc>
      </w:tr>
    </w:tbl>
    <w:p>
      <w:pPr>
        <w:pStyle w:val="Heading1"/>
        <w:spacing w:after="140" w:before="320"/>
      </w:pPr>
      <w:r>
        <w:rPr>
          <w:rFonts w:ascii="Calibri" w:cs="Calibri" w:eastAsia="Calibri" w:hAnsi="Calibri"/>
          <w:b/>
          <w:bCs/>
          <w:color w:val="1F3A5F"/>
          <w:sz w:val="30"/>
          <w:szCs w:val="30"/>
        </w:rPr>
        <w:t xml:space="preserve">2.  How C&amp;S differs from the H&amp;M report you already build</w:t>
      </w:r>
    </w:p>
    <w:p>
      <w:pPr>
        <w:spacing w:after="120" w:line="276"/>
      </w:pPr>
      <w:r>
        <w:rPr>
          <w:rFonts w:ascii="Calibri" w:cs="Calibri" w:eastAsia="Calibri" w:hAnsi="Calibri"/>
          <w:color w:val="1A1A1A"/>
          <w:sz w:val="21"/>
          <w:szCs w:val="21"/>
        </w:rPr>
        <w:t xml:space="preserve">Understanding the difference precisely is what keeps this a small, surgical addition rather than a rebuild. The two report types share a spine (a vessel, attendances, photos, documents, parties, sign-off) but diverge in their core payload.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Dimension</w:t>
            </w:r>
          </w:p>
        </w:tc>
        <w:tc>
          <w:tcPr>
            <w:tcW w:type="dxa" w:w="373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H&amp;M casualty report (today)</w:t>
            </w:r>
          </w:p>
        </w:tc>
        <w:tc>
          <w:tcPr>
            <w:tcW w:type="dxa" w:w="373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C&amp;S — AHTS survey (new)</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Core question</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What happened, what did it cost, who pays?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Is the vessel suitable for the intended operation?</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Payload shape</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Narrative prose (occurrence → causation → damage → cost)</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 of inspection items across fixed sections</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Unit of data</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Damage item, invoice line, occurrence</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Inspection item with a grade + remark</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Grading</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 — descriptive</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SATISFACTORY / GOOD / UNSATISFACTORY (defined verbatim in template)</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The verdict</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Cost apportionment (Owners vs Underwriters)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Suitability statement + Recommendations that gate approval</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Structure</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Free-ish, case-driven sections</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Fixed sections 1.0–11.0 + Appendices A–E, threshold-driven</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Trigger context</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After a casualty / claim</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Before a project mobilisation (Marine Warranty)</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Instructing party</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Assured / Underwriters / loss adjuster</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Charterer / operator (e.g. Woodside / WEL)</w:t>
            </w:r>
          </w:p>
        </w:tc>
      </w:tr>
    </w:tbl>
    <w:p>
      <w:pPr>
        <w:spacing w:after="80"/>
      </w:pPr>
      <w:r>
        <w:t xml:space="preserve"/>
      </w:r>
    </w:p>
    <w:p>
      <w:pPr>
        <w:spacing w:after="120" w:line="276"/>
      </w:pPr>
      <w:r>
        <w:rPr>
          <w:rFonts w:ascii="Calibri" w:cs="Calibri" w:eastAsia="Calibri" w:hAnsi="Calibri"/>
          <w:color w:val="1A1A1A"/>
          <w:sz w:val="21"/>
          <w:szCs w:val="21"/>
        </w:rPr>
        <w:t xml:space="preserve">The practical consequence: C&amp;S needs a </w:t>
      </w:r>
      <w:r>
        <w:rPr>
          <w:rFonts w:ascii="Calibri" w:cs="Calibri" w:eastAsia="Calibri" w:hAnsi="Calibri"/>
          <w:b/>
          <w:bCs/>
          <w:color w:val="1A1A1A"/>
          <w:sz w:val="21"/>
          <w:szCs w:val="21"/>
        </w:rPr>
        <w:t xml:space="preserve">generic “inspection item” record</w:t>
      </w:r>
      <w:r>
        <w:rPr>
          <w:rFonts w:ascii="Calibri" w:cs="Calibri" w:eastAsia="Calibri" w:hAnsi="Calibri"/>
          <w:color w:val="1A1A1A"/>
          <w:sz w:val="21"/>
          <w:szCs w:val="21"/>
        </w:rPr>
        <w:t xml:space="preserve"> (section, sub-item, grade, remark, photos, linked recommendation) that the current schema does not have, and the report generator needs a </w:t>
      </w:r>
      <w:r>
        <w:rPr>
          <w:rFonts w:ascii="Calibri" w:cs="Calibri" w:eastAsia="Calibri" w:hAnsi="Calibri"/>
          <w:b/>
          <w:bCs/>
          <w:color w:val="1A1A1A"/>
          <w:sz w:val="21"/>
          <w:szCs w:val="21"/>
        </w:rPr>
        <w:t xml:space="preserve">second layout</w:t>
      </w:r>
      <w:r>
        <w:rPr>
          <w:rFonts w:ascii="Calibri" w:cs="Calibri" w:eastAsia="Calibri" w:hAnsi="Calibri"/>
          <w:color w:val="1A1A1A"/>
          <w:sz w:val="21"/>
          <w:szCs w:val="21"/>
        </w:rPr>
        <w:t xml:space="preserve"> that renders Ref / Item / Remarks tables and a suitability conclusion instead of a damage-and-cost narrative. Everything else is shared.</w:t>
      </w:r>
    </w:p>
    <w:p>
      <w:pPr>
        <w:pStyle w:val="Heading1"/>
        <w:spacing w:after="140" w:before="320"/>
      </w:pPr>
      <w:r>
        <w:rPr>
          <w:rFonts w:ascii="Calibri" w:cs="Calibri" w:eastAsia="Calibri" w:hAnsi="Calibri"/>
          <w:b/>
          <w:bCs/>
          <w:color w:val="1F3A5F"/>
          <w:sz w:val="30"/>
          <w:szCs w:val="30"/>
        </w:rPr>
        <w:t xml:space="preserve">3.  Anatomy of the C&amp;S — AHTS report</w:t>
      </w:r>
    </w:p>
    <w:p>
      <w:pPr>
        <w:spacing w:after="120" w:line="276"/>
      </w:pPr>
      <w:r>
        <w:rPr>
          <w:rFonts w:ascii="Calibri" w:cs="Calibri" w:eastAsia="Calibri" w:hAnsi="Calibri"/>
          <w:color w:val="1A1A1A"/>
          <w:sz w:val="21"/>
          <w:szCs w:val="21"/>
        </w:rPr>
        <w:t xml:space="preserve">The reference template resolves into a fixed skeleton. The module should model this structure explicitly so the report generator and the checklist both read from the same definition.</w:t>
      </w:r>
    </w:p>
    <w:p>
      <w:pPr>
        <w:pStyle w:val="Heading2"/>
        <w:spacing w:after="90" w:before="220"/>
      </w:pPr>
      <w:r>
        <w:rPr>
          <w:rFonts w:ascii="Calibri" w:cs="Calibri" w:eastAsia="Calibri" w:hAnsi="Calibri"/>
          <w:b/>
          <w:bCs/>
          <w:color w:val="2E5F8A"/>
          <w:sz w:val="25"/>
          <w:szCs w:val="25"/>
        </w:rPr>
        <w:t xml:space="preserve">3.1  Front matter (auto-generated)</w:t>
      </w:r>
    </w:p>
    <w:p>
      <w:pPr>
        <w:pStyle w:val="ListParagraph"/>
        <w:numPr>
          <w:ilvl w:val="0"/>
          <w:numId w:val="2"/>
        </w:numPr>
        <w:spacing w:after="70" w:line="268"/>
      </w:pPr>
      <w:r>
        <w:rPr>
          <w:rFonts w:ascii="Calibri" w:cs="Calibri" w:eastAsia="Calibri" w:hAnsi="Calibri"/>
          <w:color w:val="1A1A1A"/>
          <w:sz w:val="21"/>
          <w:szCs w:val="21"/>
        </w:rPr>
        <w:t xml:space="preserve">Cover page — vessel name + “SUITABILITY SURVEY REPORT”, project/operation, on behalf of, client company.</w:t>
      </w:r>
    </w:p>
    <w:p>
      <w:pPr>
        <w:pStyle w:val="ListParagraph"/>
        <w:numPr>
          <w:ilvl w:val="0"/>
          <w:numId w:val="2"/>
        </w:numPr>
        <w:spacing w:after="70" w:line="268"/>
      </w:pPr>
      <w:r>
        <w:rPr>
          <w:rFonts w:ascii="Calibri" w:cs="Calibri" w:eastAsia="Calibri" w:hAnsi="Calibri"/>
          <w:color w:val="1A1A1A"/>
          <w:sz w:val="21"/>
          <w:szCs w:val="21"/>
        </w:rPr>
        <w:t xml:space="preserve">Instruction block — Instruction Date, UMR, ABL Report No., Report Date.</w:t>
      </w:r>
    </w:p>
    <w:p>
      <w:pPr>
        <w:pStyle w:val="ListParagraph"/>
        <w:numPr>
          <w:ilvl w:val="0"/>
          <w:numId w:val="2"/>
        </w:numPr>
        <w:spacing w:after="70" w:line="268"/>
      </w:pPr>
      <w:r>
        <w:rPr>
          <w:rFonts w:ascii="Calibri" w:cs="Calibri" w:eastAsia="Calibri" w:hAnsi="Calibri"/>
          <w:color w:val="1A1A1A"/>
          <w:sz w:val="21"/>
          <w:szCs w:val="21"/>
        </w:rPr>
        <w:t xml:space="preserve">Report Amendment Record, Distribution List, liability disclaimer paragraph.</w:t>
      </w:r>
    </w:p>
    <w:p>
      <w:pPr>
        <w:pStyle w:val="ListParagraph"/>
        <w:numPr>
          <w:ilvl w:val="0"/>
          <w:numId w:val="2"/>
        </w:numPr>
        <w:spacing w:after="70" w:line="268"/>
      </w:pPr>
      <w:r>
        <w:rPr>
          <w:rFonts w:ascii="Calibri" w:cs="Calibri" w:eastAsia="Calibri" w:hAnsi="Calibri"/>
          <w:color w:val="1A1A1A"/>
          <w:sz w:val="21"/>
          <w:szCs w:val="21"/>
        </w:rPr>
        <w:t xml:space="preserve">Table of Contents, Survey Notes / Limitations / Validity, and the three grading definitions (SATISFACTORY / GOOD / UNSATISFACTORY) rendered verbatim.</w:t>
      </w:r>
    </w:p>
    <w:p>
      <w:pPr>
        <w:pStyle w:val="Heading2"/>
        <w:spacing w:after="90" w:before="220"/>
      </w:pPr>
      <w:r>
        <w:rPr>
          <w:rFonts w:ascii="Calibri" w:cs="Calibri" w:eastAsia="Calibri" w:hAnsi="Calibri"/>
          <w:b/>
          <w:bCs/>
          <w:color w:val="2E5F8A"/>
          <w:sz w:val="25"/>
          <w:szCs w:val="25"/>
        </w:rPr>
        <w:t xml:space="preserve">3.2  The numbered sections (the inspection body)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50"/>
        <w:gridCol w:w="1900"/>
        <w:gridCol w:w="4450"/>
      </w:tblGrid>
      <w:tr>
        <w:trPr>
          <w:tblHeader/>
        </w:trPr>
        <w:tc>
          <w:tcPr>
            <w:tcW w:type="dxa" w:w="56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w:t>
            </w:r>
          </w:p>
        </w:tc>
        <w:tc>
          <w:tcPr>
            <w:tcW w:type="dxa" w:w="245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Section</w:t>
            </w:r>
          </w:p>
        </w:tc>
        <w:tc>
          <w:tcPr>
            <w:tcW w:type="dxa" w:w="19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Nature</w:t>
            </w:r>
          </w:p>
        </w:tc>
        <w:tc>
          <w:tcPr>
            <w:tcW w:type="dxa" w:w="445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Notable content</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1.0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Executive Summary</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Verdict + narrative</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Instructions, circumstances, Summary Conclusion: Suitability statement, Recommendations (§1.13), Observations, General Remarks</w:t>
            </w:r>
          </w:p>
        </w:tc>
      </w:tr>
      <w:tr>
        <w:tc>
          <w:tcPr>
            <w:tcW w:type="dxa" w:w="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2.0</w:t>
            </w:r>
          </w:p>
        </w:tc>
        <w:tc>
          <w:tcPr>
            <w:tcW w:type="dxa" w:w="2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General Particulars</w:t>
            </w:r>
          </w:p>
        </w:tc>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Structured facts</w:t>
            </w:r>
          </w:p>
        </w:tc>
        <w:tc>
          <w:tcPr>
            <w:tcW w:type="dxa" w:w="4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Name, type, flag, IMO, build, dimensions, class notation, tonnages — overlaps existing Vessel Particulars</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3.0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Certification &amp; Documentation</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Checklist (large)</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Flag / statutory / class / safety-equipment certs, threshold-driven (GT-based applicability)</w:t>
            </w:r>
          </w:p>
        </w:tc>
      </w:tr>
      <w:tr>
        <w:tc>
          <w:tcPr>
            <w:tcW w:type="dxa" w:w="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4.0</w:t>
            </w:r>
          </w:p>
        </w:tc>
        <w:tc>
          <w:tcPr>
            <w:tcW w:type="dxa" w:w="2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Manning</w:t>
            </w:r>
          </w:p>
        </w:tc>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Structured + graded</w:t>
            </w:r>
          </w:p>
        </w:tc>
        <w:tc>
          <w:tcPr>
            <w:tcW w:type="dxa" w:w="4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Key personnel, certification, safe-manning compliance</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5.0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Hull Structure &amp; Condition</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Deck, shell, tanks, cranes, deck additional (crash rails, lashing points)</w:t>
            </w:r>
          </w:p>
        </w:tc>
      </w:tr>
      <w:tr>
        <w:tc>
          <w:tcPr>
            <w:tcW w:type="dxa" w:w="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6.0</w:t>
            </w:r>
          </w:p>
        </w:tc>
        <w:tc>
          <w:tcPr>
            <w:tcW w:type="dxa" w:w="2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Machinery</w:t>
            </w:r>
          </w:p>
        </w:tc>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PMS, ME/AE, thrusters, steering, consumables, environmental</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7.0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Navigation &amp; Communication</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Bridge, charts, nav equipment by GT threshold, GMDSS</w:t>
            </w:r>
          </w:p>
        </w:tc>
      </w:tr>
      <w:tr>
        <w:tc>
          <w:tcPr>
            <w:tcW w:type="dxa" w:w="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8.0</w:t>
            </w:r>
          </w:p>
        </w:tc>
        <w:tc>
          <w:tcPr>
            <w:tcW w:type="dxa" w:w="2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Lifesaving &amp; Fire Equipment</w:t>
            </w:r>
          </w:p>
        </w:tc>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LSA, fixed/portable fire, detection</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9.0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Health, Safety, Security &amp; Env.</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SMS, permits, PPE, drills, security (ISPS)</w:t>
            </w:r>
          </w:p>
        </w:tc>
      </w:tr>
      <w:tr>
        <w:tc>
          <w:tcPr>
            <w:tcW w:type="dxa" w:w="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10.0</w:t>
            </w:r>
          </w:p>
        </w:tc>
        <w:tc>
          <w:tcPr>
            <w:tcW w:type="dxa" w:w="2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Tug / AHT Supplement</w:t>
            </w:r>
          </w:p>
        </w:tc>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Bollard pull, tow &amp; AH winches, wires, pennants, shark jaws + Anchor Handling &amp; Bunkering sub-supplements</w:t>
            </w:r>
          </w:p>
        </w:tc>
      </w:tr>
      <w:tr>
        <w:tc>
          <w:tcPr>
            <w:tcW w:type="dxa" w:w="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11.0</w:t>
            </w:r>
          </w:p>
        </w:tc>
        <w:tc>
          <w:tcPr>
            <w:tcW w:type="dxa" w:w="2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DP Vessel Supplement</w:t>
            </w:r>
          </w:p>
        </w:tc>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Graded checklist</w:t>
            </w:r>
          </w:p>
        </w:tc>
        <w:tc>
          <w:tcPr>
            <w:tcW w:type="dxa" w:w="445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DP class, FMEA, reference systems, DP PMS, footprints</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Why “AHTS” matters as the first shape</w:t>
            </w:r>
          </w:p>
          <w:p>
            <w:pPr>
              <w:spacing w:after="40" w:line="264"/>
            </w:pPr>
            <w:r>
              <w:rPr>
                <w:rFonts w:ascii="Calibri" w:cs="Calibri" w:eastAsia="Calibri" w:hAnsi="Calibri"/>
                <w:color w:val="1A1A1A"/>
                <w:sz w:val="20"/>
                <w:szCs w:val="20"/>
              </w:rPr>
              <w:t xml:space="preserve">Sections 10.0 (Tug/AHT) and 11.0 (DP) are the vessel-type-specific supplements. By targeting AHTS first, you build the full common core (1.0–9.0) plus these two supplements. A later PSV, barge, or accommodation-vessel C&amp;S reuses 1.0–9.0 and swaps only the supplement — which is exactly why the section set should be data-driven, not hardcoded.</w:t>
            </w:r>
          </w:p>
        </w:tc>
      </w:tr>
    </w:tbl>
    <w:p>
      <w:pPr>
        <w:pStyle w:val="Heading2"/>
        <w:spacing w:after="90" w:before="220"/>
      </w:pPr>
      <w:r>
        <w:rPr>
          <w:rFonts w:ascii="Calibri" w:cs="Calibri" w:eastAsia="Calibri" w:hAnsi="Calibri"/>
          <w:b/>
          <w:bCs/>
          <w:color w:val="2E5F8A"/>
          <w:sz w:val="25"/>
          <w:szCs w:val="25"/>
        </w:rPr>
        <w:t xml:space="preserve">3.3  Appendices</w:t>
      </w:r>
    </w:p>
    <w:p>
      <w:pPr>
        <w:spacing w:after="120" w:line="276"/>
      </w:pPr>
      <w:r>
        <w:rPr>
          <w:rFonts w:ascii="Calibri" w:cs="Calibri" w:eastAsia="Calibri" w:hAnsi="Calibri"/>
          <w:color w:val="1A1A1A"/>
          <w:sz w:val="21"/>
          <w:szCs w:val="21"/>
        </w:rPr>
        <w:t xml:space="preserve">A: Photographs · B: General Arrangement / Vessel Brochure · C: Class Survey Listing · D: Bollard Pull Certificate · E: FRC Documentation (if required). These map cleanly onto the app's existing Photos gallery and Document Vault — Appendix A is your photo register, B–E are vault documents tagged by category.</w:t>
      </w:r>
    </w:p>
    <w:p>
      <w:r>
        <w:br w:type="page"/>
      </w:r>
    </w:p>
    <w:p>
      <w:pPr>
        <w:pStyle w:val="Heading1"/>
        <w:spacing w:after="140" w:before="320"/>
      </w:pPr>
      <w:r>
        <w:rPr>
          <w:rFonts w:ascii="Calibri" w:cs="Calibri" w:eastAsia="Calibri" w:hAnsi="Calibri"/>
          <w:b/>
          <w:bCs/>
          <w:color w:val="1F3A5F"/>
          <w:sz w:val="30"/>
          <w:szCs w:val="30"/>
        </w:rPr>
        <w:t xml:space="preserve">4.  Selecting C&amp;S at case creation</w:t>
      </w:r>
    </w:p>
    <w:p>
      <w:pPr>
        <w:spacing w:after="120" w:line="276"/>
      </w:pPr>
      <w:r>
        <w:rPr>
          <w:rFonts w:ascii="Calibri" w:cs="Calibri" w:eastAsia="Calibri" w:hAnsi="Calibri"/>
          <w:color w:val="1A1A1A"/>
          <w:sz w:val="21"/>
          <w:szCs w:val="21"/>
        </w:rPr>
        <w:t xml:space="preserve">This is the entry point and the smallest possible change that unlocks the rest. Today a case is implicitly H&amp;M. The module introduces a </w:t>
      </w:r>
      <w:r>
        <w:rPr>
          <w:rFonts w:ascii="Calibri" w:cs="Calibri" w:eastAsia="Calibri" w:hAnsi="Calibri"/>
          <w:b/>
          <w:bCs/>
          <w:color w:val="1A1A1A"/>
          <w:sz w:val="21"/>
          <w:szCs w:val="21"/>
        </w:rPr>
        <w:t xml:space="preserve">case type</w:t>
      </w:r>
      <w:r>
        <w:rPr>
          <w:rFonts w:ascii="Calibri" w:cs="Calibri" w:eastAsia="Calibri" w:hAnsi="Calibri"/>
          <w:color w:val="1A1A1A"/>
          <w:sz w:val="21"/>
          <w:szCs w:val="21"/>
        </w:rPr>
        <w:t xml:space="preserve"> chosen at creation, which then drives which modules appear, which report layout is used, and which AI prompts run.</w:t>
      </w:r>
    </w:p>
    <w:p>
      <w:pPr>
        <w:pStyle w:val="Heading2"/>
        <w:spacing w:after="90" w:before="220"/>
      </w:pPr>
      <w:r>
        <w:rPr>
          <w:rFonts w:ascii="Calibri" w:cs="Calibri" w:eastAsia="Calibri" w:hAnsi="Calibri"/>
          <w:b/>
          <w:bCs/>
          <w:color w:val="2E5F8A"/>
          <w:sz w:val="25"/>
          <w:szCs w:val="25"/>
        </w:rPr>
        <w:t xml:space="preserve">4.1  The new field</w:t>
      </w:r>
    </w:p>
    <w:p>
      <w:pPr>
        <w:pStyle w:val="ListParagraph"/>
        <w:numPr>
          <w:ilvl w:val="0"/>
          <w:numId w:val="2"/>
        </w:numPr>
        <w:spacing w:after="70" w:line="268"/>
      </w:pPr>
      <w:r>
        <w:rPr>
          <w:rFonts w:ascii="Calibri" w:cs="Calibri" w:eastAsia="Calibri" w:hAnsi="Calibri"/>
          <w:b/>
          <w:bCs/>
          <w:color w:val="1A1A1A"/>
          <w:sz w:val="21"/>
          <w:szCs w:val="21"/>
        </w:rPr>
        <w:t xml:space="preserve">survey_type</w:t>
      </w:r>
      <w:r>
        <w:rPr>
          <w:rFonts w:ascii="Calibri" w:cs="Calibri" w:eastAsia="Calibri" w:hAnsi="Calibri"/>
          <w:color w:val="1A1A1A"/>
          <w:sz w:val="21"/>
          <w:szCs w:val="21"/>
        </w:rPr>
        <w:t xml:space="preserve"> on the case record — an enum. Initial values: </w:t>
      </w:r>
      <w:r>
        <w:rPr>
          <w:rFonts w:ascii="Calibri" w:cs="Calibri" w:eastAsia="Calibri" w:hAnsi="Calibri"/>
          <w:i/>
          <w:iCs/>
          <w:color w:val="1A1A1A"/>
          <w:sz w:val="21"/>
          <w:szCs w:val="21"/>
        </w:rPr>
        <w:t xml:space="preserve">hm_casualty</w:t>
      </w:r>
      <w:r>
        <w:rPr>
          <w:rFonts w:ascii="Calibri" w:cs="Calibri" w:eastAsia="Calibri" w:hAnsi="Calibri"/>
          <w:color w:val="1A1A1A"/>
          <w:sz w:val="21"/>
          <w:szCs w:val="21"/>
        </w:rPr>
        <w:t xml:space="preserve"> (existing behaviour, default) and </w:t>
      </w:r>
      <w:r>
        <w:rPr>
          <w:rFonts w:ascii="Calibri" w:cs="Calibri" w:eastAsia="Calibri" w:hAnsi="Calibri"/>
          <w:i/>
          <w:iCs/>
          <w:color w:val="1A1A1A"/>
          <w:sz w:val="21"/>
          <w:szCs w:val="21"/>
        </w:rPr>
        <w:t xml:space="preserve">cs_ahts</w:t>
      </w:r>
      <w:r>
        <w:rPr>
          <w:rFonts w:ascii="Calibri" w:cs="Calibri" w:eastAsia="Calibri" w:hAnsi="Calibri"/>
          <w:color w:val="1A1A1A"/>
          <w:sz w:val="21"/>
          <w:szCs w:val="21"/>
        </w:rPr>
        <w:t xml:space="preserve"> (new).</w:t>
      </w:r>
    </w:p>
    <w:p>
      <w:pPr>
        <w:pStyle w:val="ListParagraph"/>
        <w:numPr>
          <w:ilvl w:val="0"/>
          <w:numId w:val="2"/>
        </w:numPr>
        <w:spacing w:after="70" w:line="268"/>
      </w:pPr>
      <w:r>
        <w:rPr>
          <w:rFonts w:ascii="Calibri" w:cs="Calibri" w:eastAsia="Calibri" w:hAnsi="Calibri"/>
          <w:color w:val="1A1A1A"/>
          <w:sz w:val="21"/>
          <w:szCs w:val="21"/>
        </w:rPr>
        <w:t xml:space="preserve">Chosen on the “New Case” screen alongside the fields already captured (technical file number, claim reference, vessel, instructing party).</w:t>
      </w:r>
    </w:p>
    <w:p>
      <w:pPr>
        <w:pStyle w:val="ListParagraph"/>
        <w:numPr>
          <w:ilvl w:val="0"/>
          <w:numId w:val="2"/>
        </w:numPr>
        <w:spacing w:after="70" w:line="268"/>
      </w:pPr>
      <w:r>
        <w:rPr>
          <w:rFonts w:ascii="Calibri" w:cs="Calibri" w:eastAsia="Calibri" w:hAnsi="Calibri"/>
          <w:b/>
          <w:bCs/>
          <w:color w:val="1A1A1A"/>
          <w:sz w:val="21"/>
          <w:szCs w:val="21"/>
        </w:rPr>
        <w:t xml:space="preserve">Nothing else on the create screen changes for H&amp;M</w:t>
      </w:r>
      <w:r>
        <w:rPr>
          <w:rFonts w:ascii="Calibri" w:cs="Calibri" w:eastAsia="Calibri" w:hAnsi="Calibri"/>
          <w:color w:val="1A1A1A"/>
          <w:sz w:val="21"/>
          <w:szCs w:val="21"/>
        </w:rPr>
        <w:t xml:space="preserve"> — existing cases and flow are untouched; the default preserves current behaviour.</w:t>
      </w:r>
    </w:p>
    <w:p>
      <w:pPr>
        <w:pStyle w:val="Heading2"/>
        <w:spacing w:after="90" w:before="220"/>
      </w:pPr>
      <w:r>
        <w:rPr>
          <w:rFonts w:ascii="Calibri" w:cs="Calibri" w:eastAsia="Calibri" w:hAnsi="Calibri"/>
          <w:b/>
          <w:bCs/>
          <w:color w:val="2E5F8A"/>
          <w:sz w:val="25"/>
          <w:szCs w:val="25"/>
        </w:rPr>
        <w:t xml:space="preserve">4.2  What the case type switches 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Area</w:t>
            </w:r>
          </w:p>
        </w:tc>
        <w:tc>
          <w:tcPr>
            <w:tcW w:type="dxa" w:w="373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H&amp;M (hm_casualty)</w:t>
            </w:r>
          </w:p>
        </w:tc>
        <w:tc>
          <w:tcPr>
            <w:tcW w:type="dxa" w:w="373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C&amp;S — AHTS (cs_ahts)</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Case home modules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Occurrence, Causation, Damage, Accounts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Inspection (§1–11), Recommendations, Certification tracker</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Report layout</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Narrative H&amp;M .docx</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C&amp;S — AHTS .docx (Ref/Item/Remarks)</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Report types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Preliminary / Advice / Final</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Preliminary Deficiency List / Suitability Report</w:t>
            </w:r>
          </w:p>
        </w:tc>
      </w:tr>
      <w:tr>
        <w:tc>
          <w:tcPr>
            <w:tcW w:type="dxa" w:w="19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AI narrative prompts</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Occurrence, causation, cost drafting</w:t>
            </w:r>
          </w:p>
        </w:tc>
        <w:tc>
          <w:tcPr>
            <w:tcW w:type="dxa" w:w="373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Exec summary, general remarks, recommendation phrasing</w:t>
            </w:r>
          </w:p>
        </w:tc>
      </w:tr>
      <w:tr>
        <w:tc>
          <w:tcPr>
            <w:tcW w:type="dxa" w:w="19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Shared modules</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Vessel, Attendances, Photos, Documents, Parties, Timeline, Correspondence, Interviews, Sign-off</w:t>
            </w:r>
          </w:p>
        </w:tc>
        <w:tc>
          <w:tcPr>
            <w:tcW w:type="dxa" w:w="373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Identical — all reused unchanged</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Design principle: additive, not forked</w:t>
            </w:r>
          </w:p>
          <w:p>
            <w:pPr>
              <w:spacing w:after="40" w:line="264"/>
            </w:pPr>
            <w:r>
              <w:rPr>
                <w:rFonts w:ascii="Calibri" w:cs="Calibri" w:eastAsia="Calibri" w:hAnsi="Calibri"/>
                <w:color w:val="1A1A1A"/>
                <w:sz w:val="20"/>
                <w:szCs w:val="20"/>
              </w:rPr>
              <w:t xml:space="preserve">The case type should hide/show and re-label modules and pick a report layout — it should NOT create a second codebase. Shared modules stay literally the same screens. This keeps the app one product and means every future improvement to (say) the photo gallery benefits both survey types for free.</w:t>
            </w:r>
          </w:p>
        </w:tc>
      </w:tr>
    </w:tbl>
    <w:p>
      <w:r>
        <w:br w:type="page"/>
      </w:r>
    </w:p>
    <w:p>
      <w:pPr>
        <w:pStyle w:val="Heading1"/>
        <w:spacing w:after="140" w:before="320"/>
      </w:pPr>
      <w:r>
        <w:rPr>
          <w:rFonts w:ascii="Calibri" w:cs="Calibri" w:eastAsia="Calibri" w:hAnsi="Calibri"/>
          <w:b/>
          <w:bCs/>
          <w:color w:val="1F3A5F"/>
          <w:sz w:val="30"/>
          <w:szCs w:val="30"/>
        </w:rPr>
        <w:t xml:space="preserve">5.  Data model — the smallest addition that works</w:t>
      </w:r>
    </w:p>
    <w:p>
      <w:pPr>
        <w:spacing w:after="120" w:line="276"/>
      </w:pPr>
      <w:r>
        <w:rPr>
          <w:rFonts w:ascii="Calibri" w:cs="Calibri" w:eastAsia="Calibri" w:hAnsi="Calibri"/>
          <w:color w:val="1A1A1A"/>
          <w:sz w:val="21"/>
          <w:szCs w:val="21"/>
        </w:rPr>
        <w:t xml:space="preserve">C&amp;S is a graded checklist, so the central new object is an inspection item. Model the section skeleton as reference data (a template definition) and the surveyor's findings as instances against it. This mirrors how the existing clause library already lives in a table rather than in code.</w:t>
      </w:r>
    </w:p>
    <w:p>
      <w:pPr>
        <w:pStyle w:val="Heading2"/>
        <w:spacing w:after="90" w:before="220"/>
      </w:pPr>
      <w:r>
        <w:rPr>
          <w:rFonts w:ascii="Calibri" w:cs="Calibri" w:eastAsia="Calibri" w:hAnsi="Calibri"/>
          <w:b/>
          <w:bCs/>
          <w:color w:val="2E5F8A"/>
          <w:sz w:val="25"/>
          <w:szCs w:val="25"/>
        </w:rPr>
        <w:t xml:space="preserve">5.1  New tables (conceptual)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Table</w:t>
            </w:r>
          </w:p>
        </w:tc>
        <w:tc>
          <w:tcPr>
            <w:tcW w:type="dxa" w:w="34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Holds</w:t>
            </w:r>
          </w:p>
        </w:tc>
        <w:tc>
          <w:tcPr>
            <w:tcW w:type="dxa" w:w="386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Key fields</w:t>
            </w:r>
          </w:p>
        </w:tc>
      </w:tr>
      <w:tr>
        <w:tc>
          <w:tcPr>
            <w:tcW w:type="dxa" w:w="21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cs_template</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The C&amp;S — AHTS skeleton (versioned)</w:t>
            </w:r>
          </w:p>
        </w:tc>
        <w:tc>
          <w:tcPr>
            <w:tcW w:type="dxa" w:w="38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id, name, vessel_type (ahts), version</w:t>
            </w:r>
          </w:p>
        </w:tc>
      </w:tr>
      <w:tr>
        <w:tc>
          <w:tcPr>
            <w:tcW w:type="dxa" w:w="21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cs_template_item</w:t>
            </w:r>
          </w:p>
        </w:tc>
        <w:tc>
          <w:tcPr>
            <w:tcW w:type="dxa" w:w="3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Every Ref/Item row in the template</w:t>
            </w:r>
          </w:p>
        </w:tc>
        <w:tc>
          <w:tcPr>
            <w:tcW w:type="dxa" w:w="38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template_id, section (1.0–11.0), parent_item, label, guidance_text, grade_applicable (bool), gt_threshold</w:t>
            </w:r>
          </w:p>
        </w:tc>
      </w:tr>
      <w:tr>
        <w:tc>
          <w:tcPr>
            <w:tcW w:type="dxa" w:w="21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cs_inspection_item</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The surveyor's finding for one item on one case</w:t>
            </w:r>
          </w:p>
        </w:tc>
        <w:tc>
          <w:tcPr>
            <w:tcW w:type="dxa" w:w="38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case_id, template_item_id, grade (enum), remark, is_na, synced_status</w:t>
            </w:r>
          </w:p>
        </w:tc>
      </w:tr>
      <w:tr>
        <w:tc>
          <w:tcPr>
            <w:tcW w:type="dxa" w:w="21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cs_recommendation</w:t>
            </w:r>
          </w:p>
        </w:tc>
        <w:tc>
          <w:tcPr>
            <w:tcW w:type="dxa" w:w="3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A §1.13 recommendation (the gating list)</w:t>
            </w:r>
          </w:p>
        </w:tc>
        <w:tc>
          <w:tcPr>
            <w:tcW w:type="dxa" w:w="38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case_id, ref_no, text, source_item_id, status (open/closed), close_date</w:t>
            </w:r>
          </w:p>
        </w:tc>
      </w:tr>
      <w:tr>
        <w:tc>
          <w:tcPr>
            <w:tcW w:type="dxa" w:w="21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cs_certificate</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One row of the §3.0 certification register</w:t>
            </w:r>
          </w:p>
        </w:tc>
        <w:tc>
          <w:tcPr>
            <w:tcW w:type="dxa" w:w="38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case_id, cert_type, issued_date, issued_place, expiry_date, status</w:t>
            </w:r>
          </w:p>
        </w:tc>
      </w:tr>
    </w:tbl>
    <w:p>
      <w:pPr>
        <w:spacing w:after="60"/>
      </w:pPr>
      <w:r>
        <w:t xml:space="preserve"/>
      </w:r>
    </w:p>
    <w:p>
      <w:pPr>
        <w:spacing w:after="120" w:line="276"/>
      </w:pPr>
      <w:r>
        <w:rPr>
          <w:rFonts w:ascii="Calibri" w:cs="Calibri" w:eastAsia="Calibri" w:hAnsi="Calibri"/>
          <w:color w:val="1A1A1A"/>
          <w:sz w:val="21"/>
          <w:szCs w:val="21"/>
        </w:rPr>
        <w:t xml:space="preserve">Note the </w:t>
      </w:r>
      <w:r>
        <w:rPr>
          <w:rFonts w:ascii="Calibri" w:cs="Calibri" w:eastAsia="Calibri" w:hAnsi="Calibri"/>
          <w:i/>
          <w:iCs/>
          <w:color w:val="1A1A1A"/>
          <w:sz w:val="21"/>
          <w:szCs w:val="21"/>
        </w:rPr>
        <w:t xml:space="preserve">synced_status</w:t>
      </w:r>
      <w:r>
        <w:rPr>
          <w:rFonts w:ascii="Calibri" w:cs="Calibri" w:eastAsia="Calibri" w:hAnsi="Calibri"/>
          <w:color w:val="1A1A1A"/>
          <w:sz w:val="21"/>
          <w:szCs w:val="21"/>
        </w:rPr>
        <w:t xml:space="preserve"> column on cs_inspection_item — it deliberately matches the existing offline-sync pattern (synced / pending_upsert / pending_delete) so C&amp;S inspection data flows through the same local-SQLite-to-Supabase sync you already run. No new sync machinery.</w:t>
      </w:r>
    </w:p>
    <w:p>
      <w:pPr>
        <w:pStyle w:val="Heading2"/>
        <w:spacing w:after="90" w:before="220"/>
      </w:pPr>
      <w:r>
        <w:rPr>
          <w:rFonts w:ascii="Calibri" w:cs="Calibri" w:eastAsia="Calibri" w:hAnsi="Calibri"/>
          <w:b/>
          <w:bCs/>
          <w:color w:val="2E5F8A"/>
          <w:sz w:val="25"/>
          <w:szCs w:val="25"/>
        </w:rPr>
        <w:t xml:space="preserve">5.2  The grade enum</w:t>
      </w:r>
    </w:p>
    <w:p>
      <w:pPr>
        <w:spacing w:after="120" w:line="276"/>
      </w:pPr>
      <w:r>
        <w:rPr>
          <w:rFonts w:ascii="Calibri" w:cs="Calibri" w:eastAsia="Calibri" w:hAnsi="Calibri"/>
          <w:color w:val="1A1A1A"/>
          <w:sz w:val="21"/>
          <w:szCs w:val="21"/>
        </w:rPr>
        <w:t xml:space="preserve">Use the template's own three terms verbatim, plus an N/A path (many certification rows are threshold-gated and simply don't apply):</w:t>
      </w:r>
    </w:p>
    <w:p>
      <w:pPr>
        <w:pStyle w:val="ListParagraph"/>
        <w:numPr>
          <w:ilvl w:val="0"/>
          <w:numId w:val="2"/>
        </w:numPr>
        <w:spacing w:after="70" w:line="268"/>
      </w:pPr>
      <w:r>
        <w:rPr>
          <w:rFonts w:ascii="Calibri" w:cs="Calibri" w:eastAsia="Calibri" w:hAnsi="Calibri"/>
          <w:b/>
          <w:bCs/>
          <w:color w:val="1A1A1A"/>
          <w:sz w:val="21"/>
          <w:szCs w:val="21"/>
        </w:rPr>
        <w:t xml:space="preserve">SATISFACTORY</w:t>
      </w:r>
      <w:r>
        <w:rPr>
          <w:rFonts w:ascii="Calibri" w:cs="Calibri" w:eastAsia="Calibri" w:hAnsi="Calibri"/>
          <w:color w:val="1A1A1A"/>
          <w:sz w:val="21"/>
          <w:szCs w:val="21"/>
        </w:rPr>
        <w:t xml:space="preserve"> — meets industry standard / regulatory compliance / ABL guidelines; suitable for purpose.</w:t>
      </w:r>
    </w:p>
    <w:p>
      <w:pPr>
        <w:pStyle w:val="ListParagraph"/>
        <w:numPr>
          <w:ilvl w:val="0"/>
          <w:numId w:val="2"/>
        </w:numPr>
        <w:spacing w:after="70" w:line="268"/>
      </w:pPr>
      <w:r>
        <w:rPr>
          <w:rFonts w:ascii="Calibri" w:cs="Calibri" w:eastAsia="Calibri" w:hAnsi="Calibri"/>
          <w:b/>
          <w:bCs/>
          <w:color w:val="1A1A1A"/>
          <w:sz w:val="21"/>
          <w:szCs w:val="21"/>
        </w:rPr>
        <w:t xml:space="preserve">GOOD</w:t>
      </w:r>
      <w:r>
        <w:rPr>
          <w:rFonts w:ascii="Calibri" w:cs="Calibri" w:eastAsia="Calibri" w:hAnsi="Calibri"/>
          <w:color w:val="1A1A1A"/>
          <w:sz w:val="21"/>
          <w:szCs w:val="21"/>
        </w:rPr>
        <w:t xml:space="preserve"> — conspicuously exceeds SATISFACTORY.</w:t>
      </w:r>
    </w:p>
    <w:p>
      <w:pPr>
        <w:pStyle w:val="ListParagraph"/>
        <w:numPr>
          <w:ilvl w:val="0"/>
          <w:numId w:val="2"/>
        </w:numPr>
        <w:spacing w:after="70" w:line="268"/>
      </w:pPr>
      <w:r>
        <w:rPr>
          <w:rFonts w:ascii="Calibri" w:cs="Calibri" w:eastAsia="Calibri" w:hAnsi="Calibri"/>
          <w:b/>
          <w:bCs/>
          <w:color w:val="1A1A1A"/>
          <w:sz w:val="21"/>
          <w:szCs w:val="21"/>
        </w:rPr>
        <w:t xml:space="preserve">UNSATISFACTORY</w:t>
      </w:r>
      <w:r>
        <w:rPr>
          <w:rFonts w:ascii="Calibri" w:cs="Calibri" w:eastAsia="Calibri" w:hAnsi="Calibri"/>
          <w:color w:val="1A1A1A"/>
          <w:sz w:val="21"/>
          <w:szCs w:val="21"/>
        </w:rPr>
        <w:t xml:space="preserve"> — does not meet the standard; requires repair, modification or other work. An UNSATISFACTORY grade is the natural trigger to spawn a Recommendation.</w:t>
      </w:r>
    </w:p>
    <w:p>
      <w:pPr>
        <w:pStyle w:val="ListParagraph"/>
        <w:numPr>
          <w:ilvl w:val="0"/>
          <w:numId w:val="2"/>
        </w:numPr>
        <w:spacing w:after="70" w:line="268"/>
      </w:pPr>
      <w:r>
        <w:rPr>
          <w:rFonts w:ascii="Calibri" w:cs="Calibri" w:eastAsia="Calibri" w:hAnsi="Calibri"/>
          <w:b/>
          <w:bCs/>
          <w:color w:val="1A1A1A"/>
          <w:sz w:val="21"/>
          <w:szCs w:val="21"/>
        </w:rPr>
        <w:t xml:space="preserve">N/A</w:t>
      </w:r>
      <w:r>
        <w:rPr>
          <w:rFonts w:ascii="Calibri" w:cs="Calibri" w:eastAsia="Calibri" w:hAnsi="Calibri"/>
          <w:color w:val="1A1A1A"/>
          <w:sz w:val="21"/>
          <w:szCs w:val="21"/>
        </w:rPr>
        <w:t xml:space="preserve"> — item not applicable (e.g. GT threshold not met, equipment not fitted).</w:t>
      </w:r>
    </w:p>
    <w:p>
      <w:pPr>
        <w:spacing w:after="4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C08A2E" w:sz="24"/>
              <w:bottom w:val="none" w:color="FFFFFF" w:sz="0"/>
              <w:right w:val="none" w:color="FFFFFF" w:sz="0"/>
            </w:tcBorders>
            <w:shd w:fill="FDF3E3"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The one clever bit: UNSATISFACTORY → Recommendation</w:t>
            </w:r>
          </w:p>
          <w:p>
            <w:pPr>
              <w:spacing w:after="40" w:line="264"/>
            </w:pPr>
            <w:r>
              <w:rPr>
                <w:rFonts w:ascii="Calibri" w:cs="Calibri" w:eastAsia="Calibri" w:hAnsi="Calibri"/>
                <w:color w:val="1A1A1A"/>
                <w:sz w:val="20"/>
                <w:szCs w:val="20"/>
              </w:rPr>
              <w:t xml:space="preserve">The gating list in §1.13 is what makes a C&amp;S report legally meaningful. Wire it so that marking an item UNSATISFACTORY offers to create a linked cs_recommendation automatically, carrying the item's section and remark. That single link turns the whole inspection into a live, closeable punch-list — and it is the same “structured data drives the report” philosophy already behind the app's clause selection.</w:t>
            </w:r>
          </w:p>
        </w:tc>
      </w:tr>
    </w:tbl>
    <w:p>
      <w:pPr>
        <w:pStyle w:val="Heading2"/>
        <w:spacing w:after="90" w:before="220"/>
      </w:pPr>
      <w:r>
        <w:rPr>
          <w:rFonts w:ascii="Calibri" w:cs="Calibri" w:eastAsia="Calibri" w:hAnsi="Calibri"/>
          <w:b/>
          <w:bCs/>
          <w:color w:val="2E5F8A"/>
          <w:sz w:val="25"/>
          <w:szCs w:val="25"/>
        </w:rPr>
        <w:t xml:space="preserve">5.3  What you reuse unchanged</w:t>
      </w:r>
    </w:p>
    <w:p>
      <w:pPr>
        <w:spacing w:after="120" w:line="276"/>
      </w:pPr>
      <w:r>
        <w:rPr>
          <w:rFonts w:ascii="Calibri" w:cs="Calibri" w:eastAsia="Calibri" w:hAnsi="Calibri"/>
          <w:color w:val="1A1A1A"/>
          <w:sz w:val="21"/>
          <w:szCs w:val="21"/>
        </w:rPr>
        <w:t xml:space="preserve">General Particulars (§2.0) is your existing Vessel Particulars record — including the Equasis lookup and nameplate/class-PDF AI extraction. Photos feed Appendix A. Vault documents (tagged) feed Appendices B–E and the §3.0 certificate register. Attendances, Parties, Timeline, Correspondence, Interviews and dual Sign-off are identical objects. The module adds inspection + recommendation + certificate; it re-points everything else.</w:t>
      </w:r>
    </w:p>
    <w:p>
      <w:r>
        <w:br w:type="page"/>
      </w:r>
    </w:p>
    <w:p>
      <w:pPr>
        <w:pStyle w:val="Heading1"/>
        <w:spacing w:after="140" w:before="320"/>
      </w:pPr>
      <w:r>
        <w:rPr>
          <w:rFonts w:ascii="Calibri" w:cs="Calibri" w:eastAsia="Calibri" w:hAnsi="Calibri"/>
          <w:b/>
          <w:bCs/>
          <w:color w:val="1F3A5F"/>
          <w:sz w:val="30"/>
          <w:szCs w:val="30"/>
        </w:rPr>
        <w:t xml:space="preserve">6.  Report generation — a second layout on the same engine</w:t>
      </w:r>
    </w:p>
    <w:p>
      <w:pPr>
        <w:spacing w:after="120" w:line="276"/>
      </w:pPr>
      <w:r>
        <w:rPr>
          <w:rFonts w:ascii="Calibri" w:cs="Calibri" w:eastAsia="Calibri" w:hAnsi="Calibri"/>
          <w:color w:val="1A1A1A"/>
          <w:sz w:val="21"/>
          <w:szCs w:val="21"/>
        </w:rPr>
        <w:t xml:space="preserve">The app's in-house OOXML builder already produces branded .docx without a third-party template dependency, with data-driven per-firm branding and the clause library supplying legal wording. The C&amp;S module adds a </w:t>
      </w:r>
      <w:r>
        <w:rPr>
          <w:rFonts w:ascii="Calibri" w:cs="Calibri" w:eastAsia="Calibri" w:hAnsi="Calibri"/>
          <w:b/>
          <w:bCs/>
          <w:color w:val="1A1A1A"/>
          <w:sz w:val="21"/>
          <w:szCs w:val="21"/>
        </w:rPr>
        <w:t xml:space="preserve">C&amp;S — AHTS layout</w:t>
      </w:r>
      <w:r>
        <w:rPr>
          <w:rFonts w:ascii="Calibri" w:cs="Calibri" w:eastAsia="Calibri" w:hAnsi="Calibri"/>
          <w:color w:val="1A1A1A"/>
          <w:sz w:val="21"/>
          <w:szCs w:val="21"/>
        </w:rPr>
        <w:t xml:space="preserve"> to that same engine — it does not need a new generator.</w:t>
      </w:r>
    </w:p>
    <w:p>
      <w:pPr>
        <w:pStyle w:val="Heading2"/>
        <w:spacing w:after="90" w:before="220"/>
      </w:pPr>
      <w:r>
        <w:rPr>
          <w:rFonts w:ascii="Calibri" w:cs="Calibri" w:eastAsia="Calibri" w:hAnsi="Calibri"/>
          <w:b/>
          <w:bCs/>
          <w:color w:val="2E5F8A"/>
          <w:sz w:val="25"/>
          <w:szCs w:val="25"/>
        </w:rPr>
        <w:t xml:space="preserve">6.1  Two outputs, matching the two documents you already produce</w:t>
      </w:r>
    </w:p>
    <w:p>
      <w:pPr>
        <w:pStyle w:val="ListParagraph"/>
        <w:numPr>
          <w:ilvl w:val="0"/>
          <w:numId w:val="2"/>
        </w:numPr>
        <w:spacing w:after="70" w:line="268"/>
      </w:pPr>
      <w:r>
        <w:rPr>
          <w:rFonts w:ascii="Calibri" w:cs="Calibri" w:eastAsia="Calibri" w:hAnsi="Calibri"/>
          <w:b/>
          <w:bCs/>
          <w:color w:val="1A1A1A"/>
          <w:sz w:val="21"/>
          <w:szCs w:val="21"/>
        </w:rPr>
        <w:t xml:space="preserve">Preliminary Deficiency List</w:t>
      </w:r>
      <w:r>
        <w:rPr>
          <w:rFonts w:ascii="Calibri" w:cs="Calibri" w:eastAsia="Calibri" w:hAnsi="Calibri"/>
          <w:color w:val="1A1A1A"/>
          <w:sz w:val="21"/>
          <w:szCs w:val="21"/>
        </w:rPr>
        <w:t xml:space="preserve"> — the short, on-the-day artifact (the Broome/Normand Scorpion example): a numbered findings table + surveyor &amp; Master sign-off. Generated straight from cs_inspection_item rows graded on the attendance, filtered to notable findings.</w:t>
      </w:r>
    </w:p>
    <w:p>
      <w:pPr>
        <w:pStyle w:val="ListParagraph"/>
        <w:numPr>
          <w:ilvl w:val="0"/>
          <w:numId w:val="2"/>
        </w:numPr>
        <w:spacing w:after="70" w:line="268"/>
      </w:pPr>
      <w:r>
        <w:rPr>
          <w:rFonts w:ascii="Calibri" w:cs="Calibri" w:eastAsia="Calibri" w:hAnsi="Calibri"/>
          <w:b/>
          <w:bCs/>
          <w:color w:val="1A1A1A"/>
          <w:sz w:val="21"/>
          <w:szCs w:val="21"/>
        </w:rPr>
        <w:t xml:space="preserve">Suitability Report</w:t>
      </w:r>
      <w:r>
        <w:rPr>
          <w:rFonts w:ascii="Calibri" w:cs="Calibri" w:eastAsia="Calibri" w:hAnsi="Calibri"/>
          <w:color w:val="1A1A1A"/>
          <w:sz w:val="21"/>
          <w:szCs w:val="21"/>
        </w:rPr>
        <w:t xml:space="preserve"> — the full 1.0–11.0 document with Appendices, the Executive Summary verdict, and the §1.13 recommendations list.</w:t>
      </w:r>
    </w:p>
    <w:p>
      <w:pPr>
        <w:pStyle w:val="Heading2"/>
        <w:spacing w:after="90" w:before="220"/>
      </w:pPr>
      <w:r>
        <w:rPr>
          <w:rFonts w:ascii="Calibri" w:cs="Calibri" w:eastAsia="Calibri" w:hAnsi="Calibri"/>
          <w:b/>
          <w:bCs/>
          <w:color w:val="2E5F8A"/>
          <w:sz w:val="25"/>
          <w:szCs w:val="25"/>
        </w:rPr>
        <w:t xml:space="preserve">6.2  How the layout renders</w:t>
      </w:r>
    </w:p>
    <w:p>
      <w:pPr>
        <w:pStyle w:val="ListParagraph"/>
        <w:numPr>
          <w:ilvl w:val="0"/>
          <w:numId w:val="3"/>
        </w:numPr>
        <w:spacing w:after="70" w:line="268"/>
      </w:pPr>
      <w:r>
        <w:rPr>
          <w:rFonts w:ascii="Calibri" w:cs="Calibri" w:eastAsia="Calibri" w:hAnsi="Calibri"/>
          <w:color w:val="1A1A1A"/>
          <w:sz w:val="21"/>
          <w:szCs w:val="21"/>
        </w:rPr>
        <w:t xml:space="preserve">Front matter from firm branding + case fields (cover, instruction block, disclaimer, grading definitions) — reusing the existing branding/letterhead config.</w:t>
      </w:r>
    </w:p>
    <w:p>
      <w:pPr>
        <w:pStyle w:val="ListParagraph"/>
        <w:numPr>
          <w:ilvl w:val="0"/>
          <w:numId w:val="3"/>
        </w:numPr>
        <w:spacing w:after="70" w:line="268"/>
      </w:pPr>
      <w:r>
        <w:rPr>
          <w:rFonts w:ascii="Calibri" w:cs="Calibri" w:eastAsia="Calibri" w:hAnsi="Calibri"/>
          <w:color w:val="1A1A1A"/>
          <w:sz w:val="21"/>
          <w:szCs w:val="21"/>
        </w:rPr>
        <w:t xml:space="preserve">Each section 1.0–11.0 renders as the template's Ref / Item / Remarks table, iterating cs_inspection_item joined to cs_template_item, in template order, skipping N/A rows (or showing them, per a toggle).</w:t>
      </w:r>
    </w:p>
    <w:p>
      <w:pPr>
        <w:pStyle w:val="ListParagraph"/>
        <w:numPr>
          <w:ilvl w:val="0"/>
          <w:numId w:val="3"/>
        </w:numPr>
        <w:spacing w:after="70" w:line="268"/>
      </w:pPr>
      <w:r>
        <w:rPr>
          <w:rFonts w:ascii="Calibri" w:cs="Calibri" w:eastAsia="Calibri" w:hAnsi="Calibri"/>
          <w:color w:val="1A1A1A"/>
          <w:sz w:val="21"/>
          <w:szCs w:val="21"/>
        </w:rPr>
        <w:t xml:space="preserve">§1.0 Executive Summary pulls the AI-drafted narrative (reviewed by surveyor) + the recommendations list from cs_recommendation.</w:t>
      </w:r>
    </w:p>
    <w:p>
      <w:pPr>
        <w:pStyle w:val="ListParagraph"/>
        <w:numPr>
          <w:ilvl w:val="0"/>
          <w:numId w:val="3"/>
        </w:numPr>
        <w:spacing w:after="70" w:line="268"/>
      </w:pPr>
      <w:r>
        <w:rPr>
          <w:rFonts w:ascii="Calibri" w:cs="Calibri" w:eastAsia="Calibri" w:hAnsi="Calibri"/>
          <w:color w:val="1A1A1A"/>
          <w:sz w:val="21"/>
          <w:szCs w:val="21"/>
        </w:rPr>
        <w:t xml:space="preserve">Appendices A–E assembled from the Photos gallery and tagged Vault documents.</w:t>
      </w:r>
    </w:p>
    <w:p>
      <w:pPr>
        <w:pStyle w:val="ListParagraph"/>
        <w:numPr>
          <w:ilvl w:val="0"/>
          <w:numId w:val="3"/>
        </w:numPr>
        <w:spacing w:after="70" w:line="268"/>
      </w:pPr>
      <w:r>
        <w:rPr>
          <w:rFonts w:ascii="Calibri" w:cs="Calibri" w:eastAsia="Calibri" w:hAnsi="Calibri"/>
          <w:color w:val="1A1A1A"/>
          <w:sz w:val="21"/>
          <w:szCs w:val="21"/>
        </w:rPr>
        <w:t xml:space="preserve">Sign-off block + AI audit annexure appended by the same components the H&amp;M report already uses.</w:t>
      </w:r>
    </w:p>
    <w:p>
      <w:pPr>
        <w:spacing w:after="4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Compliance carries over for free</w:t>
            </w:r>
          </w:p>
          <w:p>
            <w:pPr>
              <w:spacing w:after="40" w:line="264"/>
            </w:pPr>
            <w:r>
              <w:rPr>
                <w:rFonts w:ascii="Calibri" w:cs="Calibri" w:eastAsia="Calibri" w:hAnsi="Calibri"/>
                <w:color w:val="1A1A1A"/>
                <w:sz w:val="20"/>
                <w:szCs w:val="20"/>
              </w:rPr>
              <w:t xml:space="preserve">Because it is the same engine: dual sign-off gate, the GPN-AI audit annexure, the export validation gate, and the firm-level disclaimer all apply to the C&amp;S report with no new work. The Without-Prejudice machinery is H&amp;M-specific and simply isn't invoked for C&amp;S — the clause library already selects wording per report format.</w:t>
            </w:r>
          </w:p>
        </w:tc>
      </w:tr>
    </w:tbl>
    <w:p>
      <w:r>
        <w:br w:type="page"/>
      </w:r>
    </w:p>
    <w:p>
      <w:pPr>
        <w:pStyle w:val="Heading1"/>
        <w:spacing w:after="140" w:before="320"/>
      </w:pPr>
      <w:r>
        <w:rPr>
          <w:rFonts w:ascii="Calibri" w:cs="Calibri" w:eastAsia="Calibri" w:hAnsi="Calibri"/>
          <w:b/>
          <w:bCs/>
          <w:color w:val="1F3A5F"/>
          <w:sz w:val="30"/>
          <w:szCs w:val="30"/>
        </w:rPr>
        <w:t xml:space="preserve">7.  Field capture — the Preliminary Deficiency List flow</w:t>
      </w:r>
    </w:p>
    <w:p>
      <w:pPr>
        <w:spacing w:after="120" w:line="276"/>
      </w:pPr>
      <w:r>
        <w:rPr>
          <w:rFonts w:ascii="Calibri" w:cs="Calibri" w:eastAsia="Calibri" w:hAnsi="Calibri"/>
          <w:color w:val="1A1A1A"/>
          <w:sz w:val="21"/>
          <w:szCs w:val="21"/>
        </w:rPr>
        <w:t xml:space="preserve">The Normand Scorpion preliminary list shows the real field pattern: attend the vessel, walk it section by section, record findings on the spot (often offline in an engine room or on deck), and hand a signed deficiency list to the Master before leaving. The app already has the pieces; C&amp;S arranges them into a checklist-first capture flow.</w:t>
      </w:r>
    </w:p>
    <w:p>
      <w:pPr>
        <w:pStyle w:val="Heading2"/>
        <w:spacing w:after="90" w:before="220"/>
      </w:pPr>
      <w:r>
        <w:rPr>
          <w:rFonts w:ascii="Calibri" w:cs="Calibri" w:eastAsia="Calibri" w:hAnsi="Calibri"/>
          <w:b/>
          <w:bCs/>
          <w:color w:val="2E5F8A"/>
          <w:sz w:val="25"/>
          <w:szCs w:val="25"/>
        </w:rPr>
        <w:t xml:space="preserve">7.1  Reuse map</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Field need</w:t>
            </w:r>
          </w:p>
        </w:tc>
        <w:tc>
          <w:tcPr>
            <w:tcW w:type="dxa" w:w="34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Existing tool</w:t>
            </w:r>
          </w:p>
        </w:tc>
        <w:tc>
          <w:tcPr>
            <w:tcW w:type="dxa" w:w="346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C&amp;S use</w:t>
            </w:r>
          </w:p>
        </w:tc>
      </w:tr>
      <w:tr>
        <w:tc>
          <w:tcPr>
            <w:tcW w:type="dxa" w:w="2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Walk the sections offline</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Offline-first local SQLite cache</w:t>
            </w:r>
          </w:p>
        </w:tc>
        <w:tc>
          <w:tcPr>
            <w:tcW w:type="dxa" w:w="3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Grade cs_inspection_item live, sync later</w:t>
            </w:r>
          </w:p>
        </w:tc>
      </w:tr>
      <w:tr>
        <w:tc>
          <w:tcPr>
            <w:tcW w:type="dxa" w:w="2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Photograph a finding</w:t>
            </w:r>
          </w:p>
        </w:tc>
        <w:tc>
          <w:tcPr>
            <w:tcW w:type="dxa" w:w="3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Photos gallery (crop/compress, damage-linking)</w:t>
            </w:r>
          </w:p>
        </w:tc>
        <w:tc>
          <w:tcPr>
            <w:tcW w:type="dxa" w:w="34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Link photo to the inspection item → Appendix A</w:t>
            </w:r>
          </w:p>
        </w:tc>
      </w:tr>
      <w:tr>
        <w:tc>
          <w:tcPr>
            <w:tcW w:type="dxa" w:w="2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Dictate a remark</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On-device voice note (AI-routed)</w:t>
            </w:r>
          </w:p>
        </w:tc>
        <w:tc>
          <w:tcPr>
            <w:tcW w:type="dxa" w:w="3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Route dictation into the item's remark field</w:t>
            </w:r>
          </w:p>
        </w:tc>
      </w:tr>
      <w:tr>
        <w:tc>
          <w:tcPr>
            <w:tcW w:type="dxa" w:w="2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Capture a cert / class PDF</w:t>
            </w:r>
          </w:p>
        </w:tc>
        <w:tc>
          <w:tcPr>
            <w:tcW w:type="dxa" w:w="3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Document Vault + AI extraction</w:t>
            </w:r>
          </w:p>
        </w:tc>
        <w:tc>
          <w:tcPr>
            <w:tcW w:type="dxa" w:w="34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Populate §3.0 certificate register</w:t>
            </w:r>
          </w:p>
        </w:tc>
      </w:tr>
      <w:tr>
        <w:tc>
          <w:tcPr>
            <w:tcW w:type="dxa" w:w="2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Read nameplate / class particulars</w:t>
            </w:r>
          </w:p>
        </w:tc>
        <w:tc>
          <w:tcPr>
            <w:tcW w:type="dxa" w:w="3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Nameplate &amp; class-PDF extraction + Equasis</w:t>
            </w:r>
          </w:p>
        </w:tc>
        <w:tc>
          <w:tcPr>
            <w:tcW w:type="dxa" w:w="3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Fill §2.0 General Particulars</w:t>
            </w:r>
          </w:p>
        </w:tc>
      </w:tr>
      <w:tr>
        <w:tc>
          <w:tcPr>
            <w:tcW w:type="dxa" w:w="2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Sign on the day</w:t>
            </w:r>
          </w:p>
        </w:tc>
        <w:tc>
          <w:tcPr>
            <w:tcW w:type="dxa" w:w="3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Dual sign-off (drawn / PNG)</w:t>
            </w:r>
          </w:p>
        </w:tc>
        <w:tc>
          <w:tcPr>
            <w:tcW w:type="dxa" w:w="34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Surveyor + Master sign the Preliminary List</w:t>
            </w:r>
          </w:p>
        </w:tc>
      </w:tr>
    </w:tbl>
    <w:p>
      <w:pPr>
        <w:spacing w:after="60"/>
      </w:pPr>
      <w:r>
        <w:t xml:space="preserve"/>
      </w:r>
    </w:p>
    <w:p>
      <w:pPr>
        <w:spacing w:after="120" w:line="276"/>
      </w:pPr>
      <w:r>
        <w:rPr>
          <w:rFonts w:ascii="Calibri" w:cs="Calibri" w:eastAsia="Calibri" w:hAnsi="Calibri"/>
          <w:color w:val="1A1A1A"/>
          <w:sz w:val="21"/>
          <w:szCs w:val="21"/>
        </w:rPr>
        <w:t xml:space="preserve">The main genuinely-new UI is a </w:t>
      </w:r>
      <w:r>
        <w:rPr>
          <w:rFonts w:ascii="Calibri" w:cs="Calibri" w:eastAsia="Calibri" w:hAnsi="Calibri"/>
          <w:b/>
          <w:bCs/>
          <w:color w:val="1A1A1A"/>
          <w:sz w:val="21"/>
          <w:szCs w:val="21"/>
        </w:rPr>
        <w:t xml:space="preserve">section-by-section inspection screen</w:t>
      </w:r>
      <w:r>
        <w:rPr>
          <w:rFonts w:ascii="Calibri" w:cs="Calibri" w:eastAsia="Calibri" w:hAnsi="Calibri"/>
          <w:color w:val="1A1A1A"/>
          <w:sz w:val="21"/>
          <w:szCs w:val="21"/>
        </w:rPr>
        <w:t xml:space="preserve">: a list of the template's items for the current section, each with a grade selector, a remark field (voice-enabled), and a photo attach. This is the C&amp;S analogue of the existing damage register — and it is the one screen worth designing carefully, because it is where the surveyor spends the whole attendance.</w:t>
      </w:r>
    </w:p>
    <w:p>
      <w:pPr>
        <w:pStyle w:val="Heading1"/>
        <w:spacing w:after="140" w:before="320"/>
      </w:pPr>
      <w:r>
        <w:rPr>
          <w:rFonts w:ascii="Calibri" w:cs="Calibri" w:eastAsia="Calibri" w:hAnsi="Calibri"/>
          <w:b/>
          <w:bCs/>
          <w:color w:val="1F3A5F"/>
          <w:sz w:val="30"/>
          <w:szCs w:val="30"/>
        </w:rPr>
        <w:t xml:space="preserve">8.  AI reuse — same calls, new prompts</w:t>
      </w:r>
    </w:p>
    <w:p>
      <w:pPr>
        <w:spacing w:after="120" w:line="276"/>
      </w:pPr>
      <w:r>
        <w:rPr>
          <w:rFonts w:ascii="Calibri" w:cs="Calibri" w:eastAsia="Calibri" w:hAnsi="Calibri"/>
          <w:color w:val="1A1A1A"/>
          <w:sz w:val="21"/>
          <w:szCs w:val="21"/>
        </w:rPr>
        <w:t xml:space="preserve">Every AI capability the brief lists is reusable; C&amp;S mostly needs new prompt context, not new infrastructure. All calls continue to log to the AI audit table (prompt, response, model, tokens, SHA-256) — so GPN-AI compliance extends to C&amp;S automatically.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Capability</w:t>
            </w:r>
          </w:p>
        </w:tc>
        <w:tc>
          <w:tcPr>
            <w:tcW w:type="dxa" w:w="15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Model (today)</w:t>
            </w:r>
          </w:p>
        </w:tc>
        <w:tc>
          <w:tcPr>
            <w:tcW w:type="dxa" w:w="556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C&amp;S application</w:t>
            </w:r>
          </w:p>
        </w:tc>
      </w:tr>
      <w:tr>
        <w:tc>
          <w:tcPr>
            <w:tcW w:type="dxa" w:w="23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Case Analyst chat</w:t>
            </w:r>
          </w:p>
        </w:tc>
        <w:tc>
          <w:tcPr>
            <w:tcW w:type="dxa" w:w="1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Haiku 4.5</w:t>
            </w:r>
          </w:p>
        </w:tc>
        <w:tc>
          <w:tcPr>
            <w:tcW w:type="dxa" w:w="5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Answer from assembled C&amp;S context: particulars, grades, open recommendations, cert expiries</w:t>
            </w:r>
          </w:p>
        </w:tc>
      </w:tr>
      <w:tr>
        <w:tc>
          <w:tcPr>
            <w:tcW w:type="dxa" w:w="23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Document extraction</w:t>
            </w:r>
          </w:p>
        </w:tc>
        <w:tc>
          <w:tcPr>
            <w:tcW w:type="dxa" w:w="1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Sonnet</w:t>
            </w:r>
          </w:p>
        </w:tc>
        <w:tc>
          <w:tcPr>
            <w:tcW w:type="dxa" w:w="5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Certificates → §3.0 register; class PDF → §2.0; bollard-pull cert → §10.0</w:t>
            </w:r>
          </w:p>
        </w:tc>
      </w:tr>
      <w:tr>
        <w:tc>
          <w:tcPr>
            <w:tcW w:type="dxa" w:w="23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Nameplate / particulars</w:t>
            </w:r>
          </w:p>
        </w:tc>
        <w:tc>
          <w:tcPr>
            <w:tcW w:type="dxa" w:w="1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Sonnet</w:t>
            </w:r>
          </w:p>
        </w:tc>
        <w:tc>
          <w:tcPr>
            <w:tcW w:type="dxa" w:w="5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Fill General Particulars from photos</w:t>
            </w:r>
          </w:p>
        </w:tc>
      </w:tr>
      <w:tr>
        <w:tc>
          <w:tcPr>
            <w:tcW w:type="dxa" w:w="23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Narrative drafting</w:t>
            </w:r>
          </w:p>
        </w:tc>
        <w:tc>
          <w:tcPr>
            <w:tcW w:type="dxa" w:w="1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Sonnet</w:t>
            </w:r>
          </w:p>
        </w:tc>
        <w:tc>
          <w:tcPr>
            <w:tcW w:type="dxa" w:w="55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Draft Executive Summary, General Remarks, and tidy recommendation wording from graded items</w:t>
            </w:r>
          </w:p>
        </w:tc>
      </w:tr>
      <w:tr>
        <w:tc>
          <w:tcPr>
            <w:tcW w:type="dxa" w:w="23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Voice-note routing</w:t>
            </w:r>
          </w:p>
        </w:tc>
        <w:tc>
          <w:tcPr>
            <w:tcW w:type="dxa" w:w="1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Sonnet</w:t>
            </w:r>
          </w:p>
        </w:tc>
        <w:tc>
          <w:tcPr>
            <w:tcW w:type="dxa" w:w="55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Route a dictated remark to the correct inspection item / section</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New Case-Analyst context to assemble</w:t>
            </w:r>
          </w:p>
          <w:p>
            <w:pPr>
              <w:spacing w:after="40" w:line="264"/>
            </w:pPr>
            <w:r>
              <w:rPr>
                <w:rFonts w:ascii="Calibri" w:cs="Calibri" w:eastAsia="Calibri" w:hAnsi="Calibri"/>
                <w:color w:val="1A1A1A"/>
                <w:sz w:val="20"/>
                <w:szCs w:val="20"/>
              </w:rPr>
              <w:t xml:space="preserve">Server-side, add a C&amp;S context builder parallel to the H&amp;M one: vessel particulars, count of items by grade, the full list of UNSATISFACTORY items, open recommendations with refs, and upcoming certificate expiries. That gives the surveyor a genuinely useful “what's still open on this survey?” assistant with no new model work.</w:t>
            </w:r>
          </w:p>
        </w:tc>
      </w:tr>
    </w:tbl>
    <w:p>
      <w:pPr>
        <w:pStyle w:val="Heading1"/>
        <w:spacing w:after="140" w:before="320"/>
      </w:pPr>
      <w:r>
        <w:rPr>
          <w:rFonts w:ascii="Calibri" w:cs="Calibri" w:eastAsia="Calibri" w:hAnsi="Calibri"/>
          <w:b/>
          <w:bCs/>
          <w:color w:val="1F3A5F"/>
          <w:sz w:val="30"/>
          <w:szCs w:val="30"/>
        </w:rPr>
        <w:t xml:space="preserve">9.  Compliance &amp; output parity</w:t>
      </w:r>
    </w:p>
    <w:p>
      <w:pPr>
        <w:spacing w:after="120" w:line="276"/>
      </w:pPr>
      <w:r>
        <w:rPr>
          <w:rFonts w:ascii="Calibri" w:cs="Calibri" w:eastAsia="Calibri" w:hAnsi="Calibri"/>
          <w:color w:val="1A1A1A"/>
          <w:sz w:val="21"/>
          <w:szCs w:val="21"/>
        </w:rPr>
        <w:t xml:space="preserve">The compliance story is the app's strongest asset, and it transfers to C&amp;S with almost no new work because it lives in shared components:</w:t>
      </w:r>
    </w:p>
    <w:p>
      <w:pPr>
        <w:pStyle w:val="ListParagraph"/>
        <w:numPr>
          <w:ilvl w:val="0"/>
          <w:numId w:val="2"/>
        </w:numPr>
        <w:spacing w:after="70" w:line="268"/>
      </w:pPr>
      <w:r>
        <w:rPr>
          <w:rFonts w:ascii="Calibri" w:cs="Calibri" w:eastAsia="Calibri" w:hAnsi="Calibri"/>
          <w:b/>
          <w:bCs/>
          <w:color w:val="1A1A1A"/>
          <w:sz w:val="21"/>
          <w:szCs w:val="21"/>
        </w:rPr>
        <w:t xml:space="preserve">GPN-AI audit annexure</w:t>
      </w:r>
      <w:r>
        <w:rPr>
          <w:rFonts w:ascii="Calibri" w:cs="Calibri" w:eastAsia="Calibri" w:hAnsi="Calibri"/>
          <w:color w:val="1A1A1A"/>
          <w:sz w:val="21"/>
          <w:szCs w:val="21"/>
        </w:rPr>
        <w:t xml:space="preserve"> — every C&amp;S AI call logs to the same table and feeds the same Annexure I.</w:t>
      </w:r>
    </w:p>
    <w:p>
      <w:pPr>
        <w:pStyle w:val="ListParagraph"/>
        <w:numPr>
          <w:ilvl w:val="0"/>
          <w:numId w:val="2"/>
        </w:numPr>
        <w:spacing w:after="70" w:line="268"/>
      </w:pPr>
      <w:r>
        <w:rPr>
          <w:rFonts w:ascii="Calibri" w:cs="Calibri" w:eastAsia="Calibri" w:hAnsi="Calibri"/>
          <w:b/>
          <w:bCs/>
          <w:color w:val="1A1A1A"/>
          <w:sz w:val="21"/>
          <w:szCs w:val="21"/>
        </w:rPr>
        <w:t xml:space="preserve">Dual sign-off gate</w:t>
      </w:r>
      <w:r>
        <w:rPr>
          <w:rFonts w:ascii="Calibri" w:cs="Calibri" w:eastAsia="Calibri" w:hAnsi="Calibri"/>
          <w:color w:val="1A1A1A"/>
          <w:sz w:val="21"/>
          <w:szCs w:val="21"/>
        </w:rPr>
        <w:t xml:space="preserve"> — the Suitability Report exports only when attending + reviewing surveyor have signed, exactly as H&amp;M Final does. The Preliminary List uses the on-the-day surveyor + Master signature pattern seen in the Normand Scorpion example.</w:t>
      </w:r>
    </w:p>
    <w:p>
      <w:pPr>
        <w:pStyle w:val="ListParagraph"/>
        <w:numPr>
          <w:ilvl w:val="0"/>
          <w:numId w:val="2"/>
        </w:numPr>
        <w:spacing w:after="70" w:line="268"/>
      </w:pPr>
      <w:r>
        <w:rPr>
          <w:rFonts w:ascii="Calibri" w:cs="Calibri" w:eastAsia="Calibri" w:hAnsi="Calibri"/>
          <w:b/>
          <w:bCs/>
          <w:color w:val="1A1A1A"/>
          <w:sz w:val="21"/>
          <w:szCs w:val="21"/>
        </w:rPr>
        <w:t xml:space="preserve">Export validation gate</w:t>
      </w:r>
      <w:r>
        <w:rPr>
          <w:rFonts w:ascii="Calibri" w:cs="Calibri" w:eastAsia="Calibri" w:hAnsi="Calibri"/>
          <w:color w:val="1A1A1A"/>
          <w:sz w:val="21"/>
          <w:szCs w:val="21"/>
        </w:rPr>
        <w:t xml:space="preserve"> — extend the existing pre-export checklist with C&amp;S-specific rules: all mandatory sections have at least the required graded items, every UNSATISFACTORY item has a linked recommendation, Executive Summary confirmed.</w:t>
      </w:r>
    </w:p>
    <w:p>
      <w:pPr>
        <w:pStyle w:val="ListParagraph"/>
        <w:numPr>
          <w:ilvl w:val="0"/>
          <w:numId w:val="2"/>
        </w:numPr>
        <w:spacing w:after="70" w:line="268"/>
      </w:pPr>
      <w:r>
        <w:rPr>
          <w:rFonts w:ascii="Calibri" w:cs="Calibri" w:eastAsia="Calibri" w:hAnsi="Calibri"/>
          <w:b/>
          <w:bCs/>
          <w:color w:val="1A1A1A"/>
          <w:sz w:val="21"/>
          <w:szCs w:val="21"/>
        </w:rPr>
        <w:t xml:space="preserve">Firm-level disclaimer &amp; branding</w:t>
      </w:r>
      <w:r>
        <w:rPr>
          <w:rFonts w:ascii="Calibri" w:cs="Calibri" w:eastAsia="Calibri" w:hAnsi="Calibri"/>
          <w:color w:val="1A1A1A"/>
          <w:sz w:val="21"/>
          <w:szCs w:val="21"/>
        </w:rPr>
        <w:t xml:space="preserve"> — the C&amp;S template's liability paragraph becomes a clause-library entry for the C&amp;S format, alongside the existing ABL / Nordic / Oceanoservices formats.</w:t>
      </w:r>
    </w:p>
    <w:p>
      <w:pPr>
        <w:spacing w:after="4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C08A2E" w:sz="24"/>
              <w:bottom w:val="none" w:color="FFFFFF" w:sz="0"/>
              <w:right w:val="none" w:color="FFFFFF" w:sz="0"/>
            </w:tcBorders>
            <w:shd w:fill="FDF3E3"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One gap to note honestly</w:t>
            </w:r>
          </w:p>
          <w:p>
            <w:pPr>
              <w:spacing w:after="40" w:line="264"/>
            </w:pPr>
            <w:r>
              <w:rPr>
                <w:rFonts w:ascii="Calibri" w:cs="Calibri" w:eastAsia="Calibri" w:hAnsi="Calibri"/>
                <w:color w:val="1A1A1A"/>
                <w:sz w:val="20"/>
                <w:szCs w:val="20"/>
              </w:rPr>
              <w:t xml:space="preserve">The brief flags that report output is H&amp;M-focused and PDF export doesn't exist yet (Word only). C&amp;S inherits both: it will be Word-only too, and the export-gate rules above are new logic to write. Neither blocks a first version — they're the same constraints H&amp;M lives with today.</w:t>
            </w:r>
          </w:p>
        </w:tc>
      </w:tr>
    </w:tbl>
    <w:p>
      <w:r>
        <w:br w:type="page"/>
      </w:r>
    </w:p>
    <w:p>
      <w:pPr>
        <w:pStyle w:val="Heading1"/>
        <w:spacing w:after="140" w:before="320"/>
      </w:pPr>
      <w:r>
        <w:rPr>
          <w:rFonts w:ascii="Calibri" w:cs="Calibri" w:eastAsia="Calibri" w:hAnsi="Calibri"/>
          <w:b/>
          <w:bCs/>
          <w:color w:val="1F3A5F"/>
          <w:sz w:val="30"/>
          <w:szCs w:val="30"/>
        </w:rPr>
        <w:t xml:space="preserve">10.  A phased build plan</w:t>
      </w:r>
    </w:p>
    <w:p>
      <w:pPr>
        <w:spacing w:after="120" w:line="276"/>
      </w:pPr>
      <w:r>
        <w:rPr>
          <w:rFonts w:ascii="Calibri" w:cs="Calibri" w:eastAsia="Calibri" w:hAnsi="Calibri"/>
          <w:color w:val="1A1A1A"/>
          <w:sz w:val="21"/>
          <w:szCs w:val="21"/>
        </w:rPr>
        <w:t xml:space="preserve">Sequenced so each phase produces something usable on a real survey, lowest-risk first. Nothing here requires the multi-tenancy / RLS work the brief lists as commercial-readiness — this is all single-surveyor, in keeping with the current phase.</w:t>
      </w:r>
    </w:p>
    <w:p>
      <w:pPr>
        <w:pStyle w:val="Heading3"/>
        <w:spacing w:after="70" w:before="160"/>
      </w:pPr>
      <w:r>
        <w:rPr>
          <w:rFonts w:ascii="Calibri" w:cs="Calibri" w:eastAsia="Calibri" w:hAnsi="Calibri"/>
          <w:b/>
          <w:bCs/>
          <w:color w:val="5B7A99"/>
          <w:sz w:val="22"/>
          <w:szCs w:val="22"/>
        </w:rPr>
        <w:t xml:space="preserve">Phase 1 — Case type + skeleton (unlocks everything)</w:t>
      </w:r>
    </w:p>
    <w:p>
      <w:pPr>
        <w:pStyle w:val="ListParagraph"/>
        <w:numPr>
          <w:ilvl w:val="0"/>
          <w:numId w:val="2"/>
        </w:numPr>
        <w:spacing w:after="70" w:line="268"/>
      </w:pPr>
      <w:r>
        <w:rPr>
          <w:rFonts w:ascii="Calibri" w:cs="Calibri" w:eastAsia="Calibri" w:hAnsi="Calibri"/>
          <w:color w:val="1A1A1A"/>
          <w:sz w:val="21"/>
          <w:szCs w:val="21"/>
        </w:rPr>
        <w:t xml:space="preserve">Add survey_type to cases; add the selector on New Case (default hm_casualty).</w:t>
      </w:r>
    </w:p>
    <w:p>
      <w:pPr>
        <w:pStyle w:val="ListParagraph"/>
        <w:numPr>
          <w:ilvl w:val="0"/>
          <w:numId w:val="2"/>
        </w:numPr>
        <w:spacing w:after="70" w:line="268"/>
      </w:pPr>
      <w:r>
        <w:rPr>
          <w:rFonts w:ascii="Calibri" w:cs="Calibri" w:eastAsia="Calibri" w:hAnsi="Calibri"/>
          <w:color w:val="1A1A1A"/>
          <w:sz w:val="21"/>
          <w:szCs w:val="21"/>
        </w:rPr>
        <w:t xml:space="preserve">Seed cs_template + cs_template_item with the AHTS skeleton (sections 1.0–11.0) from the reference template.</w:t>
      </w:r>
    </w:p>
    <w:p>
      <w:pPr>
        <w:pStyle w:val="ListParagraph"/>
        <w:numPr>
          <w:ilvl w:val="0"/>
          <w:numId w:val="2"/>
        </w:numPr>
        <w:spacing w:after="70" w:line="268"/>
      </w:pPr>
      <w:r>
        <w:rPr>
          <w:rFonts w:ascii="Calibri" w:cs="Calibri" w:eastAsia="Calibri" w:hAnsi="Calibri"/>
          <w:color w:val="1A1A1A"/>
          <w:sz w:val="21"/>
          <w:szCs w:val="21"/>
        </w:rPr>
        <w:t xml:space="preserve">Case home reads survey_type and shows the right module set.</w:t>
      </w:r>
    </w:p>
    <w:p>
      <w:pPr>
        <w:pStyle w:val="Heading3"/>
        <w:spacing w:after="70" w:before="160"/>
      </w:pPr>
      <w:r>
        <w:rPr>
          <w:rFonts w:ascii="Calibri" w:cs="Calibri" w:eastAsia="Calibri" w:hAnsi="Calibri"/>
          <w:b/>
          <w:bCs/>
          <w:color w:val="5B7A99"/>
          <w:sz w:val="22"/>
          <w:szCs w:val="22"/>
        </w:rPr>
        <w:t xml:space="preserve">Phase 2 — Inspection capture</w:t>
      </w:r>
    </w:p>
    <w:p>
      <w:pPr>
        <w:pStyle w:val="ListParagraph"/>
        <w:numPr>
          <w:ilvl w:val="0"/>
          <w:numId w:val="2"/>
        </w:numPr>
        <w:spacing w:after="70" w:line="268"/>
      </w:pPr>
      <w:r>
        <w:rPr>
          <w:rFonts w:ascii="Calibri" w:cs="Calibri" w:eastAsia="Calibri" w:hAnsi="Calibri"/>
          <w:color w:val="1A1A1A"/>
          <w:sz w:val="21"/>
          <w:szCs w:val="21"/>
        </w:rPr>
        <w:t xml:space="preserve">Section-by-section inspection screen: grade + remark + photo per item, offline-capable via the existing sync pattern.</w:t>
      </w:r>
    </w:p>
    <w:p>
      <w:pPr>
        <w:pStyle w:val="ListParagraph"/>
        <w:numPr>
          <w:ilvl w:val="0"/>
          <w:numId w:val="2"/>
        </w:numPr>
        <w:spacing w:after="70" w:line="268"/>
      </w:pPr>
      <w:r>
        <w:rPr>
          <w:rFonts w:ascii="Calibri" w:cs="Calibri" w:eastAsia="Calibri" w:hAnsi="Calibri"/>
          <w:color w:val="1A1A1A"/>
          <w:sz w:val="21"/>
          <w:szCs w:val="21"/>
        </w:rPr>
        <w:t xml:space="preserve">UNSATISFACTORY → create linked cs_recommendation.</w:t>
      </w:r>
    </w:p>
    <w:p>
      <w:pPr>
        <w:pStyle w:val="ListParagraph"/>
        <w:numPr>
          <w:ilvl w:val="0"/>
          <w:numId w:val="2"/>
        </w:numPr>
        <w:spacing w:after="70" w:line="268"/>
      </w:pPr>
      <w:r>
        <w:rPr>
          <w:rFonts w:ascii="Calibri" w:cs="Calibri" w:eastAsia="Calibri" w:hAnsi="Calibri"/>
          <w:color w:val="1A1A1A"/>
          <w:sz w:val="21"/>
          <w:szCs w:val="21"/>
        </w:rPr>
        <w:t xml:space="preserve">Reuse Photos, voice notes, Vault as-is.</w:t>
      </w:r>
    </w:p>
    <w:p>
      <w:pPr>
        <w:pStyle w:val="Heading3"/>
        <w:spacing w:after="70" w:before="160"/>
      </w:pPr>
      <w:r>
        <w:rPr>
          <w:rFonts w:ascii="Calibri" w:cs="Calibri" w:eastAsia="Calibri" w:hAnsi="Calibri"/>
          <w:b/>
          <w:bCs/>
          <w:color w:val="5B7A99"/>
          <w:sz w:val="22"/>
          <w:szCs w:val="22"/>
        </w:rPr>
        <w:t xml:space="preserve">Phase 3 — Preliminary Deficiency List output</w:t>
      </w:r>
    </w:p>
    <w:p>
      <w:pPr>
        <w:pStyle w:val="ListParagraph"/>
        <w:numPr>
          <w:ilvl w:val="0"/>
          <w:numId w:val="2"/>
        </w:numPr>
        <w:spacing w:after="70" w:line="268"/>
      </w:pPr>
      <w:r>
        <w:rPr>
          <w:rFonts w:ascii="Calibri" w:cs="Calibri" w:eastAsia="Calibri" w:hAnsi="Calibri"/>
          <w:color w:val="1A1A1A"/>
          <w:sz w:val="21"/>
          <w:szCs w:val="21"/>
        </w:rPr>
        <w:t xml:space="preserve">Add the short deficiency-list .docx layout to the OOXML engine (numbered findings + on-the-day sign-off).</w:t>
      </w:r>
    </w:p>
    <w:p>
      <w:pPr>
        <w:pStyle w:val="ListParagraph"/>
        <w:numPr>
          <w:ilvl w:val="0"/>
          <w:numId w:val="2"/>
        </w:numPr>
        <w:spacing w:after="70" w:line="268"/>
      </w:pPr>
      <w:r>
        <w:rPr>
          <w:rFonts w:ascii="Calibri" w:cs="Calibri" w:eastAsia="Calibri" w:hAnsi="Calibri"/>
          <w:color w:val="1A1A1A"/>
          <w:sz w:val="21"/>
          <w:szCs w:val="21"/>
        </w:rPr>
        <w:t xml:space="preserve">This alone replaces the hand-written Broome-style list — a complete, shippable win on its own.</w:t>
      </w:r>
    </w:p>
    <w:p>
      <w:pPr>
        <w:pStyle w:val="Heading3"/>
        <w:spacing w:after="70" w:before="160"/>
      </w:pPr>
      <w:r>
        <w:rPr>
          <w:rFonts w:ascii="Calibri" w:cs="Calibri" w:eastAsia="Calibri" w:hAnsi="Calibri"/>
          <w:b/>
          <w:bCs/>
          <w:color w:val="5B7A99"/>
          <w:sz w:val="22"/>
          <w:szCs w:val="22"/>
        </w:rPr>
        <w:t xml:space="preserve">Phase 4 — Full Suitability Report</w:t>
      </w:r>
    </w:p>
    <w:p>
      <w:pPr>
        <w:pStyle w:val="ListParagraph"/>
        <w:numPr>
          <w:ilvl w:val="0"/>
          <w:numId w:val="2"/>
        </w:numPr>
        <w:spacing w:after="70" w:line="268"/>
      </w:pPr>
      <w:r>
        <w:rPr>
          <w:rFonts w:ascii="Calibri" w:cs="Calibri" w:eastAsia="Calibri" w:hAnsi="Calibri"/>
          <w:color w:val="1A1A1A"/>
          <w:sz w:val="21"/>
          <w:szCs w:val="21"/>
        </w:rPr>
        <w:t xml:space="preserve">Add the full 1.0–11.0 C&amp;S layout with Appendices.</w:t>
      </w:r>
    </w:p>
    <w:p>
      <w:pPr>
        <w:pStyle w:val="ListParagraph"/>
        <w:numPr>
          <w:ilvl w:val="0"/>
          <w:numId w:val="2"/>
        </w:numPr>
        <w:spacing w:after="70" w:line="268"/>
      </w:pPr>
      <w:r>
        <w:rPr>
          <w:rFonts w:ascii="Calibri" w:cs="Calibri" w:eastAsia="Calibri" w:hAnsi="Calibri"/>
          <w:color w:val="1A1A1A"/>
          <w:sz w:val="21"/>
          <w:szCs w:val="21"/>
        </w:rPr>
        <w:t xml:space="preserve">Certificate register (§3.0) with Vault-extraction population.</w:t>
      </w:r>
    </w:p>
    <w:p>
      <w:pPr>
        <w:pStyle w:val="ListParagraph"/>
        <w:numPr>
          <w:ilvl w:val="0"/>
          <w:numId w:val="2"/>
        </w:numPr>
        <w:spacing w:after="70" w:line="268"/>
      </w:pPr>
      <w:r>
        <w:rPr>
          <w:rFonts w:ascii="Calibri" w:cs="Calibri" w:eastAsia="Calibri" w:hAnsi="Calibri"/>
          <w:color w:val="1A1A1A"/>
          <w:sz w:val="21"/>
          <w:szCs w:val="21"/>
        </w:rPr>
        <w:t xml:space="preserve">Executive Summary verdict + recommendations list.</w:t>
      </w:r>
    </w:p>
    <w:p>
      <w:pPr>
        <w:pStyle w:val="Heading3"/>
        <w:spacing w:after="70" w:before="160"/>
      </w:pPr>
      <w:r>
        <w:rPr>
          <w:rFonts w:ascii="Calibri" w:cs="Calibri" w:eastAsia="Calibri" w:hAnsi="Calibri"/>
          <w:b/>
          <w:bCs/>
          <w:color w:val="5B7A99"/>
          <w:sz w:val="22"/>
          <w:szCs w:val="22"/>
        </w:rPr>
        <w:t xml:space="preserve">Phase 5 — AI + compliance polish</w:t>
      </w:r>
    </w:p>
    <w:p>
      <w:pPr>
        <w:pStyle w:val="ListParagraph"/>
        <w:numPr>
          <w:ilvl w:val="0"/>
          <w:numId w:val="2"/>
        </w:numPr>
        <w:spacing w:after="70" w:line="268"/>
      </w:pPr>
      <w:r>
        <w:rPr>
          <w:rFonts w:ascii="Calibri" w:cs="Calibri" w:eastAsia="Calibri" w:hAnsi="Calibri"/>
          <w:color w:val="1A1A1A"/>
          <w:sz w:val="21"/>
          <w:szCs w:val="21"/>
        </w:rPr>
        <w:t xml:space="preserve">C&amp;S Case-Analyst context builder; C&amp;S narrative-drafting prompts.</w:t>
      </w:r>
    </w:p>
    <w:p>
      <w:pPr>
        <w:pStyle w:val="ListParagraph"/>
        <w:numPr>
          <w:ilvl w:val="0"/>
          <w:numId w:val="2"/>
        </w:numPr>
        <w:spacing w:after="70" w:line="268"/>
      </w:pPr>
      <w:r>
        <w:rPr>
          <w:rFonts w:ascii="Calibri" w:cs="Calibri" w:eastAsia="Calibri" w:hAnsi="Calibri"/>
          <w:color w:val="1A1A1A"/>
          <w:sz w:val="21"/>
          <w:szCs w:val="21"/>
        </w:rPr>
        <w:t xml:space="preserve">C&amp;S export validation rules; C&amp;S clause-library entries (disclaimer, grading definitions).</w:t>
      </w:r>
    </w:p>
    <w:p>
      <w:pPr>
        <w:spacing w:after="10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color="FFFFFF" w:sz="0"/>
              <w:left w:val="single" w:color="2E5F8A" w:sz="24"/>
              <w:bottom w:val="none" w:color="FFFFFF" w:sz="0"/>
              <w:right w:val="none" w:color="FFFFFF" w:sz="0"/>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Sensible first milestone</w:t>
            </w:r>
          </w:p>
          <w:p>
            <w:pPr>
              <w:spacing w:after="40" w:line="264"/>
            </w:pPr>
            <w:r>
              <w:rPr>
                <w:rFonts w:ascii="Calibri" w:cs="Calibri" w:eastAsia="Calibri" w:hAnsi="Calibri"/>
                <w:color w:val="1A1A1A"/>
                <w:sz w:val="20"/>
                <w:szCs w:val="20"/>
              </w:rPr>
              <w:t xml:space="preserve">Phases 1–3 deliver a genuinely useful tool: create a C&amp;S — AHTS case, walk the vessel grading items offline, and generate the signed Preliminary Deficiency List you currently write by hand. That is a self-contained, low-risk slice you could use on the very next AHTS attendance — with the full Suitability Report following in Phase 4.</w:t>
            </w:r>
          </w:p>
        </w:tc>
      </w:tr>
    </w:tbl>
    <w:p>
      <w:pPr>
        <w:pStyle w:val="Heading1"/>
        <w:spacing w:after="140" w:before="320"/>
      </w:pPr>
      <w:r>
        <w:rPr>
          <w:rFonts w:ascii="Calibri" w:cs="Calibri" w:eastAsia="Calibri" w:hAnsi="Calibri"/>
          <w:b/>
          <w:bCs/>
          <w:color w:val="1F3A5F"/>
          <w:sz w:val="30"/>
          <w:szCs w:val="30"/>
        </w:rPr>
        <w:t xml:space="preserve">11.  Open decisions for you</w:t>
      </w:r>
    </w:p>
    <w:p>
      <w:pPr>
        <w:spacing w:after="120" w:line="276"/>
      </w:pPr>
      <w:r>
        <w:rPr>
          <w:rFonts w:ascii="Calibri" w:cs="Calibri" w:eastAsia="Calibri" w:hAnsi="Calibri"/>
          <w:color w:val="1A1A1A"/>
          <w:sz w:val="21"/>
          <w:szCs w:val="21"/>
        </w:rPr>
        <w:t xml:space="preserve">Choices that shape the build and are yours to make — flagged here rather than assumed: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60"/>
      </w:tblGrid>
      <w:tr>
        <w:trPr>
          <w:tblHeader/>
        </w:trPr>
        <w:tc>
          <w:tcPr>
            <w:tcW w:type="dxa" w:w="5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w:t>
            </w:r>
          </w:p>
        </w:tc>
        <w:tc>
          <w:tcPr>
            <w:tcW w:type="dxa" w:w="440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Decision</w:t>
            </w:r>
          </w:p>
        </w:tc>
        <w:tc>
          <w:tcPr>
            <w:tcW w:type="dxa" w:w="4460"/>
            <w:tcBorders>
              <w:top w:val="single" w:color="C3CEDA" w:sz="4"/>
              <w:left w:val="single" w:color="C3CEDA" w:sz="4"/>
              <w:bottom w:val="single" w:color="C3CEDA" w:sz="4"/>
              <w:right w:val="single" w:color="C3CEDA" w:sz="4"/>
            </w:tcBorders>
            <w:shd w:fill="1F3A5F" w:color="auto" w:val="clear"/>
            <w:tcMar>
              <w:top w:type="dxa" w:w="60"/>
              <w:left w:type="dxa" w:w="90"/>
              <w:bottom w:type="dxa" w:w="60"/>
              <w:right w:type="dxa" w:w="90"/>
            </w:tcMar>
          </w:tcPr>
          <w:p>
            <w:pPr>
              <w:spacing w:after="40" w:line="250"/>
            </w:pPr>
            <w:r>
              <w:rPr>
                <w:rFonts w:ascii="Calibri" w:cs="Calibri" w:eastAsia="Calibri" w:hAnsi="Calibri"/>
                <w:b/>
                <w:bCs/>
                <w:color w:val="FFFFFF"/>
                <w:sz w:val="19"/>
                <w:szCs w:val="19"/>
              </w:rPr>
              <w:t xml:space="preserve">Why it matters</w:t>
            </w:r>
          </w:p>
        </w:tc>
      </w:tr>
      <w:tr>
        <w:tc>
          <w:tcPr>
            <w:tcW w:type="dxa" w:w="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1</w:t>
            </w:r>
          </w:p>
        </w:tc>
        <w:tc>
          <w:tcPr>
            <w:tcW w:type="dxa" w:w="4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Is the AHTS section skeleton fixed, or surveyor-editable per case?</w:t>
            </w:r>
          </w:p>
        </w:tc>
        <w:tc>
          <w:tcPr>
            <w:tcW w:type="dxa" w:w="4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Fixed is simpler and more consistent; editable copes with odd vessels but complicates the template model.</w:t>
            </w:r>
          </w:p>
        </w:tc>
      </w:tr>
      <w:tr>
        <w:tc>
          <w:tcPr>
            <w:tcW w:type="dxa" w:w="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2</w:t>
            </w:r>
          </w:p>
        </w:tc>
        <w:tc>
          <w:tcPr>
            <w:tcW w:type="dxa" w:w="4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Do N/A items print in the full report, or drop out?</w:t>
            </w:r>
          </w:p>
        </w:tc>
        <w:tc>
          <w:tcPr>
            <w:tcW w:type="dxa" w:w="44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Class C&amp;S reports often show the full register (proves it was considered); a toggle satisfies both.</w:t>
            </w:r>
          </w:p>
        </w:tc>
      </w:tr>
      <w:tr>
        <w:tc>
          <w:tcPr>
            <w:tcW w:type="dxa" w:w="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3</w:t>
            </w:r>
          </w:p>
        </w:tc>
        <w:tc>
          <w:tcPr>
            <w:tcW w:type="dxa" w:w="4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Does every UNSATISFACTORY force a recommendation, or offer it?</w:t>
            </w:r>
          </w:p>
        </w:tc>
        <w:tc>
          <w:tcPr>
            <w:tcW w:type="dxa" w:w="4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Forcing guarantees the gating list is complete; offering is less rigid.</w:t>
            </w:r>
          </w:p>
        </w:tc>
      </w:tr>
      <w:tr>
        <w:tc>
          <w:tcPr>
            <w:tcW w:type="dxa" w:w="5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4</w:t>
            </w:r>
          </w:p>
        </w:tc>
        <w:tc>
          <w:tcPr>
            <w:tcW w:type="dxa" w:w="440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Report-type naming: mirror ABL exactly, or your own labels?</w:t>
            </w:r>
          </w:p>
        </w:tc>
        <w:tc>
          <w:tcPr>
            <w:tcW w:type="dxa" w:w="4460"/>
            <w:tcBorders>
              <w:top w:val="single" w:color="C3CEDA" w:sz="4"/>
              <w:left w:val="single" w:color="C3CEDA" w:sz="4"/>
              <w:bottom w:val="single" w:color="C3CEDA" w:sz="4"/>
              <w:right w:val="single" w:color="C3CEDA" w:sz="4"/>
            </w:tcBorders>
            <w:shd w:fill="EAF0F6" w:color="auto" w:val="clear"/>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Affects clause-library entries and the export-gate wording.</w:t>
            </w:r>
          </w:p>
        </w:tc>
      </w:tr>
      <w:tr>
        <w:tc>
          <w:tcPr>
            <w:tcW w:type="dxa" w:w="5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bCs/>
                <w:color w:val="1F3A5F"/>
                <w:sz w:val="19"/>
                <w:szCs w:val="19"/>
              </w:rPr>
              <w:t xml:space="preserve">5</w:t>
            </w:r>
          </w:p>
        </w:tc>
        <w:tc>
          <w:tcPr>
            <w:tcW w:type="dxa" w:w="440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Certificate register: full statutory list up front, or add-as-found?</w:t>
            </w:r>
          </w:p>
        </w:tc>
        <w:tc>
          <w:tcPr>
            <w:tcW w:type="dxa" w:w="4460"/>
            <w:tcBorders>
              <w:top w:val="single" w:color="C3CEDA" w:sz="4"/>
              <w:left w:val="single" w:color="C3CEDA" w:sz="4"/>
              <w:bottom w:val="single" w:color="C3CEDA" w:sz="4"/>
              <w:right w:val="single" w:color="C3CEDA" w:sz="4"/>
            </w:tcBorders>
            <w:tcMar>
              <w:top w:type="dxa" w:w="60"/>
              <w:left w:type="dxa" w:w="90"/>
              <w:bottom w:type="dxa" w:w="60"/>
              <w:right w:type="dxa" w:w="90"/>
            </w:tcMar>
          </w:tcPr>
          <w:p>
            <w:pPr>
              <w:spacing w:after="40" w:line="250"/>
            </w:pPr>
            <w:r>
              <w:rPr>
                <w:rFonts w:ascii="Calibri" w:cs="Calibri" w:eastAsia="Calibri" w:hAnsi="Calibri"/>
                <w:b w:val="false"/>
                <w:bCs w:val="false"/>
                <w:color w:val="1A1A1A"/>
                <w:sz w:val="19"/>
                <w:szCs w:val="19"/>
              </w:rPr>
              <w:t xml:space="preserve">Full list mirrors the template and prompts completeness; add-as-found is faster in the field.</w:t>
            </w:r>
          </w:p>
        </w:tc>
      </w:tr>
    </w:tbl>
    <w:p>
      <w:pPr>
        <w:spacing w:after="160"/>
      </w:pPr>
      <w:r>
        <w:t xml:space="preserve"/>
      </w:r>
    </w:p>
    <w:p>
      <w:pPr>
        <w:pBdr>
          <w:top w:val="single" w:color="C3CEDA" w:sz="8" w:space="8"/>
        </w:pBdr>
        <w:spacing w:after="40" w:before="200"/>
      </w:pPr>
      <w:r>
        <w:rPr>
          <w:rFonts w:ascii="Calibri" w:cs="Calibri" w:eastAsia="Calibri" w:hAnsi="Calibri"/>
          <w:b/>
          <w:bCs/>
          <w:color w:val="1F3A5F"/>
          <w:sz w:val="24"/>
          <w:szCs w:val="24"/>
        </w:rPr>
        <w:t xml:space="preserve">Summary</w:t>
      </w:r>
    </w:p>
    <w:p>
      <w:pPr>
        <w:spacing w:after="120" w:line="276"/>
      </w:pPr>
      <w:r>
        <w:rPr>
          <w:rFonts w:ascii="Calibri" w:cs="Calibri" w:eastAsia="Calibri" w:hAnsi="Calibri"/>
          <w:color w:val="1A1A1A"/>
          <w:sz w:val="21"/>
          <w:szCs w:val="21"/>
        </w:rPr>
        <w:t xml:space="preserve">C&amp;S — AHTS is an </w:t>
      </w:r>
      <w:r>
        <w:rPr>
          <w:rFonts w:ascii="Calibri" w:cs="Calibri" w:eastAsia="Calibri" w:hAnsi="Calibri"/>
          <w:b/>
          <w:bCs/>
          <w:color w:val="1A1A1A"/>
          <w:sz w:val="21"/>
          <w:szCs w:val="21"/>
        </w:rPr>
        <w:t xml:space="preserve">additive report shape</w:t>
      </w:r>
      <w:r>
        <w:rPr>
          <w:rFonts w:ascii="Calibri" w:cs="Calibri" w:eastAsia="Calibri" w:hAnsi="Calibri"/>
          <w:color w:val="1A1A1A"/>
          <w:sz w:val="21"/>
          <w:szCs w:val="21"/>
        </w:rPr>
        <w:t xml:space="preserve">, not a second app. Add a case type at creation, a small inspection/recommendation/certificate data model that rides the existing offline-sync pattern, a second layout on the OOXML engine, and C&amp;S-specific AI prompts — and the app's existing capture tools, AI, sign-off and compliance machinery all carry over. Build it in phases; the Preliminary Deficiency List (Phases 1–3) is a shippable first win.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EDA" w:sz="4" w:space="4"/>
      </w:pBdr>
      <w:spacing w:before="40"/>
      <w:jc w:val="center"/>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EDA" w:sz="4" w:space="4"/>
      </w:pBdr>
      <w:spacing w:after="0"/>
      <w:jc w:val="right"/>
    </w:pPr>
    <w:r>
      <w:rPr>
        <w:rFonts w:ascii="Calibri" w:cs="Calibri" w:eastAsia="Calibri" w:hAnsi="Calibri"/>
        <w:color w:val="6B7280"/>
        <w:sz w:val="15"/>
        <w:szCs w:val="15"/>
      </w:rPr>
      <w:t xml:space="preserve">Marine Survey App  ·  C&amp;S — AHTS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2E5F8A"/>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380" w:hanging="24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the C&amp;S — AHTS Module</dc:title>
  <dc:creator>Marine Survey App</dc:creator>
  <cp:lastModifiedBy>Un-named</cp:lastModifiedBy>
  <cp:revision>1</cp:revision>
  <dcterms:created xsi:type="dcterms:W3CDTF">2026-07-17T08:29:21.344Z</dcterms:created>
  <dcterms:modified xsi:type="dcterms:W3CDTF">2026-07-17T08:29:21.355Z</dcterms:modified>
</cp:coreProperties>
</file>

<file path=docProps/custom.xml><?xml version="1.0" encoding="utf-8"?>
<Properties xmlns="http://schemas.openxmlformats.org/officeDocument/2006/custom-properties" xmlns:vt="http://schemas.openxmlformats.org/officeDocument/2006/docPropsVTypes"/>
</file>