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left"/>
      </w:pPr>
      <w:r>
        <w:drawing>
          <wp:inline distT="0" distB="0" distL="0" distR="0">
            <wp:extent cx="2857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85800"/>
                    </a:xfrm>
                    <a:prstGeom prst="rect">
                      <a:avLst/>
                    </a:prstGeom>
                  </pic:spPr>
                </pic:pic>
              </a:graphicData>
            </a:graphic>
          </wp:inline>
        </w:drawing>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3D1A6E" w:color="auto" w:val="clear"/>
            <w:tcMar>
              <w:top w:type="dxa" w:w="200"/>
              <w:left w:type="dxa" w:w="200"/>
              <w:bottom w:type="dxa" w:w="200"/>
              <w:right w:type="dxa" w:w="200"/>
            </w:tcMar>
          </w:tcPr>
          <w:p>
            <w:pPr>
              <w:spacing w:after="60"/>
            </w:pPr>
            <w:r>
              <w:rPr>
                <w:b/>
                <w:bCs/>
                <w:color w:val="FFFFFF"/>
                <w:sz w:val="40"/>
                <w:szCs w:val="40"/>
              </w:rPr>
              <w:t xml:space="preserve">P&amp;I SURVEY MODULE</w:t>
            </w:r>
          </w:p>
          <w:p>
            <w:r>
              <w:rPr>
                <w:b/>
                <w:bCs/>
                <w:color w:val="E7DDF5"/>
                <w:sz w:val="22"/>
                <w:szCs w:val="22"/>
              </w:rPr>
              <w:t xml:space="preserve">SPECIFICATION, ARCHITECTURE &amp; INSTRUCTING-PARTY PROCESS FRAMEWORK</w:t>
            </w:r>
          </w:p>
        </w:tc>
      </w:tr>
    </w:tbl>
    <w:p>
      <w:pPr>
        <w:spacing w:after="220"/>
      </w:pPr>
      <w:r>
        <w:t xml:space="preserve"/>
      </w:r>
    </w:p>
    <w:tbl>
      <w:tblPr>
        <w:tblW w:type="dxa" w:w="9026"/>
        <w:tblBorders>
          <w:top w:val="single" w:color="B9A9D6" w:sz="4"/>
          <w:left w:val="single" w:color="B9A9D6" w:sz="4"/>
          <w:bottom w:val="single" w:color="B9A9D6" w:sz="4"/>
          <w:right w:val="single" w:color="B9A9D6" w:sz="4"/>
          <w:insideH w:val="single" w:color="B9A9D6" w:sz="4"/>
          <w:insideV w:val="single" w:color="B9A9D6" w:sz="4"/>
        </w:tblBorders>
      </w:tblPr>
      <w:tblGrid>
        <w:gridCol w:w="2300"/>
        <w:gridCol w:w="6726"/>
      </w:tblGrid>
      <w:tr>
        <w:trPr>
          <w:tblHeader/>
        </w:trPr>
        <w:tc>
          <w:tcPr>
            <w:tcW w:type="dxa" w:w="230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Prepared by</w:t>
            </w:r>
          </w:p>
        </w:tc>
        <w:tc>
          <w:tcPr>
            <w:tcW w:type="dxa" w:w="672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Marine Engineering Projects &amp; Survey</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Purpose</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Extend the AI survey platform from H&amp;M to Protection &amp; Indemnity and litigation-adjacent expert reporting</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Basis</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Review of a representative set of P&amp;I and expert matters spanning machinery failure, allision/impact, grounding, structural examination, casualty with personal injury, and an expert report for litigation</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Relationship to prior work</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Companion to the H&amp;M Damage Survey Report — Format Analysis &amp; AI Survey Platform Strategy (v2.0). Reuses the same compliance engine, clause library and AI governance framework</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Reference standards</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Federal Court GPN-AI (16 April 2026) · GPN-EXPT &amp; Harmonised Expert Witness Code of Conduct · International Group P&amp;I Club conventions · IIMS / IMarEST professional guidance — reviewed against current sources, see Section 8</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AI Governance</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Compliant with Federal Court of Australia GPN-AI Practice Note (16 April 2026), read with GPN-EXPT for expert reports — see Sections 3.3 and 8</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Version</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1.0 — July 2026</w:t>
            </w:r>
          </w:p>
        </w:tc>
      </w:tr>
      <w:tr>
        <w:trPr>
          <w:tblHeader w:val="false"/>
        </w:trPr>
        <w:tc>
          <w:tcPr>
            <w:tcW w:type="dxa" w:w="23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Classification</w:t>
            </w:r>
          </w:p>
        </w:tc>
        <w:tc>
          <w:tcPr>
            <w:tcW w:type="dxa" w:w="67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Confidential — Internal Working Document</w:t>
            </w:r>
          </w:p>
        </w:tc>
      </w:tr>
    </w:tbl>
    <w:p>
      <w:r>
        <w:br w:type="page"/>
      </w:r>
    </w:p>
    <w:p>
      <w:pPr>
        <w:spacing w:after="200"/>
      </w:pPr>
      <w:r>
        <w:rPr>
          <w:b/>
          <w:bCs/>
          <w:color w:val="3D1A6E"/>
          <w:sz w:val="32"/>
          <w:szCs w:val="32"/>
        </w:rPr>
        <w:t xml:space="preserve">Contents</w:t>
      </w:r>
    </w:p>
    <w:p>
      <w:pPr>
        <w:spacing w:after="60" w:before="60"/>
        <w:ind w:left="0"/>
      </w:pPr>
      <w:r>
        <w:rPr>
          <w:b/>
          <w:bCs/>
          <w:color w:val="3D1A6E"/>
          <w:sz w:val="21"/>
          <w:szCs w:val="21"/>
        </w:rPr>
        <w:t xml:space="preserve">1. Executive Summary</w:t>
      </w:r>
      <w:r>
        <w:ptab w:alignment="right" w:relativeTo="margin" w:leader="dot"/>
      </w:r>
      <w:r>
        <w:rPr>
          <w:b/>
          <w:bCs/>
          <w:color w:val="3D1A6E"/>
          <w:sz w:val="21"/>
          <w:szCs w:val="21"/>
        </w:rPr>
        <w:t xml:space="preserve">3</w:t>
      </w:r>
    </w:p>
    <w:p>
      <w:pPr>
        <w:spacing w:after="60" w:before="60"/>
        <w:ind w:left="0"/>
      </w:pPr>
      <w:r>
        <w:rPr>
          <w:b/>
          <w:bCs/>
          <w:color w:val="3D1A6E"/>
          <w:sz w:val="21"/>
          <w:szCs w:val="21"/>
        </w:rPr>
        <w:t xml:space="preserve">2. Findings from the Representative Matter Set</w:t>
      </w:r>
      <w:r>
        <w:ptab w:alignment="right" w:relativeTo="margin" w:leader="dot"/>
      </w:r>
      <w:r>
        <w:rPr>
          <w:b/>
          <w:bCs/>
          <w:color w:val="3D1A6E"/>
          <w:sz w:val="21"/>
          <w:szCs w:val="21"/>
        </w:rPr>
        <w:t xml:space="preserve">4</w:t>
      </w:r>
    </w:p>
    <w:p>
      <w:pPr>
        <w:spacing w:after="30" w:before="0"/>
        <w:ind w:left="360"/>
      </w:pPr>
      <w:r>
        <w:rPr>
          <w:b w:val="false"/>
          <w:bCs w:val="false"/>
          <w:color w:val="222222"/>
          <w:sz w:val="20"/>
          <w:szCs w:val="20"/>
        </w:rPr>
        <w:t xml:space="preserve">2.1 A Stable Skeleton Underlies Every Report</w:t>
      </w:r>
      <w:r>
        <w:ptab w:alignment="right" w:relativeTo="margin" w:leader="dot"/>
      </w:r>
      <w:r>
        <w:rPr>
          <w:b w:val="false"/>
          <w:bCs w:val="false"/>
          <w:color w:val="222222"/>
          <w:sz w:val="20"/>
          <w:szCs w:val="20"/>
        </w:rPr>
        <w:t xml:space="preserve">4</w:t>
      </w:r>
    </w:p>
    <w:p>
      <w:pPr>
        <w:spacing w:after="30" w:before="0"/>
        <w:ind w:left="360"/>
      </w:pPr>
      <w:r>
        <w:rPr>
          <w:b w:val="false"/>
          <w:bCs w:val="false"/>
          <w:color w:val="222222"/>
          <w:sz w:val="20"/>
          <w:szCs w:val="20"/>
        </w:rPr>
        <w:t xml:space="preserve">2.2 Mapping to Existing Platform Capability</w:t>
      </w:r>
      <w:r>
        <w:ptab w:alignment="right" w:relativeTo="margin" w:leader="dot"/>
      </w:r>
      <w:r>
        <w:rPr>
          <w:b w:val="false"/>
          <w:bCs w:val="false"/>
          <w:color w:val="222222"/>
          <w:sz w:val="20"/>
          <w:szCs w:val="20"/>
        </w:rPr>
        <w:t xml:space="preserve">4</w:t>
      </w:r>
    </w:p>
    <w:p>
      <w:pPr>
        <w:spacing w:after="30" w:before="0"/>
        <w:ind w:left="360"/>
      </w:pPr>
      <w:r>
        <w:rPr>
          <w:b w:val="false"/>
          <w:bCs w:val="false"/>
          <w:color w:val="222222"/>
          <w:sz w:val="20"/>
          <w:szCs w:val="20"/>
        </w:rPr>
        <w:t xml:space="preserve">2.3 The Perpetual-Draft Requirement Is a Feature to Design For</w:t>
      </w:r>
      <w:r>
        <w:ptab w:alignment="right" w:relativeTo="margin" w:leader="dot"/>
      </w:r>
      <w:r>
        <w:rPr>
          <w:b w:val="false"/>
          <w:bCs w:val="false"/>
          <w:color w:val="222222"/>
          <w:sz w:val="20"/>
          <w:szCs w:val="20"/>
        </w:rPr>
        <w:t xml:space="preserve">5</w:t>
      </w:r>
    </w:p>
    <w:p>
      <w:pPr>
        <w:spacing w:after="60" w:before="60"/>
        <w:ind w:left="0"/>
      </w:pPr>
      <w:r>
        <w:rPr>
          <w:b/>
          <w:bCs/>
          <w:color w:val="3D1A6E"/>
          <w:sz w:val="21"/>
          <w:szCs w:val="21"/>
        </w:rPr>
        <w:t xml:space="preserve">3. Architectural Approach</w:t>
      </w:r>
      <w:r>
        <w:ptab w:alignment="right" w:relativeTo="margin" w:leader="dot"/>
      </w:r>
      <w:r>
        <w:rPr>
          <w:b/>
          <w:bCs/>
          <w:color w:val="3D1A6E"/>
          <w:sz w:val="21"/>
          <w:szCs w:val="21"/>
        </w:rPr>
        <w:t xml:space="preserve">6</w:t>
      </w:r>
    </w:p>
    <w:p>
      <w:pPr>
        <w:spacing w:after="30" w:before="0"/>
        <w:ind w:left="360"/>
      </w:pPr>
      <w:r>
        <w:rPr>
          <w:b w:val="false"/>
          <w:bCs w:val="false"/>
          <w:color w:val="222222"/>
          <w:sz w:val="20"/>
          <w:szCs w:val="20"/>
        </w:rPr>
        <w:t xml:space="preserve">3.1 Matter Type as a Profile</w:t>
      </w:r>
      <w:r>
        <w:ptab w:alignment="right" w:relativeTo="margin" w:leader="dot"/>
      </w:r>
      <w:r>
        <w:rPr>
          <w:b w:val="false"/>
          <w:bCs w:val="false"/>
          <w:color w:val="222222"/>
          <w:sz w:val="20"/>
          <w:szCs w:val="20"/>
        </w:rPr>
        <w:t xml:space="preserve">6</w:t>
      </w:r>
    </w:p>
    <w:p>
      <w:pPr>
        <w:spacing w:after="30" w:before="0"/>
        <w:ind w:left="360"/>
      </w:pPr>
      <w:r>
        <w:rPr>
          <w:b w:val="false"/>
          <w:bCs w:val="false"/>
          <w:color w:val="222222"/>
          <w:sz w:val="20"/>
          <w:szCs w:val="20"/>
        </w:rPr>
        <w:t xml:space="preserve">3.2 Section Library, Not Report Types</w:t>
      </w:r>
      <w:r>
        <w:ptab w:alignment="right" w:relativeTo="margin" w:leader="dot"/>
      </w:r>
      <w:r>
        <w:rPr>
          <w:b w:val="false"/>
          <w:bCs w:val="false"/>
          <w:color w:val="222222"/>
          <w:sz w:val="20"/>
          <w:szCs w:val="20"/>
        </w:rPr>
        <w:t xml:space="preserve">6</w:t>
      </w:r>
    </w:p>
    <w:p>
      <w:pPr>
        <w:spacing w:after="30" w:before="0"/>
        <w:ind w:left="360"/>
      </w:pPr>
      <w:r>
        <w:rPr>
          <w:b w:val="false"/>
          <w:bCs w:val="false"/>
          <w:color w:val="222222"/>
          <w:sz w:val="20"/>
          <w:szCs w:val="20"/>
        </w:rPr>
        <w:t xml:space="preserve">3.3 Reuse of the Existing Compliance Engine</w:t>
      </w:r>
      <w:r>
        <w:ptab w:alignment="right" w:relativeTo="margin" w:leader="dot"/>
      </w:r>
      <w:r>
        <w:rPr>
          <w:b w:val="false"/>
          <w:bCs w:val="false"/>
          <w:color w:val="222222"/>
          <w:sz w:val="20"/>
          <w:szCs w:val="20"/>
        </w:rPr>
        <w:t xml:space="preserve">6</w:t>
      </w:r>
    </w:p>
    <w:p>
      <w:pPr>
        <w:spacing w:after="60" w:before="60"/>
        <w:ind w:left="0"/>
      </w:pPr>
      <w:r>
        <w:rPr>
          <w:b/>
          <w:bCs/>
          <w:color w:val="3D1A6E"/>
          <w:sz w:val="21"/>
          <w:szCs w:val="21"/>
        </w:rPr>
        <w:t xml:space="preserve">4. New Report Sections</w:t>
      </w:r>
      <w:r>
        <w:ptab w:alignment="right" w:relativeTo="margin" w:leader="dot"/>
      </w:r>
      <w:r>
        <w:rPr>
          <w:b/>
          <w:bCs/>
          <w:color w:val="3D1A6E"/>
          <w:sz w:val="21"/>
          <w:szCs w:val="21"/>
        </w:rPr>
        <w:t xml:space="preserve">7</w:t>
      </w:r>
    </w:p>
    <w:p>
      <w:pPr>
        <w:spacing w:after="30" w:before="0"/>
        <w:ind w:left="360"/>
      </w:pPr>
      <w:r>
        <w:rPr>
          <w:b w:val="false"/>
          <w:bCs w:val="false"/>
          <w:color w:val="222222"/>
          <w:sz w:val="20"/>
          <w:szCs w:val="20"/>
        </w:rPr>
        <w:t xml:space="preserve">4.1 Expert Background / Curriculum Vitae</w:t>
      </w:r>
      <w:r>
        <w:ptab w:alignment="right" w:relativeTo="margin" w:leader="dot"/>
      </w:r>
      <w:r>
        <w:rPr>
          <w:b w:val="false"/>
          <w:bCs w:val="false"/>
          <w:color w:val="222222"/>
          <w:sz w:val="20"/>
          <w:szCs w:val="20"/>
        </w:rPr>
        <w:t xml:space="preserve">7</w:t>
      </w:r>
    </w:p>
    <w:p>
      <w:pPr>
        <w:spacing w:after="30" w:before="0"/>
        <w:ind w:left="360"/>
      </w:pPr>
      <w:r>
        <w:rPr>
          <w:b w:val="false"/>
          <w:bCs w:val="false"/>
          <w:color w:val="222222"/>
          <w:sz w:val="20"/>
          <w:szCs w:val="20"/>
        </w:rPr>
        <w:t xml:space="preserve">4.2 Disclosure of Interests / Independence Declaration</w:t>
      </w:r>
      <w:r>
        <w:ptab w:alignment="right" w:relativeTo="margin" w:leader="dot"/>
      </w:r>
      <w:r>
        <w:rPr>
          <w:b w:val="false"/>
          <w:bCs w:val="false"/>
          <w:color w:val="222222"/>
          <w:sz w:val="20"/>
          <w:szCs w:val="20"/>
        </w:rPr>
        <w:t xml:space="preserve">7</w:t>
      </w:r>
    </w:p>
    <w:p>
      <w:pPr>
        <w:spacing w:after="30" w:before="0"/>
        <w:ind w:left="360"/>
      </w:pPr>
      <w:r>
        <w:rPr>
          <w:b w:val="false"/>
          <w:bCs w:val="false"/>
          <w:color w:val="222222"/>
          <w:sz w:val="20"/>
          <w:szCs w:val="20"/>
        </w:rPr>
        <w:t xml:space="preserve">4.3 Facts and Documents Relied Upon</w:t>
      </w:r>
      <w:r>
        <w:ptab w:alignment="right" w:relativeTo="margin" w:leader="dot"/>
      </w:r>
      <w:r>
        <w:rPr>
          <w:b w:val="false"/>
          <w:bCs w:val="false"/>
          <w:color w:val="222222"/>
          <w:sz w:val="20"/>
          <w:szCs w:val="20"/>
        </w:rPr>
        <w:t xml:space="preserve">7</w:t>
      </w:r>
    </w:p>
    <w:p>
      <w:pPr>
        <w:spacing w:after="30" w:before="0"/>
        <w:ind w:left="360"/>
      </w:pPr>
      <w:r>
        <w:rPr>
          <w:b w:val="false"/>
          <w:bCs w:val="false"/>
          <w:color w:val="222222"/>
          <w:sz w:val="20"/>
          <w:szCs w:val="20"/>
        </w:rPr>
        <w:t xml:space="preserve">4.4 Opinion / Conclusions</w:t>
      </w:r>
      <w:r>
        <w:ptab w:alignment="right" w:relativeTo="margin" w:leader="dot"/>
      </w:r>
      <w:r>
        <w:rPr>
          <w:b w:val="false"/>
          <w:bCs w:val="false"/>
          <w:color w:val="222222"/>
          <w:sz w:val="20"/>
          <w:szCs w:val="20"/>
        </w:rPr>
        <w:t xml:space="preserve">7</w:t>
      </w:r>
    </w:p>
    <w:p>
      <w:pPr>
        <w:spacing w:after="30" w:before="0"/>
        <w:ind w:left="360"/>
      </w:pPr>
      <w:r>
        <w:rPr>
          <w:b w:val="false"/>
          <w:bCs w:val="false"/>
          <w:color w:val="222222"/>
          <w:sz w:val="20"/>
          <w:szCs w:val="20"/>
        </w:rPr>
        <w:t xml:space="preserve">4.5 Witness Interviews (Report Rendering)</w:t>
      </w:r>
      <w:r>
        <w:ptab w:alignment="right" w:relativeTo="margin" w:leader="dot"/>
      </w:r>
      <w:r>
        <w:rPr>
          <w:b w:val="false"/>
          <w:bCs w:val="false"/>
          <w:color w:val="222222"/>
          <w:sz w:val="20"/>
          <w:szCs w:val="20"/>
        </w:rPr>
        <w:t xml:space="preserve">8</w:t>
      </w:r>
    </w:p>
    <w:p>
      <w:pPr>
        <w:spacing w:after="30" w:before="0"/>
        <w:ind w:left="360"/>
      </w:pPr>
      <w:r>
        <w:rPr>
          <w:b w:val="false"/>
          <w:bCs w:val="false"/>
          <w:color w:val="222222"/>
          <w:sz w:val="20"/>
          <w:szCs w:val="20"/>
        </w:rPr>
        <w:t xml:space="preserve">4.6 Medical Condition / Injured Parties</w:t>
      </w:r>
      <w:r>
        <w:ptab w:alignment="right" w:relativeTo="margin" w:leader="dot"/>
      </w:r>
      <w:r>
        <w:rPr>
          <w:b w:val="false"/>
          <w:bCs w:val="false"/>
          <w:color w:val="222222"/>
          <w:sz w:val="20"/>
          <w:szCs w:val="20"/>
        </w:rPr>
        <w:t xml:space="preserve">8</w:t>
      </w:r>
    </w:p>
    <w:p>
      <w:pPr>
        <w:spacing w:after="60" w:before="60"/>
        <w:ind w:left="0"/>
      </w:pPr>
      <w:r>
        <w:rPr>
          <w:b/>
          <w:bCs/>
          <w:color w:val="3D1A6E"/>
          <w:sz w:val="21"/>
          <w:szCs w:val="21"/>
        </w:rPr>
        <w:t xml:space="preserve">5. Legal, Privilege and Draft-Status Layer</w:t>
      </w:r>
      <w:r>
        <w:ptab w:alignment="right" w:relativeTo="margin" w:leader="dot"/>
      </w:r>
      <w:r>
        <w:rPr>
          <w:b/>
          <w:bCs/>
          <w:color w:val="3D1A6E"/>
          <w:sz w:val="21"/>
          <w:szCs w:val="21"/>
        </w:rPr>
        <w:t xml:space="preserve">9</w:t>
      </w:r>
    </w:p>
    <w:p>
      <w:pPr>
        <w:spacing w:after="30" w:before="0"/>
        <w:ind w:left="360"/>
      </w:pPr>
      <w:r>
        <w:rPr>
          <w:b w:val="false"/>
          <w:bCs w:val="false"/>
          <w:color w:val="222222"/>
          <w:sz w:val="20"/>
          <w:szCs w:val="20"/>
        </w:rPr>
        <w:t xml:space="preserve">5.1 New Clause-Library Entries</w:t>
      </w:r>
      <w:r>
        <w:ptab w:alignment="right" w:relativeTo="margin" w:leader="dot"/>
      </w:r>
      <w:r>
        <w:rPr>
          <w:b w:val="false"/>
          <w:bCs w:val="false"/>
          <w:color w:val="222222"/>
          <w:sz w:val="20"/>
          <w:szCs w:val="20"/>
        </w:rPr>
        <w:t xml:space="preserve">9</w:t>
      </w:r>
    </w:p>
    <w:p>
      <w:pPr>
        <w:spacing w:after="30" w:before="0"/>
        <w:ind w:left="360"/>
      </w:pPr>
      <w:r>
        <w:rPr>
          <w:b w:val="false"/>
          <w:bCs w:val="false"/>
          <w:color w:val="222222"/>
          <w:sz w:val="20"/>
          <w:szCs w:val="20"/>
        </w:rPr>
        <w:t xml:space="preserve">5.2 Inverting the Export Gate for Litigation Matters</w:t>
      </w:r>
      <w:r>
        <w:ptab w:alignment="right" w:relativeTo="margin" w:leader="dot"/>
      </w:r>
      <w:r>
        <w:rPr>
          <w:b w:val="false"/>
          <w:bCs w:val="false"/>
          <w:color w:val="222222"/>
          <w:sz w:val="20"/>
          <w:szCs w:val="20"/>
        </w:rPr>
        <w:t xml:space="preserve">9</w:t>
      </w:r>
    </w:p>
    <w:p>
      <w:pPr>
        <w:spacing w:after="60" w:before="60"/>
        <w:ind w:left="0"/>
      </w:pPr>
      <w:r>
        <w:rPr>
          <w:b/>
          <w:bCs/>
          <w:color w:val="3D1A6E"/>
          <w:sz w:val="21"/>
          <w:szCs w:val="21"/>
        </w:rPr>
        <w:t xml:space="preserve">6. Process for Instructing-Party-Specific Requirements</w:t>
      </w:r>
      <w:r>
        <w:ptab w:alignment="right" w:relativeTo="margin" w:leader="dot"/>
      </w:r>
      <w:r>
        <w:rPr>
          <w:b/>
          <w:bCs/>
          <w:color w:val="3D1A6E"/>
          <w:sz w:val="21"/>
          <w:szCs w:val="21"/>
        </w:rPr>
        <w:t xml:space="preserve">10</w:t>
      </w:r>
    </w:p>
    <w:p>
      <w:pPr>
        <w:spacing w:after="30" w:before="0"/>
        <w:ind w:left="360"/>
      </w:pPr>
      <w:r>
        <w:rPr>
          <w:b w:val="false"/>
          <w:bCs w:val="false"/>
          <w:color w:val="222222"/>
          <w:sz w:val="20"/>
          <w:szCs w:val="20"/>
        </w:rPr>
        <w:t xml:space="preserve">6.1 Intake Questionnaire</w:t>
      </w:r>
      <w:r>
        <w:ptab w:alignment="right" w:relativeTo="margin" w:leader="dot"/>
      </w:r>
      <w:r>
        <w:rPr>
          <w:b w:val="false"/>
          <w:bCs w:val="false"/>
          <w:color w:val="222222"/>
          <w:sz w:val="20"/>
          <w:szCs w:val="20"/>
        </w:rPr>
        <w:t xml:space="preserve">10</w:t>
      </w:r>
    </w:p>
    <w:p>
      <w:pPr>
        <w:spacing w:after="30" w:before="0"/>
        <w:ind w:left="360"/>
      </w:pPr>
      <w:r>
        <w:rPr>
          <w:b w:val="false"/>
          <w:bCs w:val="false"/>
          <w:color w:val="222222"/>
          <w:sz w:val="20"/>
          <w:szCs w:val="20"/>
        </w:rPr>
        <w:t xml:space="preserve">6.2 Per-Instructing-Party Format Profiles</w:t>
      </w:r>
      <w:r>
        <w:ptab w:alignment="right" w:relativeTo="margin" w:leader="dot"/>
      </w:r>
      <w:r>
        <w:rPr>
          <w:b w:val="false"/>
          <w:bCs w:val="false"/>
          <w:color w:val="222222"/>
          <w:sz w:val="20"/>
          <w:szCs w:val="20"/>
        </w:rPr>
        <w:t xml:space="preserve">10</w:t>
      </w:r>
    </w:p>
    <w:p>
      <w:pPr>
        <w:spacing w:after="30" w:before="0"/>
        <w:ind w:left="360"/>
      </w:pPr>
      <w:r>
        <w:rPr>
          <w:b w:val="false"/>
          <w:bCs w:val="false"/>
          <w:color w:val="222222"/>
          <w:sz w:val="20"/>
          <w:szCs w:val="20"/>
        </w:rPr>
        <w:t xml:space="preserve">6.3 Section Toggles Rather Than New Report Types</w:t>
      </w:r>
      <w:r>
        <w:ptab w:alignment="right" w:relativeTo="margin" w:leader="dot"/>
      </w:r>
      <w:r>
        <w:rPr>
          <w:b w:val="false"/>
          <w:bCs w:val="false"/>
          <w:color w:val="222222"/>
          <w:sz w:val="20"/>
          <w:szCs w:val="20"/>
        </w:rPr>
        <w:t xml:space="preserve">10</w:t>
      </w:r>
    </w:p>
    <w:p>
      <w:pPr>
        <w:spacing w:after="30" w:before="0"/>
        <w:ind w:left="360"/>
      </w:pPr>
      <w:r>
        <w:rPr>
          <w:b w:val="false"/>
          <w:bCs w:val="false"/>
          <w:color w:val="222222"/>
          <w:sz w:val="20"/>
          <w:szCs w:val="20"/>
        </w:rPr>
        <w:t xml:space="preserve">6.4 Freeform Escape Hatch</w:t>
      </w:r>
      <w:r>
        <w:ptab w:alignment="right" w:relativeTo="margin" w:leader="dot"/>
      </w:r>
      <w:r>
        <w:rPr>
          <w:b w:val="false"/>
          <w:bCs w:val="false"/>
          <w:color w:val="222222"/>
          <w:sz w:val="20"/>
          <w:szCs w:val="20"/>
        </w:rPr>
        <w:t xml:space="preserve">10</w:t>
      </w:r>
    </w:p>
    <w:p>
      <w:pPr>
        <w:spacing w:after="60" w:before="60"/>
        <w:ind w:left="0"/>
      </w:pPr>
      <w:r>
        <w:rPr>
          <w:b/>
          <w:bCs/>
          <w:color w:val="3D1A6E"/>
          <w:sz w:val="21"/>
          <w:szCs w:val="21"/>
        </w:rPr>
        <w:t xml:space="preserve">8. Standards &amp; Best-Practice Alignment</w:t>
      </w:r>
      <w:r>
        <w:ptab w:alignment="right" w:relativeTo="margin" w:leader="dot"/>
      </w:r>
      <w:r>
        <w:rPr>
          <w:b/>
          <w:bCs/>
          <w:color w:val="3D1A6E"/>
          <w:sz w:val="21"/>
          <w:szCs w:val="21"/>
        </w:rPr>
        <w:t xml:space="preserve">11</w:t>
      </w:r>
    </w:p>
    <w:p>
      <w:pPr>
        <w:spacing w:after="30" w:before="0"/>
        <w:ind w:left="360"/>
      </w:pPr>
      <w:r>
        <w:rPr>
          <w:b w:val="false"/>
          <w:bCs w:val="false"/>
          <w:color w:val="222222"/>
          <w:sz w:val="20"/>
          <w:szCs w:val="20"/>
        </w:rPr>
        <w:t xml:space="preserve">8.1 Federal Court framework — GPN-AI does not stand alone</w:t>
      </w:r>
      <w:r>
        <w:ptab w:alignment="right" w:relativeTo="margin" w:leader="dot"/>
      </w:r>
      <w:r>
        <w:rPr>
          <w:b w:val="false"/>
          <w:bCs w:val="false"/>
          <w:color w:val="222222"/>
          <w:sz w:val="20"/>
          <w:szCs w:val="20"/>
        </w:rPr>
        <w:t xml:space="preserve">11</w:t>
      </w:r>
    </w:p>
    <w:p>
      <w:pPr>
        <w:spacing w:after="30" w:before="0"/>
        <w:ind w:left="360"/>
      </w:pPr>
      <w:r>
        <w:rPr>
          <w:b w:val="false"/>
          <w:bCs w:val="false"/>
          <w:color w:val="222222"/>
          <w:sz w:val="20"/>
          <w:szCs w:val="20"/>
        </w:rPr>
        <w:t xml:space="preserve">8.2 GPN-AI — precise disclosure and confidentiality requirements</w:t>
      </w:r>
      <w:r>
        <w:ptab w:alignment="right" w:relativeTo="margin" w:leader="dot"/>
      </w:r>
      <w:r>
        <w:rPr>
          <w:b w:val="false"/>
          <w:bCs w:val="false"/>
          <w:color w:val="222222"/>
          <w:sz w:val="20"/>
          <w:szCs w:val="20"/>
        </w:rPr>
        <w:t xml:space="preserve">12</w:t>
      </w:r>
    </w:p>
    <w:p>
      <w:pPr>
        <w:spacing w:after="30" w:before="0"/>
        <w:ind w:left="360"/>
      </w:pPr>
      <w:r>
        <w:rPr>
          <w:b w:val="false"/>
          <w:bCs w:val="false"/>
          <w:color w:val="222222"/>
          <w:sz w:val="20"/>
          <w:szCs w:val="20"/>
        </w:rPr>
        <w:t xml:space="preserve">8.3 International Group P&amp;I conventions</w:t>
      </w:r>
      <w:r>
        <w:ptab w:alignment="right" w:relativeTo="margin" w:leader="dot"/>
      </w:r>
      <w:r>
        <w:rPr>
          <w:b w:val="false"/>
          <w:bCs w:val="false"/>
          <w:color w:val="222222"/>
          <w:sz w:val="20"/>
          <w:szCs w:val="20"/>
        </w:rPr>
        <w:t xml:space="preserve">12</w:t>
      </w:r>
    </w:p>
    <w:p>
      <w:pPr>
        <w:spacing w:after="30" w:before="0"/>
        <w:ind w:left="360"/>
      </w:pPr>
      <w:r>
        <w:rPr>
          <w:b w:val="false"/>
          <w:bCs w:val="false"/>
          <w:color w:val="222222"/>
          <w:sz w:val="20"/>
          <w:szCs w:val="20"/>
        </w:rPr>
        <w:t xml:space="preserve">8.4 Privilege — the design hinge is legally correct</w:t>
      </w:r>
      <w:r>
        <w:ptab w:alignment="right" w:relativeTo="margin" w:leader="dot"/>
      </w:r>
      <w:r>
        <w:rPr>
          <w:b w:val="false"/>
          <w:bCs w:val="false"/>
          <w:color w:val="222222"/>
          <w:sz w:val="20"/>
          <w:szCs w:val="20"/>
        </w:rPr>
        <w:t xml:space="preserve">12</w:t>
      </w:r>
    </w:p>
    <w:p>
      <w:pPr>
        <w:spacing w:after="30" w:before="0"/>
        <w:ind w:left="360"/>
      </w:pPr>
      <w:r>
        <w:rPr>
          <w:b w:val="false"/>
          <w:bCs w:val="false"/>
          <w:color w:val="222222"/>
          <w:sz w:val="20"/>
          <w:szCs w:val="20"/>
        </w:rPr>
        <w:t xml:space="preserve">8.5 Professional-body guidance (IIMS / IMarEST)</w:t>
      </w:r>
      <w:r>
        <w:ptab w:alignment="right" w:relativeTo="margin" w:leader="dot"/>
      </w:r>
      <w:r>
        <w:rPr>
          <w:b w:val="false"/>
          <w:bCs w:val="false"/>
          <w:color w:val="222222"/>
          <w:sz w:val="20"/>
          <w:szCs w:val="20"/>
        </w:rPr>
        <w:t xml:space="preserve">13</w:t>
      </w:r>
    </w:p>
    <w:p>
      <w:pPr>
        <w:spacing w:after="60" w:before="60"/>
        <w:ind w:left="0"/>
      </w:pPr>
      <w:r>
        <w:rPr>
          <w:b/>
          <w:bCs/>
          <w:color w:val="3D1A6E"/>
          <w:sz w:val="21"/>
          <w:szCs w:val="21"/>
        </w:rPr>
        <w:t xml:space="preserve">9. Recommended Build Order</w:t>
      </w:r>
      <w:r>
        <w:ptab w:alignment="right" w:relativeTo="margin" w:leader="dot"/>
      </w:r>
      <w:r>
        <w:rPr>
          <w:b/>
          <w:bCs/>
          <w:color w:val="3D1A6E"/>
          <w:sz w:val="21"/>
          <w:szCs w:val="21"/>
        </w:rPr>
        <w:t xml:space="preserve">14</w:t>
      </w:r>
    </w:p>
    <w:p>
      <w:pPr>
        <w:spacing w:after="30" w:before="0"/>
        <w:ind w:left="360"/>
      </w:pPr>
      <w:r>
        <w:rPr>
          <w:b w:val="false"/>
          <w:bCs w:val="false"/>
          <w:color w:val="222222"/>
          <w:sz w:val="20"/>
          <w:szCs w:val="20"/>
        </w:rPr>
        <w:t xml:space="preserve">9.1 Summary</w:t>
      </w:r>
      <w:r>
        <w:ptab w:alignment="right" w:relativeTo="margin" w:leader="dot"/>
      </w:r>
      <w:r>
        <w:rPr>
          <w:b w:val="false"/>
          <w:bCs w:val="false"/>
          <w:color w:val="222222"/>
          <w:sz w:val="20"/>
          <w:szCs w:val="20"/>
        </w:rPr>
        <w:t xml:space="preserve">14</w:t>
      </w:r>
    </w:p>
    <w:p>
      <w:pPr>
        <w:spacing w:after="60" w:before="60"/>
        <w:ind w:left="0"/>
      </w:pPr>
      <w:r>
        <w:rPr>
          <w:b/>
          <w:bCs/>
          <w:color w:val="3D1A6E"/>
          <w:sz w:val="21"/>
          <w:szCs w:val="21"/>
        </w:rPr>
        <w:t xml:space="preserve">Appendix — Sources Reviewed</w:t>
      </w:r>
      <w:r>
        <w:ptab w:alignment="right" w:relativeTo="margin" w:leader="dot"/>
      </w:r>
      <w:r>
        <w:rPr>
          <w:b/>
          <w:bCs/>
          <w:color w:val="3D1A6E"/>
          <w:sz w:val="21"/>
          <w:szCs w:val="21"/>
        </w:rPr>
        <w:t xml:space="preserve">15</w:t>
      </w:r>
    </w:p>
    <w:p>
      <w:r>
        <w:br w:type="page"/>
      </w:r>
    </w:p>
    <w:p>
      <w:pPr>
        <w:pStyle w:val="Heading1"/>
        <w:spacing w:after="140" w:before="340"/>
      </w:pPr>
      <w:r>
        <w:rPr>
          <w:b/>
          <w:bCs/>
          <w:color w:val="3D1A6E"/>
          <w:sz w:val="30"/>
          <w:szCs w:val="30"/>
        </w:rPr>
        <w:t xml:space="preserve">1. Executive Summary</w:t>
      </w:r>
    </w:p>
    <w:p>
      <w:pPr>
        <w:spacing w:after="120" w:line="276"/>
        <w:jc w:val="both"/>
      </w:pPr>
      <w:r>
        <w:rPr>
          <w:color w:val="222222"/>
          <w:sz w:val="21"/>
          <w:szCs w:val="21"/>
        </w:rPr>
        <w:t xml:space="preserve">This document extends the AI-assisted marine survey platform from Hull &amp; Machinery (H&amp;M) reporting into Protection &amp; Indemnity (P&amp;I) and litigation-adjacent expert reporting. It is a companion to the earlier H&amp;M format-analysis brief and deliberately reuses that document's compliance engine, clause-library architecture and AI governance framework rather than introducing a parallel product.</w:t>
      </w:r>
    </w:p>
    <w:p>
      <w:pPr>
        <w:spacing w:after="120" w:line="276"/>
        <w:jc w:val="both"/>
      </w:pPr>
      <w:r>
        <w:rPr>
          <w:color w:val="222222"/>
          <w:sz w:val="21"/>
          <w:szCs w:val="21"/>
        </w:rPr>
        <w:t xml:space="preserve">A representative set of completed and draft P&amp;I and expert matters was reviewed to establish the true range of this class of work. The central finding is that the platform already captures the great majority of the content such reports require. The genuinely new work is confined to a small number of report sections specific to casualty and expert work, a legal/privilege layer suited to matters that remain in draft indefinitely, and a configuration and process layer that lets one engine serve many different instructing parties without code changes.</w:t>
      </w:r>
    </w:p>
    <w:p>
      <w:pPr>
        <w:spacing w:after="120" w:line="276"/>
        <w:jc w:val="both"/>
      </w:pPr>
      <w:r>
        <w:rPr>
          <w:color w:val="222222"/>
          <w:sz w:val="21"/>
          <w:szCs w:val="21"/>
        </w:rPr>
        <w:t xml:space="preserve">Accordingly, the P&amp;I module is specified primarily as a configuration and content extension of the existing engine, with a defined and limited set of new components. This is also the most honest and compelling summary for any external audience: the P&amp;I extension is predominantly a data and configuration layer on the same platform, not a second product.</w:t>
      </w:r>
    </w:p>
    <w:p>
      <w:pPr>
        <w:spacing w:after="60"/>
      </w:pPr>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3D1A6E" w:color="auto" w:val="clear"/>
            <w:tcMar>
              <w:top w:type="dxa" w:w="80"/>
              <w:left w:type="dxa" w:w="140"/>
              <w:bottom w:type="dxa" w:w="80"/>
              <w:right w:type="dxa" w:w="140"/>
            </w:tcMar>
          </w:tcPr>
          <w:p>
            <w:r>
              <w:rPr>
                <w:b/>
                <w:bCs/>
                <w:color w:val="FFFFFF"/>
                <w:sz w:val="21"/>
                <w:szCs w:val="21"/>
              </w:rPr>
              <w:t xml:space="preserve">Key Findings</w:t>
            </w:r>
          </w:p>
        </w:tc>
      </w:tr>
      <w:tr>
        <w:tc>
          <w:tcPr>
            <w:tcW w:type="dxa" w:w="9026"/>
            <w:shd w:fill="F0ECF7" w:color="auto" w:val="clear"/>
            <w:tcMar>
              <w:top w:type="dxa" w:w="100"/>
              <w:left w:type="dxa" w:w="140"/>
              <w:bottom w:type="dxa" w:w="100"/>
              <w:right w:type="dxa" w:w="140"/>
            </w:tcMar>
          </w:tcPr>
          <w:p>
            <w:pPr>
              <w:pStyle w:val="ListParagraph"/>
              <w:numPr>
                <w:ilvl w:val="0"/>
                <w:numId w:val="2"/>
              </w:numPr>
              <w:spacing w:after="70" w:line="264"/>
            </w:pPr>
            <w:r>
              <w:rPr>
                <w:color w:val="222222"/>
                <w:sz w:val="20"/>
                <w:szCs w:val="20"/>
              </w:rPr>
              <w:t xml:space="preserve">Despite the absence of any single industry format, every P&amp;I and expert report shares one stable skeleton — identity, instructions, occurrence, subject details, attendance, factual observations, cause/opinion, and waiver.</w:t>
            </w:r>
          </w:p>
          <w:p>
            <w:pPr>
              <w:pStyle w:val="ListParagraph"/>
              <w:numPr>
                <w:ilvl w:val="0"/>
                <w:numId w:val="2"/>
              </w:numPr>
              <w:spacing w:after="70" w:line="264"/>
            </w:pPr>
            <w:r>
              <w:rPr>
                <w:color w:val="222222"/>
                <w:sz w:val="20"/>
                <w:szCs w:val="20"/>
              </w:rPr>
              <w:t xml:space="preserve">Approximately eight in ten of the content elements a P&amp;I report needs already map to an existing, built platform module.</w:t>
            </w:r>
          </w:p>
          <w:p>
            <w:pPr>
              <w:pStyle w:val="ListParagraph"/>
              <w:numPr>
                <w:ilvl w:val="0"/>
                <w:numId w:val="2"/>
              </w:numPr>
              <w:spacing w:after="70" w:line="264"/>
            </w:pPr>
            <w:r>
              <w:rPr>
                <w:color w:val="222222"/>
                <w:sz w:val="20"/>
                <w:szCs w:val="20"/>
              </w:rPr>
              <w:t xml:space="preserve">The genuine gaps are six report sections: expert CV, disclosure of interests, facts relied upon, formal opinion, interview rendering, and medical/injured parties.</w:t>
            </w:r>
          </w:p>
          <w:p>
            <w:pPr>
              <w:pStyle w:val="ListParagraph"/>
              <w:numPr>
                <w:ilvl w:val="0"/>
                <w:numId w:val="2"/>
              </w:numPr>
              <w:spacing w:after="70" w:line="264"/>
            </w:pPr>
            <w:r>
              <w:rPr>
                <w:color w:val="222222"/>
                <w:sz w:val="20"/>
                <w:szCs w:val="20"/>
              </w:rPr>
              <w:t xml:space="preserve">Litigation-adjacent matters are frequently retained in permanent draft by design — a finalised report may be adverse to a legal position. The workflow must treat a stamped draft as a legitimate terminal deliverable, not an incomplete final report.</w:t>
            </w:r>
          </w:p>
          <w:p>
            <w:pPr>
              <w:pStyle w:val="ListParagraph"/>
              <w:numPr>
                <w:ilvl w:val="0"/>
                <w:numId w:val="2"/>
              </w:numPr>
              <w:spacing w:after="70" w:line="264"/>
            </w:pPr>
            <w:r>
              <w:rPr>
                <w:color w:val="222222"/>
                <w:sz w:val="20"/>
                <w:szCs w:val="20"/>
              </w:rPr>
              <w:t xml:space="preserve">The existing 'without prejudice' embedding and GPN-AI audit trail are of greater value in litigation work, not lesser — an AI-assisted expert report is precisely where AI use is scrutinised.</w:t>
            </w:r>
          </w:p>
          <w:p>
            <w:pPr>
              <w:pStyle w:val="ListParagraph"/>
              <w:numPr>
                <w:ilvl w:val="0"/>
                <w:numId w:val="2"/>
              </w:numPr>
              <w:spacing w:after="0" w:line="264"/>
            </w:pPr>
            <w:r>
              <w:rPr>
                <w:color w:val="222222"/>
                <w:sz w:val="20"/>
                <w:szCs w:val="20"/>
              </w:rPr>
              <w:t xml:space="preserve">Instructing-party variation is best absorbed not by a universal template but by an accumulating library of reusable per-party format profiles, driven by a short intake questionnaire.</w:t>
            </w:r>
          </w:p>
        </w:tc>
      </w:tr>
    </w:tbl>
    <w:p>
      <w:r>
        <w:br w:type="page"/>
      </w:r>
    </w:p>
    <w:p>
      <w:pPr>
        <w:pStyle w:val="Heading1"/>
        <w:spacing w:after="140" w:before="340"/>
      </w:pPr>
      <w:r>
        <w:rPr>
          <w:b/>
          <w:bCs/>
          <w:color w:val="3D1A6E"/>
          <w:sz w:val="30"/>
          <w:szCs w:val="30"/>
        </w:rPr>
        <w:t xml:space="preserve">2. Findings from the Representative Matter Set</w:t>
      </w:r>
    </w:p>
    <w:p>
      <w:pPr>
        <w:spacing w:after="120" w:line="276"/>
        <w:jc w:val="both"/>
      </w:pPr>
      <w:r>
        <w:rPr>
          <w:color w:val="222222"/>
          <w:sz w:val="21"/>
          <w:szCs w:val="21"/>
        </w:rPr>
        <w:t xml:space="preserve">The matters reviewed spanned machinery-failure incident surveys, an allision/impact with fixed shore infrastructure, a grounding, a structural examination, a major casualty involving personal injury, and an expert report prepared for litigation. The following observations drive the design.</w:t>
      </w:r>
    </w:p>
    <w:p>
      <w:pPr>
        <w:pStyle w:val="Heading2"/>
        <w:spacing w:after="100" w:before="240"/>
      </w:pPr>
      <w:r>
        <w:rPr>
          <w:b/>
          <w:bCs/>
          <w:color w:val="6A3D9A"/>
          <w:sz w:val="25"/>
          <w:szCs w:val="25"/>
        </w:rPr>
        <w:t xml:space="preserve">2.1 A Stable Skeleton Underlies Every Report</w:t>
      </w:r>
    </w:p>
    <w:p>
      <w:pPr>
        <w:spacing w:after="120" w:line="276"/>
        <w:jc w:val="both"/>
      </w:pPr>
      <w:r>
        <w:rPr>
          <w:color w:val="222222"/>
          <w:sz w:val="21"/>
          <w:szCs w:val="21"/>
        </w:rPr>
        <w:t xml:space="preserve">Despite the absence of a common format, every matter reviewed shared the same underlying skeleton:</w:t>
      </w:r>
    </w:p>
    <w:p>
      <w:pPr>
        <w:pStyle w:val="ListParagraph"/>
        <w:numPr>
          <w:ilvl w:val="0"/>
          <w:numId w:val="3"/>
        </w:numPr>
        <w:spacing w:after="70" w:line="270"/>
      </w:pPr>
      <w:r>
        <w:rPr>
          <w:color w:val="222222"/>
          <w:sz w:val="21"/>
          <w:szCs w:val="21"/>
        </w:rPr>
        <w:t xml:space="preserve">Identity block — subject/vessel, occurrence descriptor, reference numbers, instructing party.</w:t>
      </w:r>
    </w:p>
    <w:p>
      <w:pPr>
        <w:pStyle w:val="ListParagraph"/>
        <w:numPr>
          <w:ilvl w:val="0"/>
          <w:numId w:val="3"/>
        </w:numPr>
        <w:spacing w:after="70" w:line="270"/>
      </w:pPr>
      <w:r>
        <w:rPr>
          <w:color w:val="222222"/>
          <w:sz w:val="21"/>
          <w:szCs w:val="21"/>
        </w:rPr>
        <w:t xml:space="preserve">Instructions / scope of work — who instructed the attendance and what was requested.</w:t>
      </w:r>
    </w:p>
    <w:p>
      <w:pPr>
        <w:pStyle w:val="ListParagraph"/>
        <w:numPr>
          <w:ilvl w:val="0"/>
          <w:numId w:val="3"/>
        </w:numPr>
        <w:spacing w:after="70" w:line="270"/>
      </w:pPr>
      <w:r>
        <w:rPr>
          <w:color w:val="222222"/>
          <w:sz w:val="21"/>
          <w:szCs w:val="21"/>
        </w:rPr>
        <w:t xml:space="preserve">Occurrence — a short factual statement of the event.</w:t>
      </w:r>
    </w:p>
    <w:p>
      <w:pPr>
        <w:pStyle w:val="ListParagraph"/>
        <w:numPr>
          <w:ilvl w:val="0"/>
          <w:numId w:val="3"/>
        </w:numPr>
        <w:spacing w:after="70" w:line="270"/>
      </w:pPr>
      <w:r>
        <w:rPr>
          <w:color w:val="222222"/>
          <w:sz w:val="21"/>
          <w:szCs w:val="21"/>
        </w:rPr>
        <w:t xml:space="preserve">Subject / vessel details — particulars and certification.</w:t>
      </w:r>
    </w:p>
    <w:p>
      <w:pPr>
        <w:pStyle w:val="ListParagraph"/>
        <w:numPr>
          <w:ilvl w:val="0"/>
          <w:numId w:val="3"/>
        </w:numPr>
        <w:spacing w:after="70" w:line="270"/>
      </w:pPr>
      <w:r>
        <w:rPr>
          <w:color w:val="222222"/>
          <w:sz w:val="21"/>
          <w:szCs w:val="21"/>
        </w:rPr>
        <w:t xml:space="preserve">Attendance — who was present, when and where.</w:t>
      </w:r>
    </w:p>
    <w:p>
      <w:pPr>
        <w:pStyle w:val="ListParagraph"/>
        <w:numPr>
          <w:ilvl w:val="0"/>
          <w:numId w:val="3"/>
        </w:numPr>
        <w:spacing w:after="70" w:line="270"/>
      </w:pPr>
      <w:r>
        <w:rPr>
          <w:color w:val="222222"/>
          <w:sz w:val="21"/>
          <w:szCs w:val="21"/>
        </w:rPr>
        <w:t xml:space="preserve">Factual observations — the body: movements/timeline, technical description, damage or condition, repairs or actions taken.</w:t>
      </w:r>
    </w:p>
    <w:p>
      <w:pPr>
        <w:pStyle w:val="ListParagraph"/>
        <w:numPr>
          <w:ilvl w:val="0"/>
          <w:numId w:val="3"/>
        </w:numPr>
        <w:spacing w:after="70" w:line="270"/>
      </w:pPr>
      <w:r>
        <w:rPr>
          <w:color w:val="222222"/>
          <w:sz w:val="21"/>
          <w:szCs w:val="21"/>
        </w:rPr>
        <w:t xml:space="preserve">Cause consideration or opinion — reasoned assessment, expressed with appropriate reservation.</w:t>
      </w:r>
    </w:p>
    <w:p>
      <w:pPr>
        <w:pStyle w:val="ListParagraph"/>
        <w:numPr>
          <w:ilvl w:val="0"/>
          <w:numId w:val="3"/>
        </w:numPr>
        <w:spacing w:after="70" w:line="270"/>
      </w:pPr>
      <w:r>
        <w:rPr>
          <w:color w:val="222222"/>
          <w:sz w:val="21"/>
          <w:szCs w:val="21"/>
        </w:rPr>
        <w:t xml:space="preserve">Waiver / reservation — a closing without-prejudice statement.</w:t>
      </w:r>
    </w:p>
    <w:p>
      <w:pPr>
        <w:spacing w:after="120" w:line="276"/>
        <w:jc w:val="both"/>
      </w:pPr>
      <w:r>
        <w:rPr>
          <w:color w:val="222222"/>
          <w:sz w:val="21"/>
          <w:szCs w:val="21"/>
        </w:rPr>
        <w:t xml:space="preserve">What varies between matters is not this skeleton but </w:t>
      </w:r>
      <w:r>
        <w:rPr>
          <w:i/>
          <w:iCs/>
          <w:color w:val="222222"/>
          <w:sz w:val="21"/>
          <w:szCs w:val="21"/>
        </w:rPr>
        <w:t xml:space="preserve">which optional blocks attach to it</w:t>
      </w:r>
      <w:r>
        <w:rPr>
          <w:color w:val="222222"/>
          <w:sz w:val="21"/>
          <w:szCs w:val="21"/>
        </w:rPr>
        <w:t xml:space="preserve"> (accounts, interviews, expert CV, medical condition, formal opinion) and </w:t>
      </w:r>
      <w:r>
        <w:rPr>
          <w:i/>
          <w:iCs/>
          <w:color w:val="222222"/>
          <w:sz w:val="21"/>
          <w:szCs w:val="21"/>
        </w:rPr>
        <w:t xml:space="preserve">how formal the surrounding language is</w:t>
      </w:r>
      <w:r>
        <w:rPr>
          <w:color w:val="222222"/>
          <w:sz w:val="21"/>
          <w:szCs w:val="21"/>
        </w:rPr>
        <w:t xml:space="preserve">. The correct model is therefore a shared skeleton plus a selectable section set, not a fixed template.</w:t>
      </w:r>
    </w:p>
    <w:p>
      <w:pPr>
        <w:pStyle w:val="Heading2"/>
        <w:spacing w:after="100" w:before="240"/>
      </w:pPr>
      <w:r>
        <w:rPr>
          <w:b/>
          <w:bCs/>
          <w:color w:val="6A3D9A"/>
          <w:sz w:val="25"/>
          <w:szCs w:val="25"/>
        </w:rPr>
        <w:t xml:space="preserve">2.2 Mapping to Existing Platform Capability</w:t>
      </w:r>
    </w:p>
    <w:p>
      <w:pPr>
        <w:spacing w:after="120" w:line="276"/>
        <w:jc w:val="both"/>
      </w:pPr>
      <w:r>
        <w:rPr>
          <w:color w:val="222222"/>
          <w:sz w:val="21"/>
          <w:szCs w:val="21"/>
        </w:rPr>
        <w:t xml:space="preserve">Each element of the shared skeleton already maps to an existing, built module. The table records that mapping and identifies the gaps.</w:t>
      </w:r>
    </w:p>
    <w:p>
      <w:pPr>
        <w:spacing w:after="60"/>
      </w:pPr>
      <w:r>
        <w:t xml:space="preserve"/>
      </w:r>
    </w:p>
    <w:tbl>
      <w:tblPr>
        <w:tblW w:type="dxa" w:w="9026"/>
        <w:tblBorders>
          <w:top w:val="single" w:color="B9A9D6" w:sz="4"/>
          <w:left w:val="single" w:color="B9A9D6" w:sz="4"/>
          <w:bottom w:val="single" w:color="B9A9D6" w:sz="4"/>
          <w:right w:val="single" w:color="B9A9D6" w:sz="4"/>
          <w:insideH w:val="single" w:color="B9A9D6" w:sz="4"/>
          <w:insideV w:val="single" w:color="B9A9D6" w:sz="4"/>
        </w:tblBorders>
      </w:tblPr>
      <w:tblGrid>
        <w:gridCol w:w="3450"/>
        <w:gridCol w:w="3200"/>
        <w:gridCol w:w="2376"/>
      </w:tblGrid>
      <w:tr>
        <w:trPr>
          <w:tblHeader/>
        </w:trPr>
        <w:tc>
          <w:tcPr>
            <w:tcW w:type="dxa" w:w="34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Report element</w:t>
            </w:r>
          </w:p>
        </w:tc>
        <w:tc>
          <w:tcPr>
            <w:tcW w:type="dxa" w:w="320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Existing module</w:t>
            </w:r>
          </w:p>
        </w:tc>
        <w:tc>
          <w:tcPr>
            <w:tcW w:type="dxa" w:w="237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Status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Identity / occurrence descriptor</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Cases</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Instructions / scope of work</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Background; Cases</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Occurrence</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Survey (occurrence)</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Subject / vessel particulars &amp; certificates</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Vessel Particulars; Documents</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Attendance / representatives present</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Attendances; Parties</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Movements &amp; events timeline</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Timeline</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Technical description</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Survey; Vessel Particulars</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Damage / condition description</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Survey (damage register)</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Repairs / actions taken</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Survey (repair periods)</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Documents relied upon</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Documents (vault)</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 — needs report rendering</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Accounts / apportionment</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Accounts</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 — off by default for P&amp;I</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Witness interviews</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Interviews</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 — needs report rendering</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Cause / causation</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Survey (causation)</w:t>
            </w:r>
          </w:p>
        </w:tc>
        <w:tc>
          <w:tcPr>
            <w:tcW w:type="dxa" w:w="237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Expert background / CV</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 none —</w:t>
            </w:r>
          </w:p>
        </w:tc>
        <w:tc>
          <w:tcPr>
            <w:tcW w:type="dxa" w:w="2376"/>
            <w:shd w:fill="F0ECF7" w:color="auto" w:val="clear"/>
            <w:tcMar>
              <w:top w:type="dxa" w:w="60"/>
              <w:left w:type="dxa" w:w="110"/>
              <w:bottom w:type="dxa" w:w="60"/>
              <w:right w:type="dxa" w:w="110"/>
            </w:tcMar>
            <w:vAlign w:val="center"/>
          </w:tcPr>
          <w:p>
            <w:pPr>
              <w:spacing w:after="0" w:line="250"/>
              <w:jc w:val="left"/>
            </w:pPr>
            <w:r>
              <w:rPr>
                <w:b/>
                <w:bCs/>
                <w:color w:val="B23A2E"/>
                <w:sz w:val="19"/>
                <w:szCs w:val="19"/>
              </w:rPr>
              <w:t xml:space="preserve">NEW</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Disclosure of interests</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 none —</w:t>
            </w:r>
          </w:p>
        </w:tc>
        <w:tc>
          <w:tcPr>
            <w:tcW w:type="dxa" w:w="2376"/>
            <w:tcMar>
              <w:top w:type="dxa" w:w="60"/>
              <w:left w:type="dxa" w:w="110"/>
              <w:bottom w:type="dxa" w:w="60"/>
              <w:right w:type="dxa" w:w="110"/>
            </w:tcMar>
            <w:vAlign w:val="center"/>
          </w:tcPr>
          <w:p>
            <w:pPr>
              <w:spacing w:after="0" w:line="250"/>
              <w:jc w:val="left"/>
            </w:pPr>
            <w:r>
              <w:rPr>
                <w:b/>
                <w:bCs/>
                <w:color w:val="B23A2E"/>
                <w:sz w:val="19"/>
                <w:szCs w:val="19"/>
              </w:rPr>
              <w:t xml:space="preserve">NEW</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Facts &amp; opinions relied upon</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 partial —</w:t>
            </w:r>
          </w:p>
        </w:tc>
        <w:tc>
          <w:tcPr>
            <w:tcW w:type="dxa" w:w="2376"/>
            <w:shd w:fill="F0ECF7" w:color="auto" w:val="clear"/>
            <w:tcMar>
              <w:top w:type="dxa" w:w="60"/>
              <w:left w:type="dxa" w:w="110"/>
              <w:bottom w:type="dxa" w:w="60"/>
              <w:right w:type="dxa" w:w="110"/>
            </w:tcMar>
            <w:vAlign w:val="center"/>
          </w:tcPr>
          <w:p>
            <w:pPr>
              <w:spacing w:after="0" w:line="250"/>
              <w:jc w:val="left"/>
            </w:pPr>
            <w:r>
              <w:rPr>
                <w:b/>
                <w:bCs/>
                <w:color w:val="B23A2E"/>
                <w:sz w:val="19"/>
                <w:szCs w:val="19"/>
              </w:rPr>
              <w:t xml:space="preserve">NEW (built on Documents)</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Formal opinion / conclusions</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 none —</w:t>
            </w:r>
          </w:p>
        </w:tc>
        <w:tc>
          <w:tcPr>
            <w:tcW w:type="dxa" w:w="2376"/>
            <w:tcMar>
              <w:top w:type="dxa" w:w="60"/>
              <w:left w:type="dxa" w:w="110"/>
              <w:bottom w:type="dxa" w:w="60"/>
              <w:right w:type="dxa" w:w="110"/>
            </w:tcMar>
            <w:vAlign w:val="center"/>
          </w:tcPr>
          <w:p>
            <w:pPr>
              <w:spacing w:after="0" w:line="250"/>
              <w:jc w:val="left"/>
            </w:pPr>
            <w:r>
              <w:rPr>
                <w:b/>
                <w:bCs/>
                <w:color w:val="B23A2E"/>
                <w:sz w:val="19"/>
                <w:szCs w:val="19"/>
              </w:rPr>
              <w:t xml:space="preserve">NEW</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Medical / injured parties</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 none —</w:t>
            </w:r>
          </w:p>
        </w:tc>
        <w:tc>
          <w:tcPr>
            <w:tcW w:type="dxa" w:w="2376"/>
            <w:shd w:fill="F0ECF7" w:color="auto" w:val="clear"/>
            <w:tcMar>
              <w:top w:type="dxa" w:w="60"/>
              <w:left w:type="dxa" w:w="110"/>
              <w:bottom w:type="dxa" w:w="60"/>
              <w:right w:type="dxa" w:w="110"/>
            </w:tcMar>
            <w:vAlign w:val="center"/>
          </w:tcPr>
          <w:p>
            <w:pPr>
              <w:spacing w:after="0" w:line="250"/>
              <w:jc w:val="left"/>
            </w:pPr>
            <w:r>
              <w:rPr>
                <w:b/>
                <w:bCs/>
                <w:color w:val="B23A2E"/>
                <w:sz w:val="19"/>
                <w:szCs w:val="19"/>
              </w:rPr>
              <w:t xml:space="preserve">NEW</w:t>
            </w:r>
          </w:p>
        </w:tc>
      </w:tr>
      <w:tr>
        <w:trPr>
          <w:tblHeader w:val="false"/>
        </w:trPr>
        <w:tc>
          <w:tcPr>
            <w:tcW w:type="dxa" w:w="3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Privilege &amp; draft-status layer</w:t>
            </w:r>
          </w:p>
        </w:tc>
        <w:tc>
          <w:tcPr>
            <w:tcW w:type="dxa" w:w="3200"/>
            <w:tcMar>
              <w:top w:type="dxa" w:w="60"/>
              <w:left w:type="dxa" w:w="110"/>
              <w:bottom w:type="dxa" w:w="60"/>
              <w:right w:type="dxa" w:w="110"/>
            </w:tcMar>
            <w:vAlign w:val="center"/>
          </w:tcPr>
          <w:p>
            <w:pPr>
              <w:spacing w:after="0" w:line="250"/>
              <w:jc w:val="left"/>
            </w:pPr>
            <w:r>
              <w:rPr>
                <w:b w:val="false"/>
                <w:bCs w:val="false"/>
                <w:color w:val="222222"/>
                <w:sz w:val="19"/>
                <w:szCs w:val="19"/>
              </w:rPr>
              <w:t xml:space="preserve">— partial —</w:t>
            </w:r>
          </w:p>
        </w:tc>
        <w:tc>
          <w:tcPr>
            <w:tcW w:type="dxa" w:w="2376"/>
            <w:tcMar>
              <w:top w:type="dxa" w:w="60"/>
              <w:left w:type="dxa" w:w="110"/>
              <w:bottom w:type="dxa" w:w="60"/>
              <w:right w:type="dxa" w:w="110"/>
            </w:tcMar>
            <w:vAlign w:val="center"/>
          </w:tcPr>
          <w:p>
            <w:pPr>
              <w:spacing w:after="0" w:line="250"/>
              <w:jc w:val="left"/>
            </w:pPr>
            <w:r>
              <w:rPr>
                <w:b/>
                <w:bCs/>
                <w:color w:val="B23A2E"/>
                <w:sz w:val="19"/>
                <w:szCs w:val="19"/>
              </w:rPr>
              <w:t xml:space="preserve">NEW (built on clause library)</w:t>
            </w:r>
          </w:p>
        </w:tc>
      </w:tr>
      <w:tr>
        <w:trPr>
          <w:tblHeader w:val="false"/>
        </w:trPr>
        <w:tc>
          <w:tcPr>
            <w:tcW w:type="dxa" w:w="3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Waiver / reservation</w:t>
            </w:r>
          </w:p>
        </w:tc>
        <w:tc>
          <w:tcPr>
            <w:tcW w:type="dxa" w:w="320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Report builder (clauses)</w:t>
            </w:r>
          </w:p>
        </w:tc>
        <w:tc>
          <w:tcPr>
            <w:tcW w:type="dxa" w:w="237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Exists</w:t>
            </w:r>
          </w:p>
        </w:tc>
      </w:tr>
    </w:tbl>
    <w:p>
      <w:pPr>
        <w:spacing w:after="80"/>
      </w:pPr>
      <w:r>
        <w:t xml:space="preserve"/>
      </w:r>
    </w:p>
    <w:p>
      <w:pPr>
        <w:spacing w:after="120" w:line="276"/>
        <w:jc w:val="both"/>
      </w:pPr>
      <w:r>
        <w:rPr>
          <w:i/>
          <w:iCs/>
          <w:color w:val="222222"/>
          <w:sz w:val="21"/>
          <w:szCs w:val="21"/>
        </w:rPr>
        <w:t xml:space="preserve">Roughly eight in ten content elements already exist. The new build is confined to six report sections, one legal/privilege layer, and one configuration/process layer — set out in Sections 4 to 6.</w:t>
      </w:r>
    </w:p>
    <w:p>
      <w:pPr>
        <w:pStyle w:val="Heading2"/>
        <w:spacing w:after="100" w:before="240"/>
      </w:pPr>
      <w:r>
        <w:rPr>
          <w:b/>
          <w:bCs/>
          <w:color w:val="6A3D9A"/>
          <w:sz w:val="25"/>
          <w:szCs w:val="25"/>
        </w:rPr>
        <w:t xml:space="preserve">2.3 The Perpetual-Draft Requirement Is a Feature to Design For</w:t>
      </w:r>
    </w:p>
    <w:p>
      <w:pPr>
        <w:spacing w:after="120" w:line="276"/>
        <w:jc w:val="both"/>
      </w:pPr>
      <w:r>
        <w:rPr>
          <w:color w:val="222222"/>
          <w:sz w:val="21"/>
          <w:szCs w:val="21"/>
        </w:rPr>
        <w:t xml:space="preserve">Several matters were, by intention, permanent drafts — carrying an explicit draft marking and a legal-privilege banner, and prepared on instruction from a legal representative. In the current platform a finalised report is the destination, and export is hard-blocked until dual sign-off is complete. For litigation-adjacent P&amp;I work that gate is not merely unnecessary; it is contrary to the instructing party's requirement. The module must therefore treat a stamped draft as a first-class, legitimate and terminal deliverable.</w:t>
      </w:r>
    </w:p>
    <w:p>
      <w:r>
        <w:br w:type="page"/>
      </w:r>
    </w:p>
    <w:p>
      <w:pPr>
        <w:pStyle w:val="Heading1"/>
        <w:spacing w:after="140" w:before="340"/>
      </w:pPr>
      <w:r>
        <w:rPr>
          <w:b/>
          <w:bCs/>
          <w:color w:val="3D1A6E"/>
          <w:sz w:val="30"/>
          <w:szCs w:val="30"/>
        </w:rPr>
        <w:t xml:space="preserve">3. Architectural Approach</w:t>
      </w:r>
    </w:p>
    <w:p>
      <w:pPr>
        <w:pStyle w:val="Heading2"/>
        <w:spacing w:after="100" w:before="240"/>
      </w:pPr>
      <w:r>
        <w:rPr>
          <w:b/>
          <w:bCs/>
          <w:color w:val="6A3D9A"/>
          <w:sz w:val="25"/>
          <w:szCs w:val="25"/>
        </w:rPr>
        <w:t xml:space="preserve">3.1 Matter Type as a Profile</w:t>
      </w:r>
    </w:p>
    <w:p>
      <w:pPr>
        <w:spacing w:after="120" w:line="276"/>
        <w:jc w:val="both"/>
      </w:pPr>
      <w:r>
        <w:rPr>
          <w:color w:val="222222"/>
          <w:sz w:val="21"/>
          <w:szCs w:val="21"/>
        </w:rPr>
        <w:t xml:space="preserve">The organising change is a matter type, selected at case creation, that acts as a profile pre-selecting which sections are active and which legal clauses fire. Matter type replaces report type as the primary axis of variation. Report status (draft, preliminary, and so on) still exists but no longer determines the shape of the report.</w:t>
      </w:r>
    </w:p>
    <w:p>
      <w:pPr>
        <w:spacing w:after="50"/>
      </w:pPr>
      <w:r>
        <w:t xml:space="preserve"/>
      </w:r>
    </w:p>
    <w:tbl>
      <w:tblPr>
        <w:tblW w:type="dxa" w:w="9026"/>
        <w:tblBorders>
          <w:top w:val="single" w:color="B9A9D6" w:sz="4"/>
          <w:left w:val="single" w:color="B9A9D6" w:sz="4"/>
          <w:bottom w:val="single" w:color="B9A9D6" w:sz="4"/>
          <w:right w:val="single" w:color="B9A9D6" w:sz="4"/>
          <w:insideH w:val="single" w:color="B9A9D6" w:sz="4"/>
          <w:insideV w:val="single" w:color="B9A9D6" w:sz="4"/>
        </w:tblBorders>
      </w:tblPr>
      <w:tblGrid>
        <w:gridCol w:w="2500"/>
        <w:gridCol w:w="1450"/>
        <w:gridCol w:w="1650"/>
        <w:gridCol w:w="3426"/>
      </w:tblGrid>
      <w:tr>
        <w:trPr>
          <w:tblHeader/>
        </w:trPr>
        <w:tc>
          <w:tcPr>
            <w:tcW w:type="dxa" w:w="250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Matter type</w:t>
            </w:r>
          </w:p>
        </w:tc>
        <w:tc>
          <w:tcPr>
            <w:tcW w:type="dxa" w:w="14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Accounts</w:t>
            </w:r>
          </w:p>
        </w:tc>
        <w:tc>
          <w:tcPr>
            <w:tcW w:type="dxa" w:w="16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Sign-off gate</w:t>
            </w:r>
          </w:p>
        </w:tc>
        <w:tc>
          <w:tcPr>
            <w:tcW w:type="dxa" w:w="342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Distinctive sections active</w:t>
            </w:r>
          </w:p>
        </w:tc>
      </w:tr>
      <w:tr>
        <w:trPr>
          <w:tblHeader w:val="false"/>
        </w:trPr>
        <w:tc>
          <w:tcPr>
            <w:tcW w:type="dxa" w:w="2500"/>
            <w:tcMar>
              <w:top w:type="dxa" w:w="60"/>
              <w:left w:type="dxa" w:w="110"/>
              <w:bottom w:type="dxa" w:w="60"/>
              <w:right w:type="dxa" w:w="110"/>
            </w:tcMar>
            <w:vAlign w:val="center"/>
          </w:tcPr>
          <w:p>
            <w:pPr>
              <w:spacing w:after="0" w:line="250"/>
              <w:jc w:val="left"/>
            </w:pPr>
            <w:r>
              <w:rPr>
                <w:b/>
                <w:bCs/>
                <w:color w:val="222222"/>
                <w:sz w:val="19"/>
                <w:szCs w:val="19"/>
              </w:rPr>
              <w:t xml:space="preserve">H&amp;M (existing)</w:t>
            </w:r>
          </w:p>
        </w:tc>
        <w:tc>
          <w:tcPr>
            <w:tcW w:type="dxa" w:w="1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On</w:t>
            </w:r>
          </w:p>
        </w:tc>
        <w:tc>
          <w:tcPr>
            <w:tcW w:type="dxa" w:w="16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On (dual)</w:t>
            </w:r>
          </w:p>
        </w:tc>
        <w:tc>
          <w:tcPr>
            <w:tcW w:type="dxa" w:w="34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Cost table, apportionment</w:t>
            </w:r>
          </w:p>
        </w:tc>
      </w:tr>
      <w:tr>
        <w:trPr>
          <w:tblHeader w:val="false"/>
        </w:trPr>
        <w:tc>
          <w:tcPr>
            <w:tcW w:type="dxa" w:w="2500"/>
            <w:shd w:fill="F0ECF7" w:color="auto" w:val="clear"/>
            <w:tcMar>
              <w:top w:type="dxa" w:w="60"/>
              <w:left w:type="dxa" w:w="110"/>
              <w:bottom w:type="dxa" w:w="60"/>
              <w:right w:type="dxa" w:w="110"/>
            </w:tcMar>
            <w:vAlign w:val="center"/>
          </w:tcPr>
          <w:p>
            <w:pPr>
              <w:spacing w:after="0" w:line="250"/>
              <w:jc w:val="left"/>
            </w:pPr>
            <w:r>
              <w:rPr>
                <w:b/>
                <w:bCs/>
                <w:color w:val="222222"/>
                <w:sz w:val="19"/>
                <w:szCs w:val="19"/>
              </w:rPr>
              <w:t xml:space="preserve">P&amp;I — incident / casualty</w:t>
            </w:r>
          </w:p>
        </w:tc>
        <w:tc>
          <w:tcPr>
            <w:tcW w:type="dxa" w:w="1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Off by default</w:t>
            </w:r>
          </w:p>
        </w:tc>
        <w:tc>
          <w:tcPr>
            <w:tcW w:type="dxa" w:w="16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Optional</w:t>
            </w:r>
          </w:p>
        </w:tc>
        <w:tc>
          <w:tcPr>
            <w:tcW w:type="dxa" w:w="34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Interviews, medical, opinion</w:t>
            </w:r>
          </w:p>
        </w:tc>
      </w:tr>
      <w:tr>
        <w:trPr>
          <w:tblHeader w:val="false"/>
        </w:trPr>
        <w:tc>
          <w:tcPr>
            <w:tcW w:type="dxa" w:w="2500"/>
            <w:tcMar>
              <w:top w:type="dxa" w:w="60"/>
              <w:left w:type="dxa" w:w="110"/>
              <w:bottom w:type="dxa" w:w="60"/>
              <w:right w:type="dxa" w:w="110"/>
            </w:tcMar>
            <w:vAlign w:val="center"/>
          </w:tcPr>
          <w:p>
            <w:pPr>
              <w:spacing w:after="0" w:line="250"/>
              <w:jc w:val="left"/>
            </w:pPr>
            <w:r>
              <w:rPr>
                <w:b/>
                <w:bCs/>
                <w:color w:val="222222"/>
                <w:sz w:val="19"/>
                <w:szCs w:val="19"/>
              </w:rPr>
              <w:t xml:space="preserve">P&amp;I — expert / litigation</w:t>
            </w:r>
          </w:p>
        </w:tc>
        <w:tc>
          <w:tcPr>
            <w:tcW w:type="dxa" w:w="14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Off</w:t>
            </w:r>
          </w:p>
        </w:tc>
        <w:tc>
          <w:tcPr>
            <w:tcW w:type="dxa" w:w="16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Off</w:t>
            </w:r>
          </w:p>
        </w:tc>
        <w:tc>
          <w:tcPr>
            <w:tcW w:type="dxa" w:w="34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Expert CV, disclosure, facts relied upon, opinion, privilege banners</w:t>
            </w:r>
          </w:p>
        </w:tc>
      </w:tr>
      <w:tr>
        <w:trPr>
          <w:tblHeader w:val="false"/>
        </w:trPr>
        <w:tc>
          <w:tcPr>
            <w:tcW w:type="dxa" w:w="2500"/>
            <w:shd w:fill="F0ECF7" w:color="auto" w:val="clear"/>
            <w:tcMar>
              <w:top w:type="dxa" w:w="60"/>
              <w:left w:type="dxa" w:w="110"/>
              <w:bottom w:type="dxa" w:w="60"/>
              <w:right w:type="dxa" w:w="110"/>
            </w:tcMar>
            <w:vAlign w:val="center"/>
          </w:tcPr>
          <w:p>
            <w:pPr>
              <w:spacing w:after="0" w:line="250"/>
              <w:jc w:val="left"/>
            </w:pPr>
            <w:r>
              <w:rPr>
                <w:b/>
                <w:bCs/>
                <w:color w:val="222222"/>
                <w:sz w:val="19"/>
                <w:szCs w:val="19"/>
              </w:rPr>
              <w:t xml:space="preserve">P&amp;I — liability / attendance</w:t>
            </w:r>
          </w:p>
        </w:tc>
        <w:tc>
          <w:tcPr>
            <w:tcW w:type="dxa" w:w="14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Off</w:t>
            </w:r>
          </w:p>
        </w:tc>
        <w:tc>
          <w:tcPr>
            <w:tcW w:type="dxa" w:w="16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Off</w:t>
            </w:r>
          </w:p>
        </w:tc>
        <w:tc>
          <w:tcPr>
            <w:tcW w:type="dxa" w:w="34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Factual observations, reserved-position waiver</w:t>
            </w:r>
          </w:p>
        </w:tc>
      </w:tr>
    </w:tbl>
    <w:p>
      <w:pPr>
        <w:spacing w:after="80"/>
      </w:pPr>
      <w:r>
        <w:t xml:space="preserve"/>
      </w:r>
    </w:p>
    <w:p>
      <w:pPr>
        <w:spacing w:after="120" w:line="276"/>
        <w:jc w:val="both"/>
      </w:pPr>
      <w:r>
        <w:rPr>
          <w:b/>
          <w:bCs/>
          <w:color w:val="222222"/>
          <w:sz w:val="21"/>
          <w:szCs w:val="21"/>
        </w:rPr>
        <w:t xml:space="preserve">Every value a matter type sets is a default, not a lock. </w:t>
      </w:r>
      <w:r>
        <w:rPr>
          <w:color w:val="222222"/>
          <w:sz w:val="21"/>
          <w:szCs w:val="21"/>
        </w:rPr>
        <w:t xml:space="preserve">Any section or clause can be toggled within an individual case. The matter type exists to make the common configuration a single choice at intake.</w:t>
      </w:r>
    </w:p>
    <w:p>
      <w:pPr>
        <w:pStyle w:val="Heading2"/>
        <w:spacing w:after="100" w:before="240"/>
      </w:pPr>
      <w:r>
        <w:rPr>
          <w:b/>
          <w:bCs/>
          <w:color w:val="6A3D9A"/>
          <w:sz w:val="25"/>
          <w:szCs w:val="25"/>
        </w:rPr>
        <w:t xml:space="preserve">3.2 Section Library, Not Report Types</w:t>
      </w:r>
    </w:p>
    <w:p>
      <w:pPr>
        <w:spacing w:after="120" w:line="276"/>
        <w:jc w:val="both"/>
      </w:pPr>
      <w:r>
        <w:rPr>
          <w:color w:val="222222"/>
          <w:sz w:val="21"/>
          <w:szCs w:val="21"/>
        </w:rPr>
        <w:t xml:space="preserve">The report is assembled from a library of section templates, each active or inactive per case and ordered per format profile. Supporting an unusual instructing-party requirement is therefore a matter of toggling sections and, where new wording is required, adding a row to the existing clause-library table — never a code change or a new report type. This mirrors the mechanism already used to support multiple house formats.</w:t>
      </w:r>
    </w:p>
    <w:p>
      <w:pPr>
        <w:pStyle w:val="Heading2"/>
        <w:spacing w:after="100" w:before="240"/>
      </w:pPr>
      <w:r>
        <w:rPr>
          <w:b/>
          <w:bCs/>
          <w:color w:val="6A3D9A"/>
          <w:sz w:val="25"/>
          <w:szCs w:val="25"/>
        </w:rPr>
        <w:t xml:space="preserve">3.3 Reuse of the Existing Compliance Engine</w:t>
      </w:r>
    </w:p>
    <w:p>
      <w:pPr>
        <w:spacing w:after="120" w:line="276"/>
        <w:jc w:val="both"/>
      </w:pPr>
      <w:r>
        <w:rPr>
          <w:color w:val="222222"/>
          <w:sz w:val="21"/>
          <w:szCs w:val="21"/>
        </w:rPr>
        <w:t xml:space="preserve">The module reuses, unchanged, the platform's programmatic without-prejudice embedding, its clause-library architecture, its export validation gate, its document-control/version history, and its full AI generation audit trail and AI-usage annexure. The audit trail is of greater value in litigation work: an expert report produced with AI assistance is precisely the context in which AI use is scrutinised, so a complete, human-reviewed record of every AI contribution is a strength of the deliverable rather than a liability.</w:t>
      </w:r>
    </w:p>
    <w:p>
      <w:pPr>
        <w:spacing w:after="50"/>
      </w:pPr>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3D1A6E" w:color="auto" w:val="clear"/>
            <w:tcMar>
              <w:top w:type="dxa" w:w="80"/>
              <w:left w:type="dxa" w:w="140"/>
              <w:bottom w:type="dxa" w:w="80"/>
              <w:right w:type="dxa" w:w="140"/>
            </w:tcMar>
          </w:tcPr>
          <w:p>
            <w:r>
              <w:rPr>
                <w:b/>
                <w:bCs/>
                <w:color w:val="FFFFFF"/>
                <w:sz w:val="21"/>
                <w:szCs w:val="21"/>
              </w:rPr>
              <w:t xml:space="preserve">Continuity with the H&amp;M Platform Strategy</w:t>
            </w:r>
          </w:p>
        </w:tc>
      </w:tr>
      <w:tr>
        <w:tc>
          <w:tcPr>
            <w:tcW w:type="dxa" w:w="9026"/>
            <w:shd w:fill="F0ECF7" w:color="auto" w:val="clear"/>
            <w:tcMar>
              <w:top w:type="dxa" w:w="100"/>
              <w:left w:type="dxa" w:w="140"/>
              <w:bottom w:type="dxa" w:w="100"/>
              <w:right w:type="dxa" w:w="140"/>
            </w:tcMar>
          </w:tcPr>
          <w:p>
            <w:pPr>
              <w:pStyle w:val="ListParagraph"/>
              <w:numPr>
                <w:ilvl w:val="0"/>
                <w:numId w:val="2"/>
              </w:numPr>
              <w:spacing w:after="70" w:line="264"/>
            </w:pPr>
            <w:r>
              <w:rPr>
                <w:color w:val="222222"/>
                <w:sz w:val="20"/>
                <w:szCs w:val="20"/>
              </w:rPr>
              <w:t xml:space="preserve">No new compliance mechanism is introduced — the GPN-AI audit record, the without-prejudice architecture and the successive-reporting framework defined in the H&amp;M brief carry over intact.</w:t>
            </w:r>
          </w:p>
          <w:p>
            <w:pPr>
              <w:pStyle w:val="ListParagraph"/>
              <w:numPr>
                <w:ilvl w:val="0"/>
                <w:numId w:val="2"/>
              </w:numPr>
              <w:spacing w:after="0" w:line="264"/>
            </w:pPr>
            <w:r>
              <w:rPr>
                <w:color w:val="222222"/>
                <w:sz w:val="20"/>
                <w:szCs w:val="20"/>
              </w:rPr>
              <w:t xml:space="preserve">The P&amp;I module is a configuration and content layer on that same foundation, keeping one engine, one audit trail and one export pipeline across both classes of work.</w:t>
            </w:r>
          </w:p>
        </w:tc>
      </w:tr>
    </w:tbl>
    <w:p>
      <w:r>
        <w:br w:type="page"/>
      </w:r>
    </w:p>
    <w:p>
      <w:pPr>
        <w:pStyle w:val="Heading1"/>
        <w:spacing w:after="140" w:before="340"/>
      </w:pPr>
      <w:r>
        <w:rPr>
          <w:b/>
          <w:bCs/>
          <w:color w:val="3D1A6E"/>
          <w:sz w:val="30"/>
          <w:szCs w:val="30"/>
        </w:rPr>
        <w:t xml:space="preserve">4. New Report Sections</w:t>
      </w:r>
    </w:p>
    <w:p>
      <w:pPr>
        <w:spacing w:after="120" w:line="276"/>
        <w:jc w:val="both"/>
      </w:pPr>
      <w:r>
        <w:rPr>
          <w:color w:val="222222"/>
          <w:sz w:val="21"/>
          <w:szCs w:val="21"/>
        </w:rPr>
        <w:t xml:space="preserve">The following six sections are the genuine additions to the report builder. Each is defined by its purpose, data source, default state by matter type, and drafting/AI behaviour.</w:t>
      </w:r>
    </w:p>
    <w:p>
      <w:pPr>
        <w:pStyle w:val="Heading2"/>
        <w:spacing w:after="100" w:before="240"/>
      </w:pPr>
      <w:r>
        <w:rPr>
          <w:b/>
          <w:bCs/>
          <w:color w:val="6A3D9A"/>
          <w:sz w:val="25"/>
          <w:szCs w:val="25"/>
        </w:rPr>
        <w:t xml:space="preserve">4.1 Expert Background / Curriculum Vitae</w:t>
      </w:r>
    </w:p>
    <w:p>
      <w:pPr>
        <w:spacing w:after="120" w:line="276"/>
        <w:jc w:val="both"/>
      </w:pPr>
      <w:r>
        <w:rPr>
          <w:color w:val="222222"/>
          <w:sz w:val="21"/>
          <w:szCs w:val="21"/>
        </w:rPr>
        <w:t xml:space="preserve">A reusable block presenting the author's qualifications, industry accreditations, professional affiliations and memberships, and a narrative of relevant experience. In expert reporting this content is substantially identical from one matter to the next and is currently re-created each time.</w:t>
      </w:r>
    </w:p>
    <w:p>
      <w:pPr>
        <w:pStyle w:val="ListParagraph"/>
        <w:numPr>
          <w:ilvl w:val="0"/>
          <w:numId w:val="3"/>
        </w:numPr>
        <w:spacing w:after="70" w:line="270"/>
      </w:pPr>
      <w:r>
        <w:rPr>
          <w:color w:val="222222"/>
          <w:sz w:val="21"/>
          <w:szCs w:val="21"/>
        </w:rPr>
        <w:t xml:space="preserve">Stored at surveyor-profile level, authored once and inserted per report.</w:t>
      </w:r>
    </w:p>
    <w:p>
      <w:pPr>
        <w:pStyle w:val="ListParagraph"/>
        <w:numPr>
          <w:ilvl w:val="0"/>
          <w:numId w:val="3"/>
        </w:numPr>
        <w:spacing w:after="70" w:line="270"/>
      </w:pPr>
      <w:r>
        <w:rPr>
          <w:color w:val="222222"/>
          <w:sz w:val="21"/>
          <w:szCs w:val="21"/>
        </w:rPr>
        <w:t xml:space="preserve">Structured sub-blocks: qualifications, accreditations, affiliations/memberships, and an experience narrative organised by period.</w:t>
      </w:r>
    </w:p>
    <w:p>
      <w:pPr>
        <w:pStyle w:val="ListParagraph"/>
        <w:numPr>
          <w:ilvl w:val="0"/>
          <w:numId w:val="3"/>
        </w:numPr>
        <w:spacing w:after="70" w:line="270"/>
      </w:pPr>
      <w:r>
        <w:rPr>
          <w:color w:val="222222"/>
          <w:sz w:val="21"/>
          <w:szCs w:val="21"/>
        </w:rPr>
        <w:t xml:space="preserve">Selectable granularity — full CV or short-form summary — per matter.</w:t>
      </w:r>
    </w:p>
    <w:p>
      <w:pPr>
        <w:pStyle w:val="ListParagraph"/>
        <w:numPr>
          <w:ilvl w:val="0"/>
          <w:numId w:val="3"/>
        </w:numPr>
        <w:spacing w:after="70" w:line="270"/>
      </w:pPr>
      <w:r>
        <w:rPr>
          <w:color w:val="222222"/>
          <w:sz w:val="21"/>
          <w:szCs w:val="21"/>
        </w:rPr>
        <w:t xml:space="preserve">Default: active for expert/litigation; inactive elsewhere.</w:t>
      </w:r>
    </w:p>
    <w:p>
      <w:pPr>
        <w:pStyle w:val="Heading2"/>
        <w:spacing w:after="100" w:before="240"/>
      </w:pPr>
      <w:r>
        <w:rPr>
          <w:b/>
          <w:bCs/>
          <w:color w:val="6A3D9A"/>
          <w:sz w:val="25"/>
          <w:szCs w:val="25"/>
        </w:rPr>
        <w:t xml:space="preserve">4.2 Disclosure of Interests / Independence Declaration</w:t>
      </w:r>
    </w:p>
    <w:p>
      <w:pPr>
        <w:spacing w:after="120" w:line="276"/>
        <w:jc w:val="both"/>
      </w:pPr>
      <w:r>
        <w:rPr>
          <w:color w:val="222222"/>
          <w:sz w:val="21"/>
          <w:szCs w:val="21"/>
        </w:rPr>
        <w:t xml:space="preserve">A short, near-mandatory statement for expert reporting confirming any prior involvement and any other instructions accepted, and declaring independence. Adjacent to court practice-note expectations for expert evidence.</w:t>
      </w:r>
    </w:p>
    <w:p>
      <w:pPr>
        <w:pStyle w:val="ListParagraph"/>
        <w:numPr>
          <w:ilvl w:val="0"/>
          <w:numId w:val="3"/>
        </w:numPr>
        <w:spacing w:after="70" w:line="270"/>
      </w:pPr>
      <w:r>
        <w:rPr>
          <w:color w:val="222222"/>
          <w:sz w:val="21"/>
          <w:szCs w:val="21"/>
        </w:rPr>
        <w:t xml:space="preserve">Short structured statement with standard variants held in the clause library.</w:t>
      </w:r>
    </w:p>
    <w:p>
      <w:pPr>
        <w:pStyle w:val="ListParagraph"/>
        <w:numPr>
          <w:ilvl w:val="0"/>
          <w:numId w:val="3"/>
        </w:numPr>
        <w:spacing w:after="70" w:line="270"/>
      </w:pPr>
      <w:r>
        <w:rPr>
          <w:color w:val="222222"/>
          <w:sz w:val="21"/>
          <w:szCs w:val="21"/>
        </w:rPr>
        <w:t xml:space="preserve">Default: active for expert/litigation; inactive elsewhere.</w:t>
      </w:r>
    </w:p>
    <w:p>
      <w:pPr>
        <w:pStyle w:val="Heading2"/>
        <w:spacing w:after="100" w:before="240"/>
      </w:pPr>
      <w:r>
        <w:rPr>
          <w:b/>
          <w:bCs/>
          <w:color w:val="6A3D9A"/>
          <w:sz w:val="25"/>
          <w:szCs w:val="25"/>
        </w:rPr>
        <w:t xml:space="preserve">4.3 Facts and Documents Relied Upon</w:t>
      </w:r>
    </w:p>
    <w:p>
      <w:pPr>
        <w:spacing w:after="120" w:line="276"/>
        <w:jc w:val="both"/>
      </w:pPr>
      <w:r>
        <w:rPr>
          <w:color w:val="222222"/>
          <w:sz w:val="21"/>
          <w:szCs w:val="21"/>
        </w:rPr>
        <w:t xml:space="preserve">A structured list of the attendance(s) and the specific documents examined and relied upon. This feeds directly from the existing document vault: the documents are already tracked; this section renders the relied-upon subset into the report.</w:t>
      </w:r>
    </w:p>
    <w:p>
      <w:pPr>
        <w:pStyle w:val="ListParagraph"/>
        <w:numPr>
          <w:ilvl w:val="0"/>
          <w:numId w:val="3"/>
        </w:numPr>
        <w:spacing w:after="70" w:line="270"/>
      </w:pPr>
      <w:r>
        <w:rPr>
          <w:color w:val="222222"/>
          <w:sz w:val="21"/>
          <w:szCs w:val="21"/>
        </w:rPr>
        <w:t xml:space="preserve">Populated by selecting, from the case document vault, the items relied upon.</w:t>
      </w:r>
    </w:p>
    <w:p>
      <w:pPr>
        <w:pStyle w:val="ListParagraph"/>
        <w:numPr>
          <w:ilvl w:val="0"/>
          <w:numId w:val="3"/>
        </w:numPr>
        <w:spacing w:after="70" w:line="270"/>
      </w:pPr>
      <w:r>
        <w:rPr>
          <w:color w:val="222222"/>
          <w:sz w:val="21"/>
          <w:szCs w:val="21"/>
        </w:rPr>
        <w:t xml:space="preserve">Renders as an itemised list with document description and, where relevant, reference/date.</w:t>
      </w:r>
    </w:p>
    <w:p>
      <w:pPr>
        <w:pStyle w:val="ListParagraph"/>
        <w:numPr>
          <w:ilvl w:val="0"/>
          <w:numId w:val="3"/>
        </w:numPr>
        <w:spacing w:after="70" w:line="270"/>
      </w:pPr>
      <w:r>
        <w:rPr>
          <w:color w:val="222222"/>
          <w:sz w:val="21"/>
          <w:szCs w:val="21"/>
        </w:rPr>
        <w:t xml:space="preserve">Default: active for expert/litigation and casualty; optional elsewhere.</w:t>
      </w:r>
    </w:p>
    <w:p>
      <w:pPr>
        <w:pStyle w:val="Heading2"/>
        <w:spacing w:after="100" w:before="240"/>
      </w:pPr>
      <w:r>
        <w:rPr>
          <w:b/>
          <w:bCs/>
          <w:color w:val="6A3D9A"/>
          <w:sz w:val="25"/>
          <w:szCs w:val="25"/>
        </w:rPr>
        <w:t xml:space="preserve">4.4 Opinion / Conclusions</w:t>
      </w:r>
    </w:p>
    <w:p>
      <w:pPr>
        <w:spacing w:after="120" w:line="276"/>
        <w:jc w:val="both"/>
      </w:pPr>
      <w:r>
        <w:rPr>
          <w:color w:val="222222"/>
          <w:sz w:val="21"/>
          <w:szCs w:val="21"/>
        </w:rPr>
        <w:t xml:space="preserve">Distinct from the existing causation section. Where causation records a factual assessment of cause, the opinion section presents an explicitly reasoned, appropriately reserved professional opinion tied back to the observations — the heart of an expert report. It requires its own drafting template and a dedicated AI-assist prompt tuned for opinion language (reasoned, hedged, first-person professional) rather than factual narrative.</w:t>
      </w:r>
    </w:p>
    <w:p>
      <w:pPr>
        <w:pStyle w:val="ListParagraph"/>
        <w:numPr>
          <w:ilvl w:val="0"/>
          <w:numId w:val="3"/>
        </w:numPr>
        <w:spacing w:after="70" w:line="270"/>
      </w:pPr>
      <w:r>
        <w:rPr>
          <w:color w:val="222222"/>
          <w:sz w:val="21"/>
          <w:szCs w:val="21"/>
        </w:rPr>
        <w:t xml:space="preserve">Own section template and own AI drafting prompt profile.</w:t>
      </w:r>
    </w:p>
    <w:p>
      <w:pPr>
        <w:pStyle w:val="ListParagraph"/>
        <w:numPr>
          <w:ilvl w:val="0"/>
          <w:numId w:val="3"/>
        </w:numPr>
        <w:spacing w:after="70" w:line="270"/>
      </w:pPr>
      <w:r>
        <w:rPr>
          <w:color w:val="222222"/>
          <w:sz w:val="21"/>
          <w:szCs w:val="21"/>
        </w:rPr>
        <w:t xml:space="preserve">Supports multiple discrete opinion points, each linked to supporting observations or damage-register items.</w:t>
      </w:r>
    </w:p>
    <w:p>
      <w:pPr>
        <w:pStyle w:val="ListParagraph"/>
        <w:numPr>
          <w:ilvl w:val="0"/>
          <w:numId w:val="3"/>
        </w:numPr>
        <w:spacing w:after="70" w:line="270"/>
      </w:pPr>
      <w:r>
        <w:rPr>
          <w:color w:val="222222"/>
          <w:sz w:val="21"/>
          <w:szCs w:val="21"/>
        </w:rPr>
        <w:t xml:space="preserve">All AI-assisted opinion drafting is captured in the audit trail and surfaced in the AI-usage annexure, and must be human-reviewed before export.</w:t>
      </w:r>
    </w:p>
    <w:p>
      <w:pPr>
        <w:pStyle w:val="ListParagraph"/>
        <w:numPr>
          <w:ilvl w:val="0"/>
          <w:numId w:val="3"/>
        </w:numPr>
        <w:spacing w:after="70" w:line="270"/>
      </w:pPr>
      <w:r>
        <w:rPr>
          <w:color w:val="222222"/>
          <w:sz w:val="21"/>
          <w:szCs w:val="21"/>
        </w:rPr>
        <w:t xml:space="preserve">Default: active for expert/litigation and casualty.</w:t>
      </w:r>
    </w:p>
    <w:p>
      <w:pPr>
        <w:pStyle w:val="Heading2"/>
        <w:spacing w:after="100" w:before="240"/>
      </w:pPr>
      <w:r>
        <w:rPr>
          <w:b/>
          <w:bCs/>
          <w:color w:val="6A3D9A"/>
          <w:sz w:val="25"/>
          <w:szCs w:val="25"/>
        </w:rPr>
        <w:t xml:space="preserve">4.5 Witness Interviews (Report Rendering)</w:t>
      </w:r>
    </w:p>
    <w:p>
      <w:pPr>
        <w:spacing w:after="120" w:line="276"/>
        <w:jc w:val="both"/>
      </w:pPr>
      <w:r>
        <w:rPr>
          <w:color w:val="222222"/>
          <w:sz w:val="21"/>
          <w:szCs w:val="21"/>
        </w:rPr>
        <w:t xml:space="preserve">The platform already records structured interviews with on-device transcription. This item is the report-builder wiring that renders those interviews into the report — as a series of clearly delimited interview accounts — in the manner required by casualty matters that turn on witness evidence.</w:t>
      </w:r>
    </w:p>
    <w:p>
      <w:pPr>
        <w:pStyle w:val="ListParagraph"/>
        <w:numPr>
          <w:ilvl w:val="0"/>
          <w:numId w:val="3"/>
        </w:numPr>
        <w:spacing w:after="70" w:line="270"/>
      </w:pPr>
      <w:r>
        <w:rPr>
          <w:color w:val="222222"/>
          <w:sz w:val="21"/>
          <w:szCs w:val="21"/>
        </w:rPr>
        <w:t xml:space="preserve">Renders each recorded interview as its own sub-section with interviewee role and account.</w:t>
      </w:r>
    </w:p>
    <w:p>
      <w:pPr>
        <w:pStyle w:val="ListParagraph"/>
        <w:numPr>
          <w:ilvl w:val="0"/>
          <w:numId w:val="3"/>
        </w:numPr>
        <w:spacing w:after="70" w:line="270"/>
      </w:pPr>
      <w:r>
        <w:rPr>
          <w:color w:val="222222"/>
          <w:sz w:val="21"/>
          <w:szCs w:val="21"/>
        </w:rPr>
        <w:t xml:space="preserve">Reuses existing Interviews data; no new capture mechanism required.</w:t>
      </w:r>
    </w:p>
    <w:p>
      <w:pPr>
        <w:pStyle w:val="ListParagraph"/>
        <w:numPr>
          <w:ilvl w:val="0"/>
          <w:numId w:val="3"/>
        </w:numPr>
        <w:spacing w:after="70" w:line="270"/>
      </w:pPr>
      <w:r>
        <w:rPr>
          <w:color w:val="222222"/>
          <w:sz w:val="21"/>
          <w:szCs w:val="21"/>
        </w:rPr>
        <w:t xml:space="preserve">Default: active for casualty; optional elsewhere.</w:t>
      </w:r>
    </w:p>
    <w:p>
      <w:pPr>
        <w:pStyle w:val="Heading2"/>
        <w:spacing w:after="100" w:before="240"/>
      </w:pPr>
      <w:r>
        <w:rPr>
          <w:b/>
          <w:bCs/>
          <w:color w:val="6A3D9A"/>
          <w:sz w:val="25"/>
          <w:szCs w:val="25"/>
        </w:rPr>
        <w:t xml:space="preserve">4.6 Medical Condition / Injured Parties</w:t>
      </w:r>
    </w:p>
    <w:p>
      <w:pPr>
        <w:spacing w:after="120" w:line="276"/>
        <w:jc w:val="both"/>
      </w:pPr>
      <w:r>
        <w:rPr>
          <w:color w:val="222222"/>
          <w:sz w:val="21"/>
          <w:szCs w:val="21"/>
        </w:rPr>
        <w:t xml:space="preserve">A simple structured block recording the medical condition of injured parties where a matter involves personal injury or loss of life. Off by default and activated only where relevant.</w:t>
      </w:r>
    </w:p>
    <w:p>
      <w:pPr>
        <w:pStyle w:val="ListParagraph"/>
        <w:numPr>
          <w:ilvl w:val="0"/>
          <w:numId w:val="3"/>
        </w:numPr>
        <w:spacing w:after="70" w:line="270"/>
      </w:pPr>
      <w:r>
        <w:rPr>
          <w:color w:val="222222"/>
          <w:sz w:val="21"/>
          <w:szCs w:val="21"/>
        </w:rPr>
        <w:t xml:space="preserve">Structured entries per affected person (role, condition, source of information).</w:t>
      </w:r>
    </w:p>
    <w:p>
      <w:pPr>
        <w:pStyle w:val="ListParagraph"/>
        <w:numPr>
          <w:ilvl w:val="0"/>
          <w:numId w:val="3"/>
        </w:numPr>
        <w:spacing w:after="70" w:line="270"/>
      </w:pPr>
      <w:r>
        <w:rPr>
          <w:color w:val="222222"/>
          <w:sz w:val="21"/>
          <w:szCs w:val="21"/>
        </w:rPr>
        <w:t xml:space="preserve">Default: inactive; activated per case for casualty matters involving injury.</w:t>
      </w:r>
    </w:p>
    <w:p>
      <w:r>
        <w:br w:type="page"/>
      </w:r>
    </w:p>
    <w:p>
      <w:pPr>
        <w:pStyle w:val="Heading1"/>
        <w:spacing w:after="140" w:before="340"/>
      </w:pPr>
      <w:r>
        <w:rPr>
          <w:b/>
          <w:bCs/>
          <w:color w:val="3D1A6E"/>
          <w:sz w:val="30"/>
          <w:szCs w:val="30"/>
        </w:rPr>
        <w:t xml:space="preserve">5. Legal, Privilege and Draft-Status Layer</w:t>
      </w:r>
    </w:p>
    <w:p>
      <w:pPr>
        <w:spacing w:after="120" w:line="276"/>
        <w:jc w:val="both"/>
      </w:pPr>
      <w:r>
        <w:rPr>
          <w:color w:val="222222"/>
          <w:sz w:val="21"/>
          <w:szCs w:val="21"/>
        </w:rPr>
        <w:t xml:space="preserve">This layer extends the platform's existing programmatic without-prejudice embedding — its strongest current capability — with a small number of configurable clause-library entries and one behavioural change to the export pipeline.</w:t>
      </w:r>
    </w:p>
    <w:p>
      <w:pPr>
        <w:pStyle w:val="Heading2"/>
        <w:spacing w:after="100" w:before="240"/>
      </w:pPr>
      <w:r>
        <w:rPr>
          <w:b/>
          <w:bCs/>
          <w:color w:val="6A3D9A"/>
          <w:sz w:val="25"/>
          <w:szCs w:val="25"/>
        </w:rPr>
        <w:t xml:space="preserve">5.1 New Clause-Library Entries</w:t>
      </w:r>
    </w:p>
    <w:p>
      <w:pPr>
        <w:pStyle w:val="ListParagraph"/>
        <w:numPr>
          <w:ilvl w:val="0"/>
          <w:numId w:val="3"/>
        </w:numPr>
        <w:spacing w:after="70" w:line="270"/>
      </w:pPr>
      <w:r>
        <w:rPr>
          <w:b/>
          <w:bCs/>
          <w:color w:val="222222"/>
          <w:sz w:val="21"/>
          <w:szCs w:val="21"/>
        </w:rPr>
        <w:t xml:space="preserve">Legal-privilege banner. </w:t>
      </w:r>
      <w:r>
        <w:rPr>
          <w:color w:val="222222"/>
          <w:sz w:val="21"/>
          <w:szCs w:val="21"/>
        </w:rPr>
        <w:t xml:space="preserve">A cover, header and footer banner asserting legal confidential privilege, firing automatically when the matter type is expert/litigation.</w:t>
      </w:r>
    </w:p>
    <w:p>
      <w:pPr>
        <w:pStyle w:val="ListParagraph"/>
        <w:numPr>
          <w:ilvl w:val="0"/>
          <w:numId w:val="3"/>
        </w:numPr>
        <w:spacing w:after="70" w:line="270"/>
      </w:pPr>
      <w:r>
        <w:rPr>
          <w:b/>
          <w:bCs/>
          <w:color w:val="222222"/>
          <w:sz w:val="21"/>
          <w:szCs w:val="21"/>
        </w:rPr>
        <w:t xml:space="preserve">Terminal draft status. </w:t>
      </w:r>
      <w:r>
        <w:rPr>
          <w:color w:val="222222"/>
          <w:sz w:val="21"/>
          <w:szCs w:val="21"/>
        </w:rPr>
        <w:t xml:space="preserve">A legitimate, terminal 'draft — not for issue' status distinct from an incomplete final report, with an every-page draft stamp.</w:t>
      </w:r>
    </w:p>
    <w:p>
      <w:pPr>
        <w:pStyle w:val="ListParagraph"/>
        <w:numPr>
          <w:ilvl w:val="0"/>
          <w:numId w:val="3"/>
        </w:numPr>
        <w:spacing w:after="70" w:line="270"/>
      </w:pPr>
      <w:r>
        <w:rPr>
          <w:b/>
          <w:bCs/>
          <w:color w:val="222222"/>
          <w:sz w:val="21"/>
          <w:szCs w:val="21"/>
        </w:rPr>
        <w:t xml:space="preserve">Instructing-representative block. </w:t>
      </w:r>
      <w:r>
        <w:rPr>
          <w:color w:val="222222"/>
          <w:sz w:val="21"/>
          <w:szCs w:val="21"/>
        </w:rPr>
        <w:t xml:space="preserve">An 'instructed by' block naming the instructing legal representative or association, used in place of the assured/underwriter identity block.</w:t>
      </w:r>
    </w:p>
    <w:p>
      <w:pPr>
        <w:pStyle w:val="ListParagraph"/>
        <w:numPr>
          <w:ilvl w:val="0"/>
          <w:numId w:val="3"/>
        </w:numPr>
        <w:spacing w:after="70" w:line="270"/>
      </w:pPr>
      <w:r>
        <w:rPr>
          <w:b/>
          <w:bCs/>
          <w:color w:val="222222"/>
          <w:sz w:val="21"/>
          <w:szCs w:val="21"/>
        </w:rPr>
        <w:t xml:space="preserve">Reserved-position waiver variant. </w:t>
      </w:r>
      <w:r>
        <w:rPr>
          <w:color w:val="222222"/>
          <w:sz w:val="21"/>
          <w:szCs w:val="21"/>
        </w:rPr>
        <w:t xml:space="preserve">A variant of the existing reserved-position waiver suited to expert and litigation matters.</w:t>
      </w:r>
    </w:p>
    <w:p>
      <w:pPr>
        <w:pStyle w:val="Heading2"/>
        <w:spacing w:after="100" w:before="240"/>
      </w:pPr>
      <w:r>
        <w:rPr>
          <w:b/>
          <w:bCs/>
          <w:color w:val="6A3D9A"/>
          <w:sz w:val="25"/>
          <w:szCs w:val="25"/>
        </w:rPr>
        <w:t xml:space="preserve">5.2 Inverting the Export Gate for Litigation Matters</w:t>
      </w:r>
    </w:p>
    <w:p>
      <w:pPr>
        <w:spacing w:after="120" w:line="276"/>
        <w:jc w:val="both"/>
      </w:pPr>
      <w:r>
        <w:rPr>
          <w:color w:val="222222"/>
          <w:sz w:val="21"/>
          <w:szCs w:val="21"/>
        </w:rPr>
        <w:t xml:space="preserve">This is the key behavioural change. Export behaviour becomes conditional on matter type:</w:t>
      </w:r>
    </w:p>
    <w:p>
      <w:pPr>
        <w:spacing w:after="40"/>
      </w:pPr>
      <w:r>
        <w:t xml:space="preserve"/>
      </w:r>
    </w:p>
    <w:tbl>
      <w:tblPr>
        <w:tblW w:type="dxa" w:w="9026"/>
        <w:tblBorders>
          <w:top w:val="single" w:color="B9A9D6" w:sz="4"/>
          <w:left w:val="single" w:color="B9A9D6" w:sz="4"/>
          <w:bottom w:val="single" w:color="B9A9D6" w:sz="4"/>
          <w:right w:val="single" w:color="B9A9D6" w:sz="4"/>
          <w:insideH w:val="single" w:color="B9A9D6" w:sz="4"/>
          <w:insideV w:val="single" w:color="B9A9D6" w:sz="4"/>
        </w:tblBorders>
      </w:tblPr>
      <w:tblGrid>
        <w:gridCol w:w="2500"/>
        <w:gridCol w:w="3163"/>
        <w:gridCol w:w="3363"/>
      </w:tblGrid>
      <w:tr>
        <w:trPr>
          <w:tblHeader/>
        </w:trPr>
        <w:tc>
          <w:tcPr>
            <w:tcW w:type="dxa" w:w="250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Behaviour</w:t>
            </w:r>
          </w:p>
        </w:tc>
        <w:tc>
          <w:tcPr>
            <w:tcW w:type="dxa" w:w="3163"/>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H&amp;M (unchanged)</w:t>
            </w:r>
          </w:p>
        </w:tc>
        <w:tc>
          <w:tcPr>
            <w:tcW w:type="dxa" w:w="3363"/>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P&amp;I — expert / litigation</w:t>
            </w:r>
          </w:p>
        </w:tc>
      </w:tr>
      <w:tr>
        <w:trPr>
          <w:tblHeader w:val="false"/>
        </w:trPr>
        <w:tc>
          <w:tcPr>
            <w:tcW w:type="dxa" w:w="2500"/>
            <w:tcMar>
              <w:top w:type="dxa" w:w="60"/>
              <w:left w:type="dxa" w:w="110"/>
              <w:bottom w:type="dxa" w:w="60"/>
              <w:right w:type="dxa" w:w="110"/>
            </w:tcMar>
            <w:vAlign w:val="center"/>
          </w:tcPr>
          <w:p>
            <w:pPr>
              <w:spacing w:after="0" w:line="250"/>
              <w:jc w:val="left"/>
            </w:pPr>
            <w:r>
              <w:rPr>
                <w:b/>
                <w:bCs/>
                <w:color w:val="222222"/>
                <w:sz w:val="19"/>
                <w:szCs w:val="19"/>
              </w:rPr>
              <w:t xml:space="preserve">Sign-off</w:t>
            </w:r>
          </w:p>
        </w:tc>
        <w:tc>
          <w:tcPr>
            <w:tcW w:type="dxa" w:w="3163"/>
            <w:tcMar>
              <w:top w:type="dxa" w:w="60"/>
              <w:left w:type="dxa" w:w="110"/>
              <w:bottom w:type="dxa" w:w="60"/>
              <w:right w:type="dxa" w:w="110"/>
            </w:tcMar>
            <w:vAlign w:val="center"/>
          </w:tcPr>
          <w:p>
            <w:pPr>
              <w:spacing w:after="0" w:line="250"/>
              <w:jc w:val="left"/>
            </w:pPr>
            <w:r>
              <w:rPr>
                <w:b w:val="false"/>
                <w:bCs w:val="false"/>
                <w:color w:val="222222"/>
                <w:sz w:val="19"/>
                <w:szCs w:val="19"/>
              </w:rPr>
              <w:t xml:space="preserve">Dual, mandatory</w:t>
            </w:r>
          </w:p>
        </w:tc>
        <w:tc>
          <w:tcPr>
            <w:tcW w:type="dxa" w:w="3363"/>
            <w:tcMar>
              <w:top w:type="dxa" w:w="60"/>
              <w:left w:type="dxa" w:w="110"/>
              <w:bottom w:type="dxa" w:w="60"/>
              <w:right w:type="dxa" w:w="110"/>
            </w:tcMar>
            <w:vAlign w:val="center"/>
          </w:tcPr>
          <w:p>
            <w:pPr>
              <w:spacing w:after="0" w:line="250"/>
              <w:jc w:val="left"/>
            </w:pPr>
            <w:r>
              <w:rPr>
                <w:b w:val="false"/>
                <w:bCs w:val="false"/>
                <w:color w:val="222222"/>
                <w:sz w:val="19"/>
                <w:szCs w:val="19"/>
              </w:rPr>
              <w:t xml:space="preserve">Single, optional</w:t>
            </w:r>
          </w:p>
        </w:tc>
      </w:tr>
      <w:tr>
        <w:trPr>
          <w:tblHeader w:val="false"/>
        </w:trPr>
        <w:tc>
          <w:tcPr>
            <w:tcW w:type="dxa" w:w="2500"/>
            <w:shd w:fill="F0ECF7" w:color="auto" w:val="clear"/>
            <w:tcMar>
              <w:top w:type="dxa" w:w="60"/>
              <w:left w:type="dxa" w:w="110"/>
              <w:bottom w:type="dxa" w:w="60"/>
              <w:right w:type="dxa" w:w="110"/>
            </w:tcMar>
            <w:vAlign w:val="center"/>
          </w:tcPr>
          <w:p>
            <w:pPr>
              <w:spacing w:after="0" w:line="250"/>
              <w:jc w:val="left"/>
            </w:pPr>
            <w:r>
              <w:rPr>
                <w:b/>
                <w:bCs/>
                <w:color w:val="222222"/>
                <w:sz w:val="19"/>
                <w:szCs w:val="19"/>
              </w:rPr>
              <w:t xml:space="preserve">Export gate</w:t>
            </w:r>
          </w:p>
        </w:tc>
        <w:tc>
          <w:tcPr>
            <w:tcW w:type="dxa" w:w="3163"/>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Hard-blocked until sign-off</w:t>
            </w:r>
          </w:p>
        </w:tc>
        <w:tc>
          <w:tcPr>
            <w:tcW w:type="dxa" w:w="3363"/>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Never blocked</w:t>
            </w:r>
          </w:p>
        </w:tc>
      </w:tr>
      <w:tr>
        <w:trPr>
          <w:tblHeader w:val="false"/>
        </w:trPr>
        <w:tc>
          <w:tcPr>
            <w:tcW w:type="dxa" w:w="2500"/>
            <w:tcMar>
              <w:top w:type="dxa" w:w="60"/>
              <w:left w:type="dxa" w:w="110"/>
              <w:bottom w:type="dxa" w:w="60"/>
              <w:right w:type="dxa" w:w="110"/>
            </w:tcMar>
            <w:vAlign w:val="center"/>
          </w:tcPr>
          <w:p>
            <w:pPr>
              <w:spacing w:after="0" w:line="250"/>
              <w:jc w:val="left"/>
            </w:pPr>
            <w:r>
              <w:rPr>
                <w:b/>
                <w:bCs/>
                <w:color w:val="222222"/>
                <w:sz w:val="19"/>
                <w:szCs w:val="19"/>
              </w:rPr>
              <w:t xml:space="preserve">Draft output</w:t>
            </w:r>
          </w:p>
        </w:tc>
        <w:tc>
          <w:tcPr>
            <w:tcW w:type="dxa" w:w="3163"/>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Interim state only</w:t>
            </w:r>
          </w:p>
        </w:tc>
        <w:tc>
          <w:tcPr>
            <w:tcW w:type="dxa" w:w="3363"/>
            <w:tcMar>
              <w:top w:type="dxa" w:w="60"/>
              <w:left w:type="dxa" w:w="110"/>
              <w:bottom w:type="dxa" w:w="60"/>
              <w:right w:type="dxa" w:w="110"/>
            </w:tcMar>
            <w:vAlign w:val="center"/>
          </w:tcPr>
          <w:p>
            <w:pPr>
              <w:spacing w:after="0" w:line="250"/>
              <w:jc w:val="left"/>
            </w:pPr>
            <w:r>
              <w:rPr>
                <w:b w:val="false"/>
                <w:bCs w:val="false"/>
                <w:color w:val="222222"/>
                <w:sz w:val="19"/>
                <w:szCs w:val="19"/>
              </w:rPr>
              <w:t xml:space="preserve">Valid, expected, terminal deliverable</w:t>
            </w:r>
          </w:p>
        </w:tc>
      </w:tr>
      <w:tr>
        <w:trPr>
          <w:tblHeader w:val="false"/>
        </w:trPr>
        <w:tc>
          <w:tcPr>
            <w:tcW w:type="dxa" w:w="2500"/>
            <w:shd w:fill="F0ECF7" w:color="auto" w:val="clear"/>
            <w:tcMar>
              <w:top w:type="dxa" w:w="60"/>
              <w:left w:type="dxa" w:w="110"/>
              <w:bottom w:type="dxa" w:w="60"/>
              <w:right w:type="dxa" w:w="110"/>
            </w:tcMar>
            <w:vAlign w:val="center"/>
          </w:tcPr>
          <w:p>
            <w:pPr>
              <w:spacing w:after="0" w:line="250"/>
              <w:jc w:val="left"/>
            </w:pPr>
            <w:r>
              <w:rPr>
                <w:b/>
                <w:bCs/>
                <w:color w:val="222222"/>
                <w:sz w:val="19"/>
                <w:szCs w:val="19"/>
              </w:rPr>
              <w:t xml:space="preserve">Page marking</w:t>
            </w:r>
          </w:p>
        </w:tc>
        <w:tc>
          <w:tcPr>
            <w:tcW w:type="dxa" w:w="3163"/>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Status badge</w:t>
            </w:r>
          </w:p>
        </w:tc>
        <w:tc>
          <w:tcPr>
            <w:tcW w:type="dxa" w:w="3363"/>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Draft stamp + privilege banner on every page</w:t>
            </w:r>
          </w:p>
        </w:tc>
      </w:tr>
    </w:tbl>
    <w:p>
      <w:pPr>
        <w:spacing w:after="80"/>
      </w:pPr>
      <w:r>
        <w:t xml:space="preserve"/>
      </w:r>
    </w:p>
    <w:p>
      <w:pPr>
        <w:spacing w:after="120" w:line="276"/>
        <w:jc w:val="both"/>
      </w:pPr>
      <w:r>
        <w:rPr>
          <w:color w:val="222222"/>
          <w:sz w:val="21"/>
          <w:szCs w:val="21"/>
        </w:rPr>
        <w:t xml:space="preserve">The export validation gate is not removed — it continues to warn on empty mandatory sections and unreviewed AI contributions — but for litigation matters it </w:t>
      </w:r>
      <w:r>
        <w:rPr>
          <w:b/>
          <w:bCs/>
          <w:color w:val="222222"/>
          <w:sz w:val="21"/>
          <w:szCs w:val="21"/>
        </w:rPr>
        <w:t xml:space="preserve">warns rather than blocks</w:t>
      </w:r>
      <w:r>
        <w:rPr>
          <w:color w:val="222222"/>
          <w:sz w:val="21"/>
          <w:szCs w:val="21"/>
        </w:rPr>
        <w:t xml:space="preserve">, so a deliberately incomplete privileged draft can always be produced.</w:t>
      </w:r>
    </w:p>
    <w:p>
      <w:r>
        <w:br w:type="page"/>
      </w:r>
    </w:p>
    <w:p>
      <w:pPr>
        <w:pStyle w:val="Heading1"/>
        <w:spacing w:after="140" w:before="340"/>
      </w:pPr>
      <w:r>
        <w:rPr>
          <w:b/>
          <w:bCs/>
          <w:color w:val="3D1A6E"/>
          <w:sz w:val="30"/>
          <w:szCs w:val="30"/>
        </w:rPr>
        <w:t xml:space="preserve">6. Process for Instructing-Party-Specific Requirements</w:t>
      </w:r>
    </w:p>
    <w:p>
      <w:pPr>
        <w:spacing w:after="120" w:line="276"/>
        <w:jc w:val="both"/>
      </w:pPr>
      <w:r>
        <w:rPr>
          <w:color w:val="222222"/>
          <w:sz w:val="21"/>
          <w:szCs w:val="21"/>
        </w:rPr>
        <w:t xml:space="preserve">The most frequently raised concern is whether a single format can serve the full range of P&amp;I instructing parties, given that each maintains its own requirements. The answer proposed here is not a universal format but a structured process that converts bespoke requirements into reusable configuration.</w:t>
      </w:r>
    </w:p>
    <w:p>
      <w:pPr>
        <w:pStyle w:val="Heading2"/>
        <w:spacing w:after="100" w:before="240"/>
      </w:pPr>
      <w:r>
        <w:rPr>
          <w:b/>
          <w:bCs/>
          <w:color w:val="6A3D9A"/>
          <w:sz w:val="25"/>
          <w:szCs w:val="25"/>
        </w:rPr>
        <w:t xml:space="preserve">6.1 Intake Questionnaire</w:t>
      </w:r>
    </w:p>
    <w:p>
      <w:pPr>
        <w:spacing w:after="120" w:line="276"/>
        <w:jc w:val="both"/>
      </w:pPr>
      <w:r>
        <w:rPr>
          <w:color w:val="222222"/>
          <w:sz w:val="21"/>
          <w:szCs w:val="21"/>
        </w:rPr>
        <w:t xml:space="preserve">When a P&amp;I or legal matter is opened, a short five-question intake captures the metadata that drives section and clause selection:</w:t>
      </w:r>
    </w:p>
    <w:p>
      <w:pPr>
        <w:pStyle w:val="ListParagraph"/>
        <w:numPr>
          <w:ilvl w:val="0"/>
          <w:numId w:val="4"/>
        </w:numPr>
        <w:spacing w:after="80" w:line="270"/>
      </w:pPr>
      <w:r>
        <w:rPr>
          <w:color w:val="222222"/>
          <w:sz w:val="21"/>
          <w:szCs w:val="21"/>
        </w:rPr>
        <w:t xml:space="preserve">Instructing-party type — association, legal representative, or owner direct.</w:t>
      </w:r>
    </w:p>
    <w:p>
      <w:pPr>
        <w:pStyle w:val="ListParagraph"/>
        <w:numPr>
          <w:ilvl w:val="0"/>
          <w:numId w:val="4"/>
        </w:numPr>
        <w:spacing w:after="80" w:line="270"/>
      </w:pPr>
      <w:r>
        <w:rPr>
          <w:color w:val="222222"/>
          <w:sz w:val="21"/>
          <w:szCs w:val="21"/>
        </w:rPr>
        <w:t xml:space="preserve">Is litigation live or anticipated? — yes / no.</w:t>
      </w:r>
    </w:p>
    <w:p>
      <w:pPr>
        <w:pStyle w:val="ListParagraph"/>
        <w:numPr>
          <w:ilvl w:val="0"/>
          <w:numId w:val="4"/>
        </w:numPr>
        <w:spacing w:after="80" w:line="270"/>
      </w:pPr>
      <w:r>
        <w:rPr>
          <w:color w:val="222222"/>
          <w:sz w:val="21"/>
          <w:szCs w:val="21"/>
        </w:rPr>
        <w:t xml:space="preserve">Is privilege required? — yes / no.</w:t>
      </w:r>
    </w:p>
    <w:p>
      <w:pPr>
        <w:pStyle w:val="ListParagraph"/>
        <w:numPr>
          <w:ilvl w:val="0"/>
          <w:numId w:val="4"/>
        </w:numPr>
        <w:spacing w:after="80" w:line="270"/>
      </w:pPr>
      <w:r>
        <w:rPr>
          <w:color w:val="222222"/>
          <w:sz w:val="21"/>
          <w:szCs w:val="21"/>
        </w:rPr>
        <w:t xml:space="preserve">Deliverable expected — draft only / preliminary / expert report.</w:t>
      </w:r>
    </w:p>
    <w:p>
      <w:pPr>
        <w:pStyle w:val="ListParagraph"/>
        <w:numPr>
          <w:ilvl w:val="0"/>
          <w:numId w:val="4"/>
        </w:numPr>
        <w:spacing w:after="80" w:line="270"/>
      </w:pPr>
      <w:r>
        <w:rPr>
          <w:color w:val="222222"/>
          <w:sz w:val="21"/>
          <w:szCs w:val="21"/>
        </w:rPr>
        <w:t xml:space="preserve">Named house format, if any.</w:t>
      </w:r>
    </w:p>
    <w:p>
      <w:pPr>
        <w:spacing w:after="120" w:line="276"/>
        <w:jc w:val="both"/>
      </w:pPr>
      <w:r>
        <w:rPr>
          <w:color w:val="222222"/>
          <w:sz w:val="21"/>
          <w:szCs w:val="21"/>
        </w:rPr>
        <w:t xml:space="preserve">These five answers select the matter-type profile, the active section set and the clause profile automatically, turning 'every instructing party wants something different' into structured, repeatable metadata.</w:t>
      </w:r>
    </w:p>
    <w:p>
      <w:pPr>
        <w:pStyle w:val="Heading2"/>
        <w:spacing w:after="100" w:before="240"/>
      </w:pPr>
      <w:r>
        <w:rPr>
          <w:b/>
          <w:bCs/>
          <w:color w:val="6A3D9A"/>
          <w:sz w:val="25"/>
          <w:szCs w:val="25"/>
        </w:rPr>
        <w:t xml:space="preserve">6.2 Per-Instructing-Party Format Profiles</w:t>
      </w:r>
    </w:p>
    <w:p>
      <w:pPr>
        <w:spacing w:after="120" w:line="276"/>
        <w:jc w:val="both"/>
      </w:pPr>
      <w:r>
        <w:rPr>
          <w:color w:val="222222"/>
          <w:sz w:val="21"/>
          <w:szCs w:val="21"/>
        </w:rPr>
        <w:t xml:space="preserve">The existing multi-format mechanism is extended so that an instructing legal representative or association can itself be saved as a format profile — its preferred banners, clauses, section order and privilege language. The first matter for a given instructing party builds that party's profile; every subsequent matter reuses it. Over time the platform accumulates a library of how each party prefers its reports, which is both an efficiency gain and a defensible competitive advantage. This directly answers the feasibility question: a suitable format is feasible not as one universal template but as an accumulating set of reusable party profiles.</w:t>
      </w:r>
    </w:p>
    <w:p>
      <w:pPr>
        <w:pStyle w:val="Heading2"/>
        <w:spacing w:after="100" w:before="240"/>
      </w:pPr>
      <w:r>
        <w:rPr>
          <w:b/>
          <w:bCs/>
          <w:color w:val="6A3D9A"/>
          <w:sz w:val="25"/>
          <w:szCs w:val="25"/>
        </w:rPr>
        <w:t xml:space="preserve">6.3 Section Toggles Rather Than New Report Types</w:t>
      </w:r>
    </w:p>
    <w:p>
      <w:pPr>
        <w:spacing w:after="120" w:line="276"/>
        <w:jc w:val="both"/>
      </w:pPr>
      <w:r>
        <w:rPr>
          <w:color w:val="222222"/>
          <w:sz w:val="21"/>
          <w:szCs w:val="21"/>
        </w:rPr>
        <w:t xml:space="preserve">Any unusual request — for example, a chronology annexure but no cost table — is handled by toggling sections and clauses within the case. Where genuinely novel wording is required, one clause-library row and, at most, one section template are added. Both are additive and require no code release.</w:t>
      </w:r>
    </w:p>
    <w:p>
      <w:pPr>
        <w:pStyle w:val="Heading2"/>
        <w:spacing w:after="100" w:before="240"/>
      </w:pPr>
      <w:r>
        <w:rPr>
          <w:b/>
          <w:bCs/>
          <w:color w:val="6A3D9A"/>
          <w:sz w:val="25"/>
          <w:szCs w:val="25"/>
        </w:rPr>
        <w:t xml:space="preserve">6.4 Freeform Escape Hatch</w:t>
      </w:r>
    </w:p>
    <w:p>
      <w:pPr>
        <w:spacing w:after="120" w:line="276"/>
        <w:jc w:val="both"/>
      </w:pPr>
      <w:r>
        <w:rPr>
          <w:color w:val="222222"/>
          <w:sz w:val="21"/>
          <w:szCs w:val="21"/>
        </w:rPr>
        <w:t xml:space="preserve">For a genuinely bespoke one-off, the module offers a minimal skeleton — identity, instructions, body and waiver, with all other sections inactive — allowing a report to be built to an ad-hoc specification without working against the template.</w:t>
      </w:r>
    </w:p>
    <w:p>
      <w:r>
        <w:br w:type="page"/>
      </w:r>
    </w:p>
    <w:p>
      <w:pPr>
        <w:pStyle w:val="Heading1"/>
        <w:spacing w:after="140" w:before="340"/>
      </w:pPr>
      <w:r>
        <w:rPr>
          <w:b/>
          <w:bCs/>
          <w:color w:val="3D1A6E"/>
          <w:sz w:val="30"/>
          <w:szCs w:val="30"/>
        </w:rPr>
        <w:t xml:space="preserve">8. Standards &amp; Best-Practice Alignment</w:t>
      </w:r>
    </w:p>
    <w:p>
      <w:pPr>
        <w:spacing w:after="120" w:line="276"/>
        <w:jc w:val="both"/>
      </w:pPr>
      <w:r>
        <w:rPr>
          <w:color w:val="222222"/>
          <w:sz w:val="21"/>
          <w:szCs w:val="21"/>
        </w:rPr>
        <w:t xml:space="preserve">The standards cited on the cover were reviewed against the current published sources. This section records what that review found and the best-practice refinements it produces. Three bodies of guidance are directly relevant: the Federal Court's practice-note framework (which governs any report that may become expert evidence), International Group P&amp;I market conventions (which govern confidentiality and instructing-party handling), and marine-surveying professional-body guidance (which governs the report as a professional product).</w:t>
      </w:r>
    </w:p>
    <w:p>
      <w:pPr>
        <w:pStyle w:val="Heading2"/>
        <w:spacing w:after="100" w:before="240"/>
      </w:pPr>
      <w:r>
        <w:rPr>
          <w:b/>
          <w:bCs/>
          <w:color w:val="6A3D9A"/>
          <w:sz w:val="25"/>
          <w:szCs w:val="25"/>
        </w:rPr>
        <w:t xml:space="preserve">8.1 Federal Court framework — GPN-AI does not stand alone</w:t>
      </w:r>
    </w:p>
    <w:p>
      <w:pPr>
        <w:spacing w:after="120" w:line="276"/>
        <w:jc w:val="both"/>
      </w:pPr>
      <w:r>
        <w:rPr>
          <w:color w:val="222222"/>
          <w:sz w:val="21"/>
          <w:szCs w:val="21"/>
        </w:rPr>
        <w:t xml:space="preserve">The most consequential finding is that GPN-AI is not self-contained. Clause 4.9 routes expert obligations to the </w:t>
      </w:r>
      <w:r>
        <w:rPr>
          <w:b/>
          <w:bCs/>
          <w:color w:val="222222"/>
          <w:sz w:val="21"/>
          <w:szCs w:val="21"/>
        </w:rPr>
        <w:t xml:space="preserve">Expert Evidence Practice Note (GPN-EXPT)</w:t>
      </w:r>
      <w:r>
        <w:rPr>
          <w:color w:val="222222"/>
          <w:sz w:val="21"/>
          <w:szCs w:val="21"/>
        </w:rPr>
        <w:t xml:space="preserve"> and its </w:t>
      </w:r>
      <w:r>
        <w:rPr>
          <w:b/>
          <w:bCs/>
          <w:color w:val="222222"/>
          <w:sz w:val="21"/>
          <w:szCs w:val="21"/>
        </w:rPr>
        <w:t xml:space="preserve">Harmonised Expert Witness Code of Conduct</w:t>
      </w:r>
      <w:r>
        <w:rPr>
          <w:color w:val="222222"/>
          <w:sz w:val="21"/>
          <w:szCs w:val="21"/>
        </w:rPr>
        <w:t xml:space="preserve">. When an expert provides a report as evidence, the report must contain that expert's own opinion and process of reasoning, and clause 3 of the Code prescribes the mandatory contents of the report. Those contents map almost one-to-one onto the new sections proposed in Section 4 — which means the expert/litigation matter type can be presented as demonstrably Code-aligned rather than merely 'thorough'.</w:t>
      </w:r>
    </w:p>
    <w:p>
      <w:pPr>
        <w:spacing w:after="50"/>
      </w:pPr>
      <w:r>
        <w:t xml:space="preserve"/>
      </w:r>
    </w:p>
    <w:p>
      <w:pPr>
        <w:spacing w:after="120" w:line="276"/>
        <w:jc w:val="both"/>
      </w:pPr>
      <w:r>
        <w:rPr>
          <w:b/>
          <w:bCs/>
          <w:color w:val="3D1A6E"/>
          <w:sz w:val="21"/>
          <w:szCs w:val="21"/>
        </w:rPr>
        <w:t xml:space="preserve">Mapping of Harmonised Code clause 3 requirements to module sections:</w:t>
      </w:r>
    </w:p>
    <w:p>
      <w:pPr>
        <w:spacing w:after="40"/>
      </w:pPr>
      <w:r>
        <w:t xml:space="preserve"/>
      </w:r>
    </w:p>
    <w:tbl>
      <w:tblPr>
        <w:tblW w:type="dxa" w:w="8926"/>
        <w:tblBorders>
          <w:top w:val="single" w:color="B9A9D6" w:sz="4"/>
          <w:left w:val="single" w:color="B9A9D6" w:sz="4"/>
          <w:bottom w:val="single" w:color="B9A9D6" w:sz="4"/>
          <w:right w:val="single" w:color="B9A9D6" w:sz="4"/>
          <w:insideH w:val="single" w:color="B9A9D6" w:sz="4"/>
          <w:insideV w:val="single" w:color="B9A9D6" w:sz="4"/>
        </w:tblBorders>
      </w:tblPr>
      <w:tblGrid>
        <w:gridCol w:w="4050"/>
        <w:gridCol w:w="3050"/>
        <w:gridCol w:w="1826"/>
      </w:tblGrid>
      <w:tr>
        <w:trPr>
          <w:tblHeader/>
        </w:trPr>
        <w:tc>
          <w:tcPr>
            <w:tcW w:type="dxa" w:w="40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Harmonised Code cl.3 requirement</w:t>
            </w:r>
          </w:p>
        </w:tc>
        <w:tc>
          <w:tcPr>
            <w:tcW w:type="dxa" w:w="30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Module section (Section 4)</w:t>
            </w:r>
          </w:p>
        </w:tc>
        <w:tc>
          <w:tcPr>
            <w:tcW w:type="dxa" w:w="182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Status</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(a) Name and address of the expert</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4.1 Expert CV block</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(b) Acknowledgment expert has read and is bound by the Code</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4.2 Disclosure / declarations</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Add clause</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(c) Qualifications of the expert</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4.1 Expert CV block</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(d) Assumptions and material facts each opinion is based on</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4.3 Facts relied upon; 4.4 Opinion</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(e) Reasons for opinion; literature/materials relied on</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4.4 Opinion / conclusions</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(f) Where a matter falls outside the expert's expertise</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4.4 Opinion (qualifier)</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Add field</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(g) Tests/investigations relied on and who carried them out</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4.3 Facts relied upon</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(h) Extent an opinion relies on another person's opinion</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4.4 Opinion (attribution)</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Add field</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(i) Declaration: all inquiries made, nothing material withheld</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4.2 Declarations</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 add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(j) Any qualifications on an opinion</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4.4 Opinion (qualifier)</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Add field</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(k) Whether an opinion is not concluded (insufficient data)</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4.4 Opinion (qualifier)</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 add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(l) Brief summary at the start where report is lengthy</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Report builder (summary block)</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Covered</w:t>
            </w:r>
          </w:p>
        </w:tc>
      </w:tr>
      <w:tr>
        <w:trPr>
          <w:tblHeader w:val="false"/>
        </w:trPr>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Questions the expert was asked to address (GPN-EXPT 5.2(b))</w:t>
            </w:r>
          </w:p>
        </w:tc>
        <w:tc>
          <w:tcPr>
            <w:tcW w:type="dxa" w:w="3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structured field</w:t>
            </w:r>
          </w:p>
        </w:tc>
        <w:tc>
          <w:tcPr>
            <w:tcW w:type="dxa" w:w="18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 add</w:t>
            </w:r>
          </w:p>
        </w:tc>
      </w:tr>
      <w:tr>
        <w:trPr>
          <w:tblHeader w:val="false"/>
        </w:trPr>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Instructions + materials annexed (GPN-EXPT 5.2(c))</w:t>
            </w:r>
          </w:p>
        </w:tc>
        <w:tc>
          <w:tcPr>
            <w:tcW w:type="dxa" w:w="3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Instructions annexure (from vault)</w:t>
            </w:r>
          </w:p>
        </w:tc>
        <w:tc>
          <w:tcPr>
            <w:tcW w:type="dxa" w:w="18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 add</w:t>
            </w:r>
          </w:p>
        </w:tc>
      </w:tr>
    </w:tbl>
    <w:p>
      <w:pPr>
        <w:spacing w:after="80"/>
      </w:pPr>
      <w:r>
        <w:t xml:space="preserve"/>
      </w:r>
    </w:p>
    <w:p>
      <w:pPr>
        <w:spacing w:after="120" w:line="276"/>
        <w:jc w:val="both"/>
      </w:pPr>
      <w:r>
        <w:rPr>
          <w:color w:val="222222"/>
          <w:sz w:val="21"/>
          <w:szCs w:val="21"/>
        </w:rPr>
        <w:t xml:space="preserve">The review therefore adds a small number of items not in the original Section 4 list: an acknowledgment-and-bound-by-Code clause, an 'all inquiries made / nothing withheld' declaration, an 'opinion not concluded for want of data' qualifier, a 'questions I was asked to address' field, and an auto-generated instructions annexure. All are additive clause-library or field additions, consistent with the extend-not-fork principle.</w:t>
      </w:r>
    </w:p>
    <w:p>
      <w:pPr>
        <w:pStyle w:val="Heading2"/>
        <w:spacing w:after="100" w:before="240"/>
      </w:pPr>
      <w:r>
        <w:rPr>
          <w:b/>
          <w:bCs/>
          <w:color w:val="6A3D9A"/>
          <w:sz w:val="25"/>
          <w:szCs w:val="25"/>
        </w:rPr>
        <w:t xml:space="preserve">8.2 GPN-AI — precise disclosure and confidentiality requirements</w:t>
      </w:r>
    </w:p>
    <w:p>
      <w:pPr>
        <w:spacing w:after="120" w:line="276"/>
        <w:jc w:val="both"/>
      </w:pPr>
      <w:r>
        <w:rPr>
          <w:color w:val="222222"/>
          <w:sz w:val="21"/>
          <w:szCs w:val="21"/>
        </w:rPr>
        <w:t xml:space="preserve">The full text of GPN-AI (16 April 2026) yields three concrete refinements to the legal layer in Section 5:</w:t>
      </w:r>
    </w:p>
    <w:p>
      <w:pPr>
        <w:pStyle w:val="ListParagraph"/>
        <w:numPr>
          <w:ilvl w:val="0"/>
          <w:numId w:val="3"/>
        </w:numPr>
        <w:spacing w:after="70" w:line="270"/>
      </w:pPr>
      <w:r>
        <w:rPr>
          <w:b/>
          <w:bCs/>
          <w:color w:val="222222"/>
          <w:sz w:val="21"/>
          <w:szCs w:val="21"/>
        </w:rPr>
        <w:t xml:space="preserve">Front-of-document disclosure. </w:t>
      </w:r>
      <w:r>
        <w:rPr>
          <w:color w:val="222222"/>
          <w:sz w:val="21"/>
          <w:szCs w:val="21"/>
        </w:rPr>
        <w:t xml:space="preserve">GPN-AI requires that disclosure appear in the body of the document, at the start, stating as concisely as possible where and how Generative AI was used. The rear Annexure I satisfies the audit-trail purpose, but the primary disclosure must be a short front-of-document paragraph. The module should generate both.</w:t>
      </w:r>
    </w:p>
    <w:p>
      <w:pPr>
        <w:pStyle w:val="ListParagraph"/>
        <w:numPr>
          <w:ilvl w:val="0"/>
          <w:numId w:val="3"/>
        </w:numPr>
        <w:spacing w:after="70" w:line="270"/>
      </w:pPr>
      <w:r>
        <w:rPr>
          <w:b/>
          <w:bCs/>
          <w:color w:val="222222"/>
          <w:sz w:val="21"/>
          <w:szCs w:val="21"/>
        </w:rPr>
        <w:t xml:space="preserve">Disclosure trigger is squarely engaged. </w:t>
      </w:r>
      <w:r>
        <w:rPr>
          <w:color w:val="222222"/>
          <w:sz w:val="21"/>
          <w:szCs w:val="21"/>
        </w:rPr>
        <w:t xml:space="preserve">Disclosure is required where AI summarises or analyses information a witness relies on to state a fact or express an opinion, or in any manner that might affect admissibility. The platform's opinion-drafting and document-extraction features fall directly within this trigger, so disclosure is mandatory, not optional, for the expert matter type.</w:t>
      </w:r>
    </w:p>
    <w:p>
      <w:pPr>
        <w:pStyle w:val="ListParagraph"/>
        <w:numPr>
          <w:ilvl w:val="0"/>
          <w:numId w:val="3"/>
        </w:numPr>
        <w:spacing w:after="70" w:line="270"/>
      </w:pPr>
      <w:r>
        <w:rPr>
          <w:b/>
          <w:bCs/>
          <w:color w:val="222222"/>
          <w:sz w:val="21"/>
          <w:szCs w:val="21"/>
        </w:rPr>
        <w:t xml:space="preserve">Closed-environment processing is a compliance asset — with a caveat. </w:t>
      </w:r>
      <w:r>
        <w:rPr>
          <w:color w:val="222222"/>
          <w:sz w:val="21"/>
          <w:szCs w:val="21"/>
        </w:rPr>
        <w:t xml:space="preserve">GPN-AI signals that the risk of inadvertent disclosure may be lower for tools operating in closed or controlled environments, and expects users of closed-AI tools to preserve the confidentiality of compulsorily obtained information with rigour. The platform's on-device and controlled processing should be stated as a compliance feature. The caveat: outputs must not be reused across matters, as that may breach the implied undertaking — so per-matter data isolation is a legal requirement, not only a product nicety.</w:t>
      </w:r>
    </w:p>
    <w:p>
      <w:pPr>
        <w:pStyle w:val="Heading2"/>
        <w:spacing w:after="100" w:before="240"/>
      </w:pPr>
      <w:r>
        <w:rPr>
          <w:b/>
          <w:bCs/>
          <w:color w:val="6A3D9A"/>
          <w:sz w:val="25"/>
          <w:szCs w:val="25"/>
        </w:rPr>
        <w:t xml:space="preserve">8.3 International Group P&amp;I conventions</w:t>
      </w:r>
    </w:p>
    <w:p>
      <w:pPr>
        <w:spacing w:after="120" w:line="276"/>
        <w:jc w:val="both"/>
      </w:pPr>
      <w:r>
        <w:rPr>
          <w:color w:val="222222"/>
          <w:sz w:val="21"/>
          <w:szCs w:val="21"/>
        </w:rPr>
        <w:t xml:space="preserve">Two market conventions should be encoded in the module rather than left to the surveyor's memory:</w:t>
      </w:r>
    </w:p>
    <w:p>
      <w:pPr>
        <w:pStyle w:val="ListParagraph"/>
        <w:numPr>
          <w:ilvl w:val="0"/>
          <w:numId w:val="3"/>
        </w:numPr>
        <w:spacing w:after="70" w:line="270"/>
      </w:pPr>
      <w:r>
        <w:rPr>
          <w:b/>
          <w:bCs/>
          <w:color w:val="222222"/>
          <w:sz w:val="21"/>
          <w:szCs w:val="21"/>
        </w:rPr>
        <w:t xml:space="preserve">Club-controlled disclosure. </w:t>
      </w:r>
      <w:r>
        <w:rPr>
          <w:color w:val="222222"/>
          <w:sz w:val="21"/>
          <w:szCs w:val="21"/>
        </w:rPr>
        <w:t xml:space="preserve">Under International Group condition-survey guidance, survey results should not be disclosed to third parties, and the report should not be forwarded to the Master or Owners' representative without the Club's express permission. The module should carry a distribution-control flag on P&amp;I matters, defaulting to Club-permission-required.</w:t>
      </w:r>
    </w:p>
    <w:p>
      <w:pPr>
        <w:pStyle w:val="ListParagraph"/>
        <w:numPr>
          <w:ilvl w:val="0"/>
          <w:numId w:val="3"/>
        </w:numPr>
        <w:spacing w:after="70" w:line="270"/>
      </w:pPr>
      <w:r>
        <w:rPr>
          <w:b/>
          <w:bCs/>
          <w:color w:val="222222"/>
          <w:sz w:val="21"/>
          <w:szCs w:val="21"/>
        </w:rPr>
        <w:t xml:space="preserve">Separation of neutral fact from opinion on fault. </w:t>
      </w:r>
      <w:r>
        <w:rPr>
          <w:color w:val="222222"/>
          <w:sz w:val="21"/>
          <w:szCs w:val="21"/>
        </w:rPr>
        <w:t xml:space="preserve">P&amp;I claims-response practice cautions surveyors against expressing opinions on fault, causation or liability in factual attendance work. This supports the design decision to keep a neutral 'cause consideration' section separate from a formal, reserved 'opinion' section that fires only in the expert matter type.</w:t>
      </w:r>
    </w:p>
    <w:p>
      <w:pPr>
        <w:pStyle w:val="Heading2"/>
        <w:spacing w:after="100" w:before="240"/>
      </w:pPr>
      <w:r>
        <w:rPr>
          <w:b/>
          <w:bCs/>
          <w:color w:val="6A3D9A"/>
          <w:sz w:val="25"/>
          <w:szCs w:val="25"/>
        </w:rPr>
        <w:t xml:space="preserve">8.4 Privilege — the design hinge is legally correct</w:t>
      </w:r>
    </w:p>
    <w:p>
      <w:pPr>
        <w:spacing w:after="120" w:line="276"/>
        <w:jc w:val="both"/>
      </w:pPr>
      <w:r>
        <w:rPr>
          <w:color w:val="222222"/>
          <w:sz w:val="21"/>
          <w:szCs w:val="21"/>
        </w:rPr>
        <w:t xml:space="preserve">Market privilege guidance confirms the intake design in Section 6. Litigation privilege turns on a dominant-purpose test: whether litigation has commenced or is reasonably in contemplation — a 'real likelihood' or litigation 'reasonably in prospect', not a mere possibility. It is irrelevant that proceedings may never eventuate. The intake question </w:t>
      </w:r>
      <w:r>
        <w:rPr>
          <w:i/>
          <w:iCs/>
          <w:color w:val="222222"/>
          <w:sz w:val="21"/>
          <w:szCs w:val="21"/>
        </w:rPr>
        <w:t xml:space="preserve">'litigation live or anticipated?'</w:t>
      </w:r>
      <w:r>
        <w:rPr>
          <w:color w:val="222222"/>
          <w:sz w:val="21"/>
          <w:szCs w:val="21"/>
        </w:rPr>
        <w:t xml:space="preserve"> is therefore the correct legal hinge for the privilege banner and the perpetual-draft behaviour, not an arbitrary flag. One operational risk worth surfacing in the correspondence module: a claims handler contacting the surveyor directly about a report, without the instructing lawyer copied, is a recognised way privilege is jeopardised — the module's correspondence register can help preserve the chain by recording who instructed and who is copied.</w:t>
      </w:r>
    </w:p>
    <w:p>
      <w:pPr>
        <w:pStyle w:val="Heading2"/>
        <w:spacing w:after="100" w:before="240"/>
      </w:pPr>
      <w:r>
        <w:rPr>
          <w:b/>
          <w:bCs/>
          <w:color w:val="6A3D9A"/>
          <w:sz w:val="25"/>
          <w:szCs w:val="25"/>
        </w:rPr>
        <w:t xml:space="preserve">8.5 Professional-body guidance (IIMS / IMarEST)</w:t>
      </w:r>
    </w:p>
    <w:p>
      <w:pPr>
        <w:spacing w:after="120" w:line="276"/>
        <w:jc w:val="both"/>
      </w:pPr>
      <w:r>
        <w:rPr>
          <w:color w:val="222222"/>
          <w:sz w:val="21"/>
          <w:szCs w:val="21"/>
        </w:rPr>
        <w:t xml:space="preserve">Marine-surveying professional guidance frames the report itself as the surveyor's core professional product and intellectual property, on which competence is judged and, if it goes wrong, defended in court. Professional-body report-writing guidance also stresses understanding each client's specific requirements and the different report layouts by survey type. This supports both the per-instructing-party profile approach (Section 6.2) and the discipline of a consistent, defensible house structure — and gives the module a professional-standards anchor beyond the court rules alone.</w:t>
      </w:r>
    </w:p>
    <w:p>
      <w:r>
        <w:br w:type="page"/>
      </w:r>
    </w:p>
    <w:p>
      <w:pPr>
        <w:pStyle w:val="Heading1"/>
        <w:spacing w:after="140" w:before="340"/>
      </w:pPr>
      <w:r>
        <w:rPr>
          <w:b/>
          <w:bCs/>
          <w:color w:val="3D1A6E"/>
          <w:sz w:val="30"/>
          <w:szCs w:val="30"/>
        </w:rPr>
        <w:t xml:space="preserve">9. Recommended Build Order</w:t>
      </w:r>
    </w:p>
    <w:p>
      <w:pPr>
        <w:spacing w:after="120" w:line="276"/>
        <w:jc w:val="both"/>
      </w:pPr>
      <w:r>
        <w:rPr>
          <w:color w:val="222222"/>
          <w:sz w:val="21"/>
          <w:szCs w:val="21"/>
        </w:rPr>
        <w:t xml:space="preserve">Ordered by leverage and effort. The first, second and sixth items are largely configuration on architecture that already exists — the strongest and most honest summary for any external presentation. Items 3 and 4 now also carry the GPN-EXPT / Harmonised Code alignment identified in Section 8.</w:t>
      </w:r>
    </w:p>
    <w:p>
      <w:pPr>
        <w:spacing w:after="40"/>
      </w:pPr>
      <w:r>
        <w:t xml:space="preserve"/>
      </w:r>
    </w:p>
    <w:tbl>
      <w:tblPr>
        <w:tblW w:type="dxa" w:w="8626"/>
        <w:tblBorders>
          <w:top w:val="single" w:color="B9A9D6" w:sz="4"/>
          <w:left w:val="single" w:color="B9A9D6" w:sz="4"/>
          <w:bottom w:val="single" w:color="B9A9D6" w:sz="4"/>
          <w:right w:val="single" w:color="B9A9D6" w:sz="4"/>
          <w:insideH w:val="single" w:color="B9A9D6" w:sz="4"/>
          <w:insideV w:val="single" w:color="B9A9D6" w:sz="4"/>
        </w:tblBorders>
      </w:tblPr>
      <w:tblGrid>
        <w:gridCol w:w="560"/>
        <w:gridCol w:w="4050"/>
        <w:gridCol w:w="2650"/>
        <w:gridCol w:w="1366"/>
      </w:tblGrid>
      <w:tr>
        <w:trPr>
          <w:tblHeader/>
        </w:trPr>
        <w:tc>
          <w:tcPr>
            <w:tcW w:type="dxa" w:w="56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w:t>
            </w:r>
          </w:p>
        </w:tc>
        <w:tc>
          <w:tcPr>
            <w:tcW w:type="dxa" w:w="40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Item</w:t>
            </w:r>
          </w:p>
        </w:tc>
        <w:tc>
          <w:tcPr>
            <w:tcW w:type="dxa" w:w="265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Nature</w:t>
            </w:r>
          </w:p>
        </w:tc>
        <w:tc>
          <w:tcPr>
            <w:tcW w:type="dxa" w:w="136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Effort</w:t>
            </w:r>
          </w:p>
        </w:tc>
      </w:tr>
      <w:tr>
        <w:trPr>
          <w:tblHeader w:val="false"/>
        </w:trPr>
        <w:tc>
          <w:tcPr>
            <w:tcW w:type="dxa" w:w="560"/>
            <w:tcMar>
              <w:top w:type="dxa" w:w="60"/>
              <w:left w:type="dxa" w:w="110"/>
              <w:bottom w:type="dxa" w:w="60"/>
              <w:right w:type="dxa" w:w="110"/>
            </w:tcMar>
            <w:vAlign w:val="center"/>
          </w:tcPr>
          <w:p>
            <w:pPr>
              <w:spacing w:after="0" w:line="250"/>
              <w:jc w:val="center"/>
            </w:pPr>
            <w:r>
              <w:rPr>
                <w:b/>
                <w:bCs/>
                <w:color w:val="222222"/>
                <w:sz w:val="19"/>
                <w:szCs w:val="19"/>
              </w:rPr>
              <w:t xml:space="preserve">1</w:t>
            </w:r>
          </w:p>
        </w:tc>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Matter-type profiles</w:t>
            </w:r>
          </w:p>
        </w:tc>
        <w:tc>
          <w:tcPr>
            <w:tcW w:type="dxa" w:w="26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Configuration on existing format/clause architecture</w:t>
            </w:r>
          </w:p>
        </w:tc>
        <w:tc>
          <w:tcPr>
            <w:tcW w:type="dxa" w:w="1366"/>
            <w:tcMar>
              <w:top w:type="dxa" w:w="60"/>
              <w:left w:type="dxa" w:w="110"/>
              <w:bottom w:type="dxa" w:w="60"/>
              <w:right w:type="dxa" w:w="110"/>
            </w:tcMar>
            <w:vAlign w:val="center"/>
          </w:tcPr>
          <w:p>
            <w:pPr>
              <w:spacing w:after="0" w:line="250"/>
              <w:jc w:val="left"/>
            </w:pPr>
            <w:r>
              <w:rPr>
                <w:b w:val="false"/>
                <w:bCs w:val="false"/>
                <w:color w:val="222222"/>
                <w:sz w:val="19"/>
                <w:szCs w:val="19"/>
              </w:rPr>
              <w:t xml:space="preserve">Low</w:t>
            </w:r>
          </w:p>
        </w:tc>
      </w:tr>
      <w:tr>
        <w:trPr>
          <w:tblHeader w:val="false"/>
        </w:trPr>
        <w:tc>
          <w:tcPr>
            <w:tcW w:type="dxa" w:w="560"/>
            <w:shd w:fill="F0ECF7" w:color="auto" w:val="clear"/>
            <w:tcMar>
              <w:top w:type="dxa" w:w="60"/>
              <w:left w:type="dxa" w:w="110"/>
              <w:bottom w:type="dxa" w:w="60"/>
              <w:right w:type="dxa" w:w="110"/>
            </w:tcMar>
            <w:vAlign w:val="center"/>
          </w:tcPr>
          <w:p>
            <w:pPr>
              <w:spacing w:after="0" w:line="250"/>
              <w:jc w:val="center"/>
            </w:pPr>
            <w:r>
              <w:rPr>
                <w:b/>
                <w:bCs/>
                <w:color w:val="222222"/>
                <w:sz w:val="19"/>
                <w:szCs w:val="19"/>
              </w:rPr>
              <w:t xml:space="preserve">2</w:t>
            </w:r>
          </w:p>
        </w:tc>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Litigation export behaviour (invert gate, draft stamp, privilege banners)</w:t>
            </w:r>
          </w:p>
        </w:tc>
        <w:tc>
          <w:tcPr>
            <w:tcW w:type="dxa" w:w="26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Small pipeline change + clause entries</w:t>
            </w:r>
          </w:p>
        </w:tc>
        <w:tc>
          <w:tcPr>
            <w:tcW w:type="dxa" w:w="136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Low</w:t>
            </w:r>
          </w:p>
        </w:tc>
      </w:tr>
      <w:tr>
        <w:trPr>
          <w:tblHeader w:val="false"/>
        </w:trPr>
        <w:tc>
          <w:tcPr>
            <w:tcW w:type="dxa" w:w="560"/>
            <w:tcMar>
              <w:top w:type="dxa" w:w="60"/>
              <w:left w:type="dxa" w:w="110"/>
              <w:bottom w:type="dxa" w:w="60"/>
              <w:right w:type="dxa" w:w="110"/>
            </w:tcMar>
            <w:vAlign w:val="center"/>
          </w:tcPr>
          <w:p>
            <w:pPr>
              <w:spacing w:after="0" w:line="250"/>
              <w:jc w:val="center"/>
            </w:pPr>
            <w:r>
              <w:rPr>
                <w:b/>
                <w:bCs/>
                <w:color w:val="222222"/>
                <w:sz w:val="19"/>
                <w:szCs w:val="19"/>
              </w:rPr>
              <w:t xml:space="preserve">3</w:t>
            </w:r>
          </w:p>
        </w:tc>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Expert CV + disclosure + facts-relied-upon sections</w:t>
            </w:r>
          </w:p>
        </w:tc>
        <w:tc>
          <w:tcPr>
            <w:tcW w:type="dxa" w:w="26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reusable sections, fed by profile &amp; document vault</w:t>
            </w:r>
          </w:p>
        </w:tc>
        <w:tc>
          <w:tcPr>
            <w:tcW w:type="dxa" w:w="1366"/>
            <w:tcMar>
              <w:top w:type="dxa" w:w="60"/>
              <w:left w:type="dxa" w:w="110"/>
              <w:bottom w:type="dxa" w:w="60"/>
              <w:right w:type="dxa" w:w="110"/>
            </w:tcMar>
            <w:vAlign w:val="center"/>
          </w:tcPr>
          <w:p>
            <w:pPr>
              <w:spacing w:after="0" w:line="250"/>
              <w:jc w:val="left"/>
            </w:pPr>
            <w:r>
              <w:rPr>
                <w:b w:val="false"/>
                <w:bCs w:val="false"/>
                <w:color w:val="222222"/>
                <w:sz w:val="19"/>
                <w:szCs w:val="19"/>
              </w:rPr>
              <w:t xml:space="preserve">Medium</w:t>
            </w:r>
          </w:p>
        </w:tc>
      </w:tr>
      <w:tr>
        <w:trPr>
          <w:tblHeader w:val="false"/>
        </w:trPr>
        <w:tc>
          <w:tcPr>
            <w:tcW w:type="dxa" w:w="560"/>
            <w:shd w:fill="F0ECF7" w:color="auto" w:val="clear"/>
            <w:tcMar>
              <w:top w:type="dxa" w:w="60"/>
              <w:left w:type="dxa" w:w="110"/>
              <w:bottom w:type="dxa" w:w="60"/>
              <w:right w:type="dxa" w:w="110"/>
            </w:tcMar>
            <w:vAlign w:val="center"/>
          </w:tcPr>
          <w:p>
            <w:pPr>
              <w:spacing w:after="0" w:line="250"/>
              <w:jc w:val="center"/>
            </w:pPr>
            <w:r>
              <w:rPr>
                <w:b/>
                <w:bCs/>
                <w:color w:val="222222"/>
                <w:sz w:val="19"/>
                <w:szCs w:val="19"/>
              </w:rPr>
              <w:t xml:space="preserve">4</w:t>
            </w:r>
          </w:p>
        </w:tc>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Opinion / conclusions section + tuned AI prompt</w:t>
            </w:r>
          </w:p>
        </w:tc>
        <w:tc>
          <w:tcPr>
            <w:tcW w:type="dxa" w:w="26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New section + AI prompt profile</w:t>
            </w:r>
          </w:p>
        </w:tc>
        <w:tc>
          <w:tcPr>
            <w:tcW w:type="dxa" w:w="136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Medium</w:t>
            </w:r>
          </w:p>
        </w:tc>
      </w:tr>
      <w:tr>
        <w:trPr>
          <w:tblHeader w:val="false"/>
        </w:trPr>
        <w:tc>
          <w:tcPr>
            <w:tcW w:type="dxa" w:w="560"/>
            <w:tcMar>
              <w:top w:type="dxa" w:w="60"/>
              <w:left w:type="dxa" w:w="110"/>
              <w:bottom w:type="dxa" w:w="60"/>
              <w:right w:type="dxa" w:w="110"/>
            </w:tcMar>
            <w:vAlign w:val="center"/>
          </w:tcPr>
          <w:p>
            <w:pPr>
              <w:spacing w:after="0" w:line="250"/>
              <w:jc w:val="center"/>
            </w:pPr>
            <w:r>
              <w:rPr>
                <w:b/>
                <w:bCs/>
                <w:color w:val="222222"/>
                <w:sz w:val="19"/>
                <w:szCs w:val="19"/>
              </w:rPr>
              <w:t xml:space="preserve">5</w:t>
            </w:r>
          </w:p>
        </w:tc>
        <w:tc>
          <w:tcPr>
            <w:tcW w:type="dxa" w:w="40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Interviews &amp; medical rendering into report</w:t>
            </w:r>
          </w:p>
        </w:tc>
        <w:tc>
          <w:tcPr>
            <w:tcW w:type="dxa" w:w="2650"/>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Report-builder wiring (Interviews already exists)</w:t>
            </w:r>
          </w:p>
        </w:tc>
        <w:tc>
          <w:tcPr>
            <w:tcW w:type="dxa" w:w="1366"/>
            <w:tcMar>
              <w:top w:type="dxa" w:w="60"/>
              <w:left w:type="dxa" w:w="110"/>
              <w:bottom w:type="dxa" w:w="60"/>
              <w:right w:type="dxa" w:w="110"/>
            </w:tcMar>
            <w:vAlign w:val="center"/>
          </w:tcPr>
          <w:p>
            <w:pPr>
              <w:spacing w:after="0" w:line="250"/>
              <w:jc w:val="left"/>
            </w:pPr>
            <w:r>
              <w:rPr>
                <w:b w:val="false"/>
                <w:bCs w:val="false"/>
                <w:color w:val="222222"/>
                <w:sz w:val="19"/>
                <w:szCs w:val="19"/>
              </w:rPr>
              <w:t xml:space="preserve">Low–Medium</w:t>
            </w:r>
          </w:p>
        </w:tc>
      </w:tr>
      <w:tr>
        <w:trPr>
          <w:tblHeader w:val="false"/>
        </w:trPr>
        <w:tc>
          <w:tcPr>
            <w:tcW w:type="dxa" w:w="560"/>
            <w:shd w:fill="F0ECF7" w:color="auto" w:val="clear"/>
            <w:tcMar>
              <w:top w:type="dxa" w:w="60"/>
              <w:left w:type="dxa" w:w="110"/>
              <w:bottom w:type="dxa" w:w="60"/>
              <w:right w:type="dxa" w:w="110"/>
            </w:tcMar>
            <w:vAlign w:val="center"/>
          </w:tcPr>
          <w:p>
            <w:pPr>
              <w:spacing w:after="0" w:line="250"/>
              <w:jc w:val="center"/>
            </w:pPr>
            <w:r>
              <w:rPr>
                <w:b/>
                <w:bCs/>
                <w:color w:val="222222"/>
                <w:sz w:val="19"/>
                <w:szCs w:val="19"/>
              </w:rPr>
              <w:t xml:space="preserve">6</w:t>
            </w:r>
          </w:p>
        </w:tc>
        <w:tc>
          <w:tcPr>
            <w:tcW w:type="dxa" w:w="40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Instructing-party / firm format profiles</w:t>
            </w:r>
          </w:p>
        </w:tc>
        <w:tc>
          <w:tcPr>
            <w:tcW w:type="dxa" w:w="2650"/>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Configuration; the process moat</w:t>
            </w:r>
          </w:p>
        </w:tc>
        <w:tc>
          <w:tcPr>
            <w:tcW w:type="dxa" w:w="136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Medium</w:t>
            </w:r>
          </w:p>
        </w:tc>
      </w:tr>
    </w:tbl>
    <w:p>
      <w:pPr>
        <w:spacing w:after="120"/>
      </w:pPr>
      <w:r>
        <w:t xml:space="preserve"/>
      </w:r>
    </w:p>
    <w:p>
      <w:pPr>
        <w:pStyle w:val="Heading2"/>
        <w:spacing w:after="100" w:before="240"/>
      </w:pPr>
      <w:r>
        <w:rPr>
          <w:b/>
          <w:bCs/>
          <w:color w:val="6A3D9A"/>
          <w:sz w:val="25"/>
          <w:szCs w:val="25"/>
        </w:rPr>
        <w:t xml:space="preserve">9.1 Summary</w:t>
      </w:r>
    </w:p>
    <w:p>
      <w:pPr>
        <w:spacing w:after="120" w:line="276"/>
        <w:jc w:val="both"/>
      </w:pPr>
      <w:r>
        <w:rPr>
          <w:color w:val="222222"/>
          <w:sz w:val="21"/>
          <w:szCs w:val="21"/>
        </w:rPr>
        <w:t xml:space="preserve">The P&amp;I module is achievable as a disciplined extension of the existing platform. Six new report sections (plus the small Harmonised-Code additions identified in Section 8), one legal/privilege layer and one configuration/process layer are sufficient to cover the observed range of P&amp;I and expert reporting, with the majority of the content and all of the compliance machinery reused unchanged. The perpetual-draft and privilege requirements — which make this class of work distinct — are met by inverting the export gate for litigation matters and treating a stamped draft as a legitimate terminal deliverable. Instructing-party variation is absorbed not by a universal template but by an accumulating library of reusable party profiles, driven by a short intake questionnaire. Where a report may become expert evidence, alignment with GPN-EXPT and the Harmonised Expert Witness Code of Conduct — and front-of-document AI disclosure under GPN-AI — makes the deliverable demonstrably compliant, not merely thorough.</w:t>
      </w:r>
    </w:p>
    <w:p>
      <w:r>
        <w:br w:type="page"/>
      </w:r>
    </w:p>
    <w:p>
      <w:pPr>
        <w:pStyle w:val="Heading1"/>
        <w:spacing w:after="140" w:before="340"/>
      </w:pPr>
      <w:r>
        <w:rPr>
          <w:b/>
          <w:bCs/>
          <w:color w:val="3D1A6E"/>
          <w:sz w:val="30"/>
          <w:szCs w:val="30"/>
        </w:rPr>
        <w:t xml:space="preserve">Appendix — Sources Reviewed</w:t>
      </w:r>
    </w:p>
    <w:p>
      <w:pPr>
        <w:spacing w:after="120" w:line="276"/>
        <w:jc w:val="both"/>
      </w:pPr>
      <w:r>
        <w:rPr>
          <w:color w:val="222222"/>
          <w:sz w:val="21"/>
          <w:szCs w:val="21"/>
        </w:rPr>
        <w:t xml:space="preserve">Primary and market sources consulted in preparing Section 8. Court practice notes are primary sources; the remainder are professional or market guidance.</w:t>
      </w:r>
    </w:p>
    <w:p>
      <w:pPr>
        <w:spacing w:after="40"/>
      </w:pPr>
      <w:r>
        <w:t xml:space="preserve"/>
      </w:r>
    </w:p>
    <w:tbl>
      <w:tblPr>
        <w:tblW w:type="dxa" w:w="8926"/>
        <w:tblBorders>
          <w:top w:val="single" w:color="B9A9D6" w:sz="4"/>
          <w:left w:val="single" w:color="B9A9D6" w:sz="4"/>
          <w:bottom w:val="single" w:color="B9A9D6" w:sz="4"/>
          <w:right w:val="single" w:color="B9A9D6" w:sz="4"/>
          <w:insideH w:val="single" w:color="B9A9D6" w:sz="4"/>
          <w:insideV w:val="single" w:color="B9A9D6" w:sz="4"/>
        </w:tblBorders>
      </w:tblPr>
      <w:tblGrid>
        <w:gridCol w:w="3400"/>
        <w:gridCol w:w="5526"/>
      </w:tblGrid>
      <w:tr>
        <w:trPr>
          <w:tblHeader/>
        </w:trPr>
        <w:tc>
          <w:tcPr>
            <w:tcW w:type="dxa" w:w="3400"/>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Source</w:t>
            </w:r>
          </w:p>
        </w:tc>
        <w:tc>
          <w:tcPr>
            <w:tcW w:type="dxa" w:w="5526"/>
            <w:shd w:fill="3D1A6E" w:color="auto" w:val="clear"/>
            <w:tcMar>
              <w:top w:type="dxa" w:w="60"/>
              <w:left w:type="dxa" w:w="110"/>
              <w:bottom w:type="dxa" w:w="60"/>
              <w:right w:type="dxa" w:w="110"/>
            </w:tcMar>
            <w:vAlign w:val="center"/>
          </w:tcPr>
          <w:p>
            <w:pPr>
              <w:spacing w:after="0" w:line="250"/>
              <w:jc w:val="left"/>
            </w:pPr>
            <w:r>
              <w:rPr>
                <w:b/>
                <w:bCs/>
                <w:color w:val="FFFFFF"/>
                <w:sz w:val="19"/>
                <w:szCs w:val="19"/>
              </w:rPr>
              <w:t xml:space="preserve">Relevance</w:t>
            </w:r>
          </w:p>
        </w:tc>
      </w:tr>
      <w:tr>
        <w:trPr>
          <w:tblHeader w:val="false"/>
        </w:trPr>
        <w:tc>
          <w:tcPr>
            <w:tcW w:type="dxa" w:w="3400"/>
            <w:tcMar>
              <w:top w:type="dxa" w:w="60"/>
              <w:left w:type="dxa" w:w="110"/>
              <w:bottom w:type="dxa" w:w="60"/>
              <w:right w:type="dxa" w:w="110"/>
            </w:tcMar>
            <w:vAlign w:val="center"/>
          </w:tcPr>
          <w:p>
            <w:pPr>
              <w:spacing w:after="0" w:line="250"/>
              <w:jc w:val="left"/>
            </w:pPr>
            <w:r>
              <w:rPr>
                <w:b/>
                <w:bCs/>
                <w:color w:val="3D1A6E"/>
                <w:sz w:val="19"/>
                <w:szCs w:val="19"/>
              </w:rPr>
              <w:t xml:space="preserve">Use of Generative Artificial Intelligence Practice Note (GPN-AI)</w:t>
            </w:r>
          </w:p>
        </w:tc>
        <w:tc>
          <w:tcPr>
            <w:tcW w:type="dxa" w:w="55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Federal Court of Australia, 16 April 2026. Primary source for AI disclosure obligations, front-of-document disclosure, and closed-environment/confidentiality guidance.</w:t>
            </w:r>
          </w:p>
        </w:tc>
      </w:tr>
      <w:tr>
        <w:trPr>
          <w:tblHeader w:val="false"/>
        </w:trPr>
        <w:tc>
          <w:tcPr>
            <w:tcW w:type="dxa" w:w="34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Expert Evidence Practice Note (GPN-EXPT) and Harmonised Expert Witness Code of Conduct</w:t>
            </w:r>
          </w:p>
        </w:tc>
        <w:tc>
          <w:tcPr>
            <w:tcW w:type="dxa" w:w="55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Federal Court of Australia (issued 25 October 2016). Primary source for mandatory expert-report contents (Code cl.3) and report requirements (GPN-EXPT 5.2).</w:t>
            </w:r>
          </w:p>
        </w:tc>
      </w:tr>
      <w:tr>
        <w:trPr>
          <w:tblHeader w:val="false"/>
        </w:trPr>
        <w:tc>
          <w:tcPr>
            <w:tcW w:type="dxa" w:w="3400"/>
            <w:tcMar>
              <w:top w:type="dxa" w:w="60"/>
              <w:left w:type="dxa" w:w="110"/>
              <w:bottom w:type="dxa" w:w="60"/>
              <w:right w:type="dxa" w:w="110"/>
            </w:tcMar>
            <w:vAlign w:val="center"/>
          </w:tcPr>
          <w:p>
            <w:pPr>
              <w:spacing w:after="0" w:line="250"/>
              <w:jc w:val="left"/>
            </w:pPr>
            <w:r>
              <w:rPr>
                <w:b/>
                <w:bCs/>
                <w:color w:val="3D1A6E"/>
                <w:sz w:val="19"/>
                <w:szCs w:val="19"/>
              </w:rPr>
              <w:t xml:space="preserve">International Group of P&amp;I Clubs — Ship Condition Survey guidance</w:t>
            </w:r>
          </w:p>
        </w:tc>
        <w:tc>
          <w:tcPr>
            <w:tcW w:type="dxa" w:w="55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Market guidance on confidentiality and Club-controlled distribution of survey reports.</w:t>
            </w:r>
          </w:p>
        </w:tc>
      </w:tr>
      <w:tr>
        <w:trPr>
          <w:tblHeader w:val="false"/>
        </w:trPr>
        <w:tc>
          <w:tcPr>
            <w:tcW w:type="dxa" w:w="34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Law of privilege as it relates to P&amp;I and Defence Clubs (HFW)</w:t>
            </w:r>
          </w:p>
        </w:tc>
        <w:tc>
          <w:tcPr>
            <w:tcW w:type="dxa" w:w="55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Market legal guidance on the dominant-purpose / 'reasonably in contemplation' test and threats to privilege in Club–surveyor correspondence.</w:t>
            </w:r>
          </w:p>
        </w:tc>
      </w:tr>
      <w:tr>
        <w:trPr>
          <w:tblHeader w:val="false"/>
        </w:trPr>
        <w:tc>
          <w:tcPr>
            <w:tcW w:type="dxa" w:w="3400"/>
            <w:tcMar>
              <w:top w:type="dxa" w:w="60"/>
              <w:left w:type="dxa" w:w="110"/>
              <w:bottom w:type="dxa" w:w="60"/>
              <w:right w:type="dxa" w:w="110"/>
            </w:tcMar>
            <w:vAlign w:val="center"/>
          </w:tcPr>
          <w:p>
            <w:pPr>
              <w:spacing w:after="0" w:line="250"/>
              <w:jc w:val="left"/>
            </w:pPr>
            <w:r>
              <w:rPr>
                <w:b/>
                <w:bCs/>
                <w:color w:val="3D1A6E"/>
                <w:sz w:val="19"/>
                <w:szCs w:val="19"/>
              </w:rPr>
              <w:t xml:space="preserve">P&amp;I claims-response practice guidance</w:t>
            </w:r>
          </w:p>
        </w:tc>
        <w:tc>
          <w:tcPr>
            <w:tcW w:type="dxa" w:w="5526"/>
            <w:tcMar>
              <w:top w:type="dxa" w:w="60"/>
              <w:left w:type="dxa" w:w="110"/>
              <w:bottom w:type="dxa" w:w="60"/>
              <w:right w:type="dxa" w:w="110"/>
            </w:tcMar>
            <w:vAlign w:val="center"/>
          </w:tcPr>
          <w:p>
            <w:pPr>
              <w:spacing w:after="0" w:line="250"/>
              <w:jc w:val="left"/>
            </w:pPr>
            <w:r>
              <w:rPr>
                <w:b w:val="false"/>
                <w:bCs w:val="false"/>
                <w:color w:val="222222"/>
                <w:sz w:val="19"/>
                <w:szCs w:val="19"/>
              </w:rPr>
              <w:t xml:space="preserve">Market guidance on separating neutral factual attendance from opinions on fault, causation and liability.</w:t>
            </w:r>
          </w:p>
        </w:tc>
      </w:tr>
      <w:tr>
        <w:trPr>
          <w:tblHeader w:val="false"/>
        </w:trPr>
        <w:tc>
          <w:tcPr>
            <w:tcW w:type="dxa" w:w="3400"/>
            <w:shd w:fill="F0ECF7" w:color="auto" w:val="clear"/>
            <w:tcMar>
              <w:top w:type="dxa" w:w="60"/>
              <w:left w:type="dxa" w:w="110"/>
              <w:bottom w:type="dxa" w:w="60"/>
              <w:right w:type="dxa" w:w="110"/>
            </w:tcMar>
            <w:vAlign w:val="center"/>
          </w:tcPr>
          <w:p>
            <w:pPr>
              <w:spacing w:after="0" w:line="250"/>
              <w:jc w:val="left"/>
            </w:pPr>
            <w:r>
              <w:rPr>
                <w:b/>
                <w:bCs/>
                <w:color w:val="3D1A6E"/>
                <w:sz w:val="19"/>
                <w:szCs w:val="19"/>
              </w:rPr>
              <w:t xml:space="preserve">IIMS report-writing guidance and IMarEST professional standards</w:t>
            </w:r>
          </w:p>
        </w:tc>
        <w:tc>
          <w:tcPr>
            <w:tcW w:type="dxa" w:w="5526"/>
            <w:shd w:fill="F0ECF7"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Professional-body guidance framing the report as the surveyor's core product and the need to understand each client's requirements.</w:t>
            </w:r>
          </w:p>
        </w:tc>
      </w:tr>
    </w:tbl>
    <w:p>
      <w:pPr>
        <w:spacing w:after="80"/>
      </w:pPr>
      <w:r>
        <w:t xml:space="preserve"/>
      </w:r>
    </w:p>
    <w:p>
      <w:pPr>
        <w:spacing w:after="120" w:line="276"/>
        <w:jc w:val="both"/>
      </w:pPr>
      <w:r>
        <w:rPr>
          <w:b/>
          <w:bCs/>
          <w:color w:val="222222"/>
          <w:sz w:val="21"/>
          <w:szCs w:val="21"/>
        </w:rPr>
        <w:t xml:space="preserve">Note on currency: </w:t>
      </w:r>
      <w:r>
        <w:rPr>
          <w:i/>
          <w:iCs/>
          <w:color w:val="222222"/>
          <w:sz w:val="21"/>
          <w:szCs w:val="21"/>
        </w:rPr>
        <w:t xml:space="preserve">court practice notes were confirmed against the Federal Court website as at July 2026. GPN-AI is subject to periodic review by the Court; the module's clause library should be re-checked against the then-current practice notes before each release.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A9D6" w:sz="4"/>
      </w:pBdr>
      <w:spacing w:before="60"/>
      <w:jc w:val="center"/>
    </w:pPr>
    <w:r>
      <w:rPr>
        <w:color w:val="5A5A5A"/>
        <w:sz w:val="15"/>
        <w:szCs w:val="15"/>
      </w:rPr>
      <w:t xml:space="preserve">Confidential — Internal Working Document        Page </w:t>
    </w:r>
    <w:r>
      <w:rPr>
        <w:color w:val="5A5A5A"/>
        <w:sz w:val="15"/>
        <w:szCs w:val="15"/>
      </w:rPr>
      <w:fldChar w:fldCharType="begin"/>
      <w:instrText xml:space="preserve">PAGE</w:instrText>
      <w:fldChar w:fldCharType="separate"/>
      <w:fldChar w:fldCharType="end"/>
    </w:r>
    <w:r>
      <w:rPr>
        <w:color w:val="5A5A5A"/>
        <w:sz w:val="15"/>
        <w:szCs w:val="15"/>
      </w:rPr>
      <w:t xml:space="preserve"> of </w:t>
    </w:r>
    <w:r>
      <w:rPr>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A9D6" w:sz="4"/>
      </w:pBdr>
      <w:spacing w:after="60"/>
      <w:jc w:val="right"/>
    </w:pPr>
    <w:r>
      <w:rPr>
        <w:color w:val="5A5A5A"/>
        <w:sz w:val="15"/>
        <w:szCs w:val="15"/>
      </w:rPr>
      <w:t xml:space="preserve">P&amp;I Survey Module —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A3D9A"/>
      </w:rPr>
    </w:lvl>
  </w:abstractNum>
  <w:abstractNum w:abstractNumId="3" w15:restartNumberingAfterBreak="0">
    <w:multiLevelType w:val="hybridMultilevel"/>
    <w:lvl w:ilvl="0" w15:tentative="1">
      <w:start w:val="1"/>
      <w:numFmt w:val="bullet"/>
      <w:lvlText w:val="•"/>
      <w:lvlJc w:val="left"/>
      <w:pPr>
        <w:ind w:left="360" w:hanging="240"/>
      </w:pPr>
      <w:rPr>
        <w:color w:val="3D1A6E"/>
      </w:r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Calibri" w:cs="Calibri" w:eastAsia="Calibri" w:hAnsi="Calibri"/>
      <w:b/>
      <w:bCs/>
      <w:color w:val="3D1A6E"/>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6A3D9A"/>
      <w:sz w:val="25"/>
      <w:szCs w:val="25"/>
    </w:rPr>
  </w:style>
  <w:style w:type="paragraph" w:styleId="Heading3">
    <w:name w:val="Heading 3"/>
    <w:basedOn w:val="Normal"/>
    <w:next w:val="Normal"/>
    <w:qFormat/>
    <w:pPr>
      <w:spacing w:after="70" w:before="170"/>
      <w:outlineLvl w:val="2"/>
    </w:pPr>
    <w:rPr>
      <w:rFonts w:ascii="Calibri" w:cs="Calibri" w:eastAsia="Calibri" w:hAnsi="Calibri"/>
      <w:b/>
      <w:bCs/>
      <w:color w:val="3D1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ce3cd4b4c24a62a2b6de60af5391b68df4cd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P&amp;I Survey Module — Specification</dc:title>
  <dc:creator>Marine Survey Platform</dc:creator>
  <dc:description>Functional and technical specification (Oceanoservices template)</dc:description>
  <cp:lastModifiedBy>Un-named</cp:lastModifiedBy>
  <cp:revision>1</cp:revision>
  <dcterms:created xsi:type="dcterms:W3CDTF">2026-07-17T02:29:42.287Z</dcterms:created>
  <dcterms:modified xsi:type="dcterms:W3CDTF">2026-07-17T02:29:42.300Z</dcterms:modified>
</cp:coreProperties>
</file>

<file path=docProps/custom.xml><?xml version="1.0" encoding="utf-8"?>
<Properties xmlns="http://schemas.openxmlformats.org/officeDocument/2006/custom-properties" xmlns:vt="http://schemas.openxmlformats.org/officeDocument/2006/docPropsVTypes"/>
</file>