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pPr>
      <w:r>
        <w:rPr>
          <w:rFonts w:ascii="Calibri" w:cs="Calibri" w:eastAsia="Calibri" w:hAnsi="Calibri"/>
          <w:b/>
          <w:bCs/>
          <w:color w:val="2E5F8A"/>
          <w:spacing w:val="60"/>
          <w:sz w:val="26"/>
          <w:szCs w:val="26"/>
        </w:rPr>
        <w:t xml:space="preserve">MARINE SURVEY APP</w:t>
      </w:r>
    </w:p>
    <w:p>
      <w:pPr>
        <w:pBdr>
          <w:bottom w:val="single" w:color="1F3A5F" w:sz="12" w:space="8"/>
        </w:pBdr>
        <w:spacing w:after="200"/>
      </w:pPr>
      <w:r>
        <w:rPr>
          <w:rFonts w:ascii="Calibri" w:cs="Calibri" w:eastAsia="Calibri" w:hAnsi="Calibri"/>
          <w:sz w:val="8"/>
          <w:szCs w:val="8"/>
        </w:rPr>
        <w:t xml:space="preserve"/>
      </w:r>
    </w:p>
    <w:p>
      <w:pPr>
        <w:spacing w:after="60"/>
      </w:pPr>
      <w:r>
        <w:rPr>
          <w:rFonts w:ascii="Calibri" w:cs="Calibri" w:eastAsia="Calibri" w:hAnsi="Calibri"/>
          <w:b/>
          <w:bCs/>
          <w:color w:val="1F3A5F"/>
          <w:sz w:val="50"/>
          <w:szCs w:val="50"/>
        </w:rPr>
        <w:t xml:space="preserve">Survey Module Architecture</w:t>
      </w:r>
    </w:p>
    <w:p>
      <w:pPr>
        <w:spacing w:after="40"/>
      </w:pPr>
      <w:r>
        <w:rPr>
          <w:rFonts w:ascii="Calibri" w:cs="Calibri" w:eastAsia="Calibri" w:hAnsi="Calibri"/>
          <w:i/>
          <w:iCs/>
          <w:color w:val="5B7A99"/>
          <w:sz w:val="26"/>
          <w:szCs w:val="26"/>
        </w:rPr>
        <w:t xml:space="preserve">Governing preface for all survey-type modules</w:t>
      </w:r>
    </w:p>
    <w:p>
      <w:pPr>
        <w:spacing w:after="280"/>
      </w:pPr>
      <w:r>
        <w:rPr>
          <w:rFonts w:ascii="Calibri" w:cs="Calibri" w:eastAsia="Calibri" w:hAnsi="Calibri"/>
          <w:b/>
          <w:bCs/>
          <w:color w:val="3E7A4E"/>
          <w:sz w:val="22"/>
          <w:szCs w:val="22"/>
        </w:rPr>
        <w:t xml:space="preserve">Version 2.0 — the two-axis model</w:t>
      </w:r>
    </w:p>
    <w:p>
      <w:pPr>
        <w:spacing w:after="120" w:line="276"/>
      </w:pPr>
      <w:r>
        <w:rPr>
          <w:rFonts w:ascii="Calibri" w:cs="Calibri" w:eastAsia="Calibri" w:hAnsi="Calibri"/>
          <w:b/>
          <w:bCs/>
          <w:color w:val="1A1A1A"/>
          <w:sz w:val="21"/>
          <w:szCs w:val="21"/>
        </w:rPr>
        <w:t xml:space="preserve">Status: </w:t>
      </w:r>
      <w:r>
        <w:rPr>
          <w:rFonts w:ascii="Calibri" w:cs="Calibri" w:eastAsia="Calibri" w:hAnsi="Calibri"/>
          <w:color w:val="1A1A1A"/>
          <w:sz w:val="21"/>
          <w:szCs w:val="21"/>
        </w:rPr>
        <w:t xml:space="preserve">Governing document. Where this preface and a module design doc disagree on a shared contract, this preface wins.</w:t>
      </w:r>
    </w:p>
    <w:p>
      <w:pPr>
        <w:spacing w:after="120" w:line="276"/>
      </w:pPr>
      <w:r>
        <w:rPr>
          <w:rFonts w:ascii="Calibri" w:cs="Calibri" w:eastAsia="Calibri" w:hAnsi="Calibri"/>
          <w:b/>
          <w:bCs/>
          <w:color w:val="1A1A1A"/>
          <w:sz w:val="21"/>
          <w:szCs w:val="21"/>
        </w:rPr>
        <w:t xml:space="preserve">Governs: </w:t>
      </w:r>
      <w:r>
        <w:rPr>
          <w:rFonts w:ascii="Calibri" w:cs="Calibri" w:eastAsia="Calibri" w:hAnsi="Calibri"/>
          <w:color w:val="1A1A1A"/>
          <w:sz w:val="21"/>
          <w:szCs w:val="21"/>
        </w:rPr>
        <w:t xml:space="preserve">(1) C&amp;S — AHTS; (2) DP Annual Trials (FMEA-based); (3) P&amp;I / Expert &amp; Litigation-adjacent reporting.</w:t>
      </w:r>
    </w:p>
    <w:p>
      <w:pPr>
        <w:spacing w:after="120" w:line="276"/>
      </w:pPr>
      <w:r>
        <w:rPr>
          <w:rFonts w:ascii="Calibri" w:cs="Calibri" w:eastAsia="Calibri" w:hAnsi="Calibri"/>
          <w:b/>
          <w:bCs/>
          <w:color w:val="1A1A1A"/>
          <w:sz w:val="21"/>
          <w:szCs w:val="21"/>
        </w:rPr>
        <w:t xml:space="preserve">Supersedes: </w:t>
      </w:r>
      <w:r>
        <w:rPr>
          <w:rFonts w:ascii="Calibri" w:cs="Calibri" w:eastAsia="Calibri" w:hAnsi="Calibri"/>
          <w:color w:val="1A1A1A"/>
          <w:sz w:val="21"/>
          <w:szCs w:val="21"/>
        </w:rPr>
        <w:t xml:space="preserve">v1.0 (single-axis case_type model). See §2 for what changed and why.</w:t>
      </w:r>
    </w:p>
    <w:p>
      <w:pPr>
        <w:spacing w:after="120" w:line="276"/>
      </w:pPr>
      <w:r>
        <w:rPr>
          <w:rFonts w:ascii="Calibri" w:cs="Calibri" w:eastAsia="Calibri" w:hAnsi="Calibri"/>
          <w:b/>
          <w:bCs/>
          <w:color w:val="1A1A1A"/>
          <w:sz w:val="21"/>
          <w:szCs w:val="21"/>
        </w:rPr>
        <w:t xml:space="preserve">Prepared for: </w:t>
      </w:r>
      <w:r>
        <w:rPr>
          <w:rFonts w:ascii="Calibri" w:cs="Calibri" w:eastAsia="Calibri" w:hAnsi="Calibri"/>
          <w:color w:val="1A1A1A"/>
          <w:sz w:val="21"/>
          <w:szCs w:val="21"/>
        </w:rPr>
        <w:t xml:space="preserve">Pierre-Louis Constant (ABL Group), sole developer.   </w:t>
      </w: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17 July 2026.</w:t>
      </w:r>
    </w:p>
    <w:p>
      <w:pPr>
        <w:spacing w:after="15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3E7A4E" w:sz="24"/>
              <w:bottom w:val="none"/>
              <w:right w:val="none"/>
            </w:tcBorders>
            <w:shd w:fill="E8F1E9"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What changed in v2.0, in one line</w:t>
            </w:r>
          </w:p>
          <w:p>
            <w:pPr>
              <w:spacing w:after="40" w:line="264"/>
            </w:pPr>
            <w:r>
              <w:rPr>
                <w:rFonts w:ascii="Calibri" w:cs="Calibri" w:eastAsia="Calibri" w:hAnsi="Calibri"/>
                <w:color w:val="1A1A1A"/>
                <w:sz w:val="20"/>
                <w:szCs w:val="20"/>
              </w:rPr>
              <w:t xml:space="preserve">The P&amp;I module proved that one axis (case_type) was doing two jobs at once. v2.0 splits them: WHAT you capture (the register) and HOW the report is assembled and gated (an editable profile) are now separate, orthogonal axes. Everything the three module docs describe falls out of that split cleanly.</w:t>
            </w:r>
          </w:p>
        </w:tc>
      </w:tr>
    </w:tbl>
    <w:p>
      <w:r>
        <w:br w:type="page"/>
      </w:r>
    </w:p>
    <w:p>
      <w:pPr>
        <w:pStyle w:val="Heading1"/>
        <w:spacing w:after="140" w:before="320"/>
      </w:pPr>
      <w:r>
        <w:rPr>
          <w:rFonts w:ascii="Calibri" w:cs="Calibri" w:eastAsia="Calibri" w:hAnsi="Calibri"/>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3A5F"/>
          <w:sz w:val="30"/>
          <w:szCs w:val="30"/>
        </w:rPr>
        <w:t xml:space="preserve">1.  The extension model — two axes, not one</w:t>
      </w:r>
    </w:p>
    <w:p>
      <w:pPr>
        <w:spacing w:after="120" w:line="276"/>
      </w:pPr>
      <w:r>
        <w:rPr>
          <w:rFonts w:ascii="Calibri" w:cs="Calibri" w:eastAsia="Calibri" w:hAnsi="Calibri"/>
          <w:color w:val="1A1A1A"/>
          <w:sz w:val="21"/>
          <w:szCs w:val="21"/>
        </w:rPr>
        <w:t xml:space="preserve">The platform is a single engine: field capture → structured record → AI-assisted → compliance-gated → branded Word export. Every survey type is that engine, varying along two independent axes. Separating them is the central design decision of this document.</w:t>
      </w:r>
    </w:p>
    <w:p>
      <w:pPr>
        <w:pStyle w:val="Heading2"/>
        <w:spacing w:after="90" w:before="220"/>
      </w:pPr>
      <w:r>
        <w:rPr>
          <w:rFonts w:ascii="Calibri" w:cs="Calibri" w:eastAsia="Calibri" w:hAnsi="Calibri"/>
          <w:b/>
          <w:bCs/>
          <w:color w:val="2E5F8A"/>
          <w:sz w:val="25"/>
          <w:szCs w:val="25"/>
        </w:rPr>
        <w:t xml:space="preserve">1.1  Axis 1 — the register (what you capture)</w:t>
      </w:r>
    </w:p>
    <w:p>
      <w:pPr>
        <w:spacing w:after="120" w:line="276"/>
      </w:pPr>
      <w:r>
        <w:rPr>
          <w:rFonts w:ascii="Calibri" w:cs="Calibri" w:eastAsia="Calibri" w:hAnsi="Calibri"/>
          <w:color w:val="1A1A1A"/>
          <w:sz w:val="21"/>
          <w:szCs w:val="21"/>
        </w:rPr>
        <w:t xml:space="preserve">The core structured object a survey type collects in the field. It is modelled on the existing </w:t>
      </w:r>
      <w:r>
        <w:rPr>
          <w:rFonts w:ascii="Calibri" w:cs="Calibri" w:eastAsia="Calibri" w:hAnsi="Calibri"/>
          <w:b/>
          <w:bCs/>
          <w:color w:val="1A1A1A"/>
          <w:sz w:val="21"/>
          <w:szCs w:val="21"/>
        </w:rPr>
        <w:t xml:space="preserve">damage register</w:t>
      </w:r>
      <w:r>
        <w:rPr>
          <w:rFonts w:ascii="Calibri" w:cs="Calibri" w:eastAsia="Calibri" w:hAnsi="Calibri"/>
          <w:color w:val="1A1A1A"/>
          <w:sz w:val="21"/>
          <w:szCs w:val="21"/>
        </w:rPr>
        <w:t xml:space="preserve"> — same list/detail UI, photo-linking, offline sync, AI-draft feed. Some survey types add a rich register; some add almost none.</w:t>
      </w:r>
    </w:p>
    <w:p>
      <w:pPr>
        <w:pStyle w:val="ListParagraph"/>
        <w:numPr>
          <w:ilvl w:val="0"/>
          <w:numId w:val="2"/>
        </w:numPr>
        <w:spacing w:after="70" w:line="268"/>
      </w:pPr>
      <w:r>
        <w:rPr>
          <w:rFonts w:ascii="Calibri" w:cs="Calibri" w:eastAsia="Calibri" w:hAnsi="Calibri"/>
          <w:b/>
          <w:bCs/>
          <w:color w:val="1A1A1A"/>
          <w:sz w:val="21"/>
          <w:szCs w:val="21"/>
        </w:rPr>
        <w:t xml:space="preserve">H&amp;M: </w:t>
      </w:r>
      <w:r>
        <w:rPr>
          <w:rFonts w:ascii="Calibri" w:cs="Calibri" w:eastAsia="Calibri" w:hAnsi="Calibri"/>
          <w:color w:val="1A1A1A"/>
          <w:sz w:val="21"/>
          <w:szCs w:val="21"/>
        </w:rPr>
        <w:t xml:space="preserve">damage items (+ occurrence, causation, accounts).</w:t>
      </w:r>
    </w:p>
    <w:p>
      <w:pPr>
        <w:pStyle w:val="ListParagraph"/>
        <w:numPr>
          <w:ilvl w:val="0"/>
          <w:numId w:val="2"/>
        </w:numPr>
        <w:spacing w:after="70" w:line="268"/>
      </w:pPr>
      <w:r>
        <w:rPr>
          <w:rFonts w:ascii="Calibri" w:cs="Calibri" w:eastAsia="Calibri" w:hAnsi="Calibri"/>
          <w:b/>
          <w:bCs/>
          <w:color w:val="1A1A1A"/>
          <w:sz w:val="21"/>
          <w:szCs w:val="21"/>
        </w:rPr>
        <w:t xml:space="preserve">C&amp;S — AHTS: </w:t>
      </w:r>
      <w:r>
        <w:rPr>
          <w:rFonts w:ascii="Calibri" w:cs="Calibri" w:eastAsia="Calibri" w:hAnsi="Calibri"/>
          <w:color w:val="1A1A1A"/>
          <w:sz w:val="21"/>
          <w:szCs w:val="21"/>
        </w:rPr>
        <w:t xml:space="preserve">inspection items, graded against a fixed section skeleton.</w:t>
      </w:r>
    </w:p>
    <w:p>
      <w:pPr>
        <w:pStyle w:val="ListParagraph"/>
        <w:numPr>
          <w:ilvl w:val="0"/>
          <w:numId w:val="2"/>
        </w:numPr>
        <w:spacing w:after="70" w:line="268"/>
      </w:pPr>
      <w:r>
        <w:rPr>
          <w:rFonts w:ascii="Calibri" w:cs="Calibri" w:eastAsia="Calibri" w:hAnsi="Calibri"/>
          <w:b/>
          <w:bCs/>
          <w:color w:val="1A1A1A"/>
          <w:sz w:val="21"/>
          <w:szCs w:val="21"/>
        </w:rPr>
        <w:t xml:space="preserve">DP trials: </w:t>
      </w:r>
      <w:r>
        <w:rPr>
          <w:rFonts w:ascii="Calibri" w:cs="Calibri" w:eastAsia="Calibri" w:hAnsi="Calibri"/>
          <w:color w:val="1A1A1A"/>
          <w:sz w:val="21"/>
          <w:szCs w:val="21"/>
        </w:rPr>
        <w:t xml:space="preserve">tests, derived from the FMEA.</w:t>
      </w:r>
    </w:p>
    <w:p>
      <w:pPr>
        <w:pStyle w:val="ListParagraph"/>
        <w:numPr>
          <w:ilvl w:val="0"/>
          <w:numId w:val="2"/>
        </w:numPr>
        <w:spacing w:after="70" w:line="268"/>
      </w:pPr>
      <w:r>
        <w:rPr>
          <w:rFonts w:ascii="Calibri" w:cs="Calibri" w:eastAsia="Calibri" w:hAnsi="Calibri"/>
          <w:b/>
          <w:bCs/>
          <w:color w:val="1A1A1A"/>
          <w:sz w:val="21"/>
          <w:szCs w:val="21"/>
        </w:rPr>
        <w:t xml:space="preserve">P&amp;I / expert: </w:t>
      </w:r>
      <w:r>
        <w:rPr>
          <w:rFonts w:ascii="Calibri" w:cs="Calibri" w:eastAsia="Calibri" w:hAnsi="Calibri"/>
          <w:color w:val="1A1A1A"/>
          <w:sz w:val="21"/>
          <w:szCs w:val="21"/>
        </w:rPr>
        <w:t xml:space="preserve">often little or no new register — mostly observations + opinion points on the shared spine. This is what revealed the second axis.</w:t>
      </w:r>
    </w:p>
    <w:p>
      <w:pPr>
        <w:pStyle w:val="Heading2"/>
        <w:spacing w:after="90" w:before="220"/>
      </w:pPr>
      <w:r>
        <w:rPr>
          <w:rFonts w:ascii="Calibri" w:cs="Calibri" w:eastAsia="Calibri" w:hAnsi="Calibri"/>
          <w:b/>
          <w:bCs/>
          <w:color w:val="2E5F8A"/>
          <w:sz w:val="25"/>
          <w:szCs w:val="25"/>
        </w:rPr>
        <w:t xml:space="preserve">1.2  Axis 2 — the profile (how the report is assembled and gated)</w:t>
      </w:r>
    </w:p>
    <w:p>
      <w:pPr>
        <w:spacing w:after="120" w:line="276"/>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profile</w:t>
      </w:r>
      <w:r>
        <w:rPr>
          <w:rFonts w:ascii="Calibri" w:cs="Calibri" w:eastAsia="Calibri" w:hAnsi="Calibri"/>
          <w:color w:val="1A1A1A"/>
          <w:sz w:val="21"/>
          <w:szCs w:val="21"/>
        </w:rPr>
        <w:t xml:space="preserve"> is a named, editable bundle of four settings that shapes the deliverable. Crucially, a profile sets </w:t>
      </w:r>
      <w:r>
        <w:rPr>
          <w:rFonts w:ascii="Calibri" w:cs="Calibri" w:eastAsia="Calibri" w:hAnsi="Calibri"/>
          <w:b/>
          <w:bCs/>
          <w:color w:val="1A1A1A"/>
          <w:sz w:val="21"/>
          <w:szCs w:val="21"/>
        </w:rPr>
        <w:t xml:space="preserve">defaults, not locks</w:t>
      </w:r>
      <w:r>
        <w:rPr>
          <w:rFonts w:ascii="Calibri" w:cs="Calibri" w:eastAsia="Calibri" w:hAnsi="Calibri"/>
          <w:color w:val="1A1A1A"/>
          <w:sz w:val="21"/>
          <w:szCs w:val="21"/>
        </w:rPr>
        <w:t xml:space="preserve"> — any individual case can override any of them.</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Profile setting</w:t>
            </w:r>
          </w:p>
        </w:tc>
        <w:tc>
          <w:tcPr>
            <w:tcW w:type="dxa" w:w="340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What it controls</w:t>
            </w:r>
          </w:p>
        </w:tc>
        <w:tc>
          <w:tcPr>
            <w:tcW w:type="dxa" w:w="406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Example (P&amp;I expert/litigation)</w:t>
            </w:r>
          </w:p>
        </w:tc>
      </w:tr>
      <w:tr>
        <w:tc>
          <w:tcPr>
            <w:tcW w:type="dxa" w:w="19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Section set</w:t>
            </w:r>
          </w:p>
        </w:tc>
        <w:tc>
          <w:tcPr>
            <w:tcW w:type="dxa" w:w="34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Which section templates are active + their order</w:t>
            </w:r>
          </w:p>
        </w:tc>
        <w:tc>
          <w:tcPr>
            <w:tcW w:type="dxa" w:w="40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Expert CV, disclosure, facts-relied-upon, opinion ON; cost table OFF</w:t>
            </w:r>
          </w:p>
        </w:tc>
      </w:tr>
      <w:tr>
        <w:tc>
          <w:tcPr>
            <w:tcW w:type="dxa" w:w="19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Clause profile</w:t>
            </w:r>
          </w:p>
        </w:tc>
        <w:tc>
          <w:tcPr>
            <w:tcW w:type="dxa" w:w="34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Which clause-library entries fire</w:t>
            </w:r>
          </w:p>
        </w:tc>
        <w:tc>
          <w:tcPr>
            <w:tcW w:type="dxa" w:w="40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Privilege banner, terminal-draft stamp, reserved-position waiver variant</w:t>
            </w:r>
          </w:p>
        </w:tc>
      </w:tr>
      <w:tr>
        <w:tc>
          <w:tcPr>
            <w:tcW w:type="dxa" w:w="19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Sign-off rule</w:t>
            </w:r>
          </w:p>
        </w:tc>
        <w:tc>
          <w:tcPr>
            <w:tcW w:type="dxa" w:w="34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Which roles must sign, and whether it is mandatory</w:t>
            </w:r>
          </w:p>
        </w:tc>
        <w:tc>
          <w:tcPr>
            <w:tcW w:type="dxa" w:w="40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Single, optional (vs H&amp;M dual, mandatory)</w:t>
            </w:r>
          </w:p>
        </w:tc>
      </w:tr>
      <w:tr>
        <w:tc>
          <w:tcPr>
            <w:tcW w:type="dxa" w:w="19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Export behaviour</w:t>
            </w:r>
          </w:p>
        </w:tc>
        <w:tc>
          <w:tcPr>
            <w:tcW w:type="dxa" w:w="34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Whether the validation gate BLOCKS or only WARNS</w:t>
            </w:r>
          </w:p>
        </w:tc>
        <w:tc>
          <w:tcPr>
            <w:tcW w:type="dxa" w:w="40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Warn-only — a privileged perpetual draft is a valid terminal deliverable</w:t>
            </w:r>
          </w:p>
        </w:tc>
      </w:tr>
    </w:tbl>
    <w:p>
      <w:pPr>
        <w:spacing w:after="6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3E7A4E" w:sz="24"/>
              <w:bottom w:val="none"/>
              <w:right w:val="none"/>
            </w:tcBorders>
            <w:shd w:fill="E8F1E9"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The key move: case_type picks a register + a DEFAULT profile</w:t>
            </w:r>
          </w:p>
          <w:p>
            <w:pPr>
              <w:spacing w:after="40" w:line="264"/>
            </w:pPr>
            <w:r>
              <w:rPr>
                <w:rFonts w:ascii="Calibri" w:cs="Calibri" w:eastAsia="Calibri" w:hAnsi="Calibri"/>
                <w:color w:val="1A1A1A"/>
                <w:sz w:val="20"/>
                <w:szCs w:val="20"/>
              </w:rPr>
              <w:t xml:space="preserve">case_type is chosen at intake. It selects (a) which register applies and (b) a starting profile. From there the profile is independently editable per case. That single separation is what lets one engine serve H&amp;M, C&amp;S, DP trials AND the full range of P&amp;I instructing parties — without a new report type or a code change for each variation.</w:t>
            </w:r>
          </w:p>
        </w:tc>
      </w:tr>
    </w:tbl>
    <w:p>
      <w:r>
        <w:br w:type="page"/>
      </w:r>
    </w:p>
    <w:p>
      <w:pPr>
        <w:pStyle w:val="Heading1"/>
        <w:spacing w:after="140" w:before="320"/>
      </w:pPr>
      <w:r>
        <w:rPr>
          <w:rFonts w:ascii="Calibri" w:cs="Calibri" w:eastAsia="Calibri" w:hAnsi="Calibri"/>
          <w:b/>
          <w:bCs/>
          <w:color w:val="1F3A5F"/>
          <w:sz w:val="30"/>
          <w:szCs w:val="30"/>
        </w:rPr>
        <w:t xml:space="preserve">2.  Why v2.0 — what the P&amp;I module proved</w:t>
      </w:r>
    </w:p>
    <w:p>
      <w:pPr>
        <w:spacing w:after="120" w:line="276"/>
      </w:pPr>
      <w:r>
        <w:rPr>
          <w:rFonts w:ascii="Calibri" w:cs="Calibri" w:eastAsia="Calibri" w:hAnsi="Calibri"/>
          <w:color w:val="1A1A1A"/>
          <w:sz w:val="21"/>
          <w:szCs w:val="21"/>
        </w:rPr>
        <w:t xml:space="preserve">v1.0 assumed a single axis: case_type both picked what you capture and hard-wired the report shape. The P&amp;I / expert module stress-tested that and broke it in three specific places. Each break is a correction now built into §1.</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60"/>
        <w:gridCol w:w="2900"/>
      </w:tblGrid>
      <w:tr>
        <w:trPr>
          <w:tblHeader/>
        </w:trPr>
        <w:tc>
          <w:tcPr>
            <w:tcW w:type="dxa" w:w="290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v1.0 assumption</w:t>
            </w:r>
          </w:p>
        </w:tc>
        <w:tc>
          <w:tcPr>
            <w:tcW w:type="dxa" w:w="356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What P&amp;I showed</w:t>
            </w:r>
          </w:p>
        </w:tc>
        <w:tc>
          <w:tcPr>
            <w:tcW w:type="dxa" w:w="290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v2.0 correction</w:t>
            </w:r>
          </w:p>
        </w:tc>
      </w:tr>
      <w:tr>
        <w:tc>
          <w:tcPr>
            <w:tcW w:type="dxa" w:w="29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case_type hard-wires the report shape</w:t>
            </w:r>
          </w:p>
        </w:tc>
        <w:tc>
          <w:tcPr>
            <w:tcW w:type="dxa" w:w="35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matter_type sets defaults every case can override (sections toggled per case)</w:t>
            </w:r>
          </w:p>
        </w:tc>
        <w:tc>
          <w:tcPr>
            <w:tcW w:type="dxa" w:w="29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Profile = defaults, not locks (§1.2)</w:t>
            </w:r>
          </w:p>
        </w:tc>
      </w:tr>
      <w:tr>
        <w:tc>
          <w:tcPr>
            <w:tcW w:type="dxa" w:w="29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Each module owns one report layout</w:t>
            </w:r>
          </w:p>
        </w:tc>
        <w:tc>
          <w:tcPr>
            <w:tcW w:type="dxa" w:w="35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Report is assembled from a toggleable section library, ordered per profile</w:t>
            </w:r>
          </w:p>
        </w:tc>
        <w:tc>
          <w:tcPr>
            <w:tcW w:type="dxa" w:w="29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Section set is a profile setting, not a fixed layout (§1.2)</w:t>
            </w:r>
          </w:p>
        </w:tc>
      </w:tr>
      <w:tr>
        <w:tc>
          <w:tcPr>
            <w:tcW w:type="dxa" w:w="29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Export gate is shared; modules only add rules</w:t>
            </w:r>
          </w:p>
        </w:tc>
        <w:tc>
          <w:tcPr>
            <w:tcW w:type="dxa" w:w="35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Litigation matters INVERT the gate — it warns rather than blocks; a perpetual draft is terminal</w:t>
            </w:r>
          </w:p>
        </w:tc>
        <w:tc>
          <w:tcPr>
            <w:tcW w:type="dxa" w:w="29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Export behaviour (block/warn) is itself a profile setting (§1.2, §3.4)</w:t>
            </w:r>
          </w:p>
        </w:tc>
      </w:tr>
    </w:tbl>
    <w:p>
      <w:pPr>
        <w:spacing w:after="6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2E5F8A" w:sz="24"/>
              <w:bottom w:val="none"/>
              <w:right w:val="none"/>
            </w:tcBorders>
            <w:shd w:fill="EAF0F6"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Bonus that falls out for free</w:t>
            </w:r>
          </w:p>
          <w:p>
            <w:pPr>
              <w:spacing w:after="40" w:line="264"/>
            </w:pPr>
            <w:r>
              <w:rPr>
                <w:rFonts w:ascii="Calibri" w:cs="Calibri" w:eastAsia="Calibri" w:hAnsi="Calibri"/>
                <w:color w:val="1A1A1A"/>
                <w:sz w:val="20"/>
                <w:szCs w:val="20"/>
              </w:rPr>
              <w:t xml:space="preserve">Once a profile is a saved, editable bundle, P&amp;I's “accumulating library of per-instructing-party format profiles” (its §6.2) is not a new concept — a Club, a law firm, or a house style is simply one more saved Axis-2 profile. The intake questionnaire just picks or builds one. No extra machinery.</w:t>
            </w:r>
          </w:p>
        </w:tc>
      </w:tr>
    </w:tbl>
    <w:p>
      <w:pPr>
        <w:pStyle w:val="Heading1"/>
        <w:spacing w:after="140" w:before="320"/>
      </w:pPr>
      <w:r>
        <w:rPr>
          <w:rFonts w:ascii="Calibri" w:cs="Calibri" w:eastAsia="Calibri" w:hAnsi="Calibri"/>
          <w:b/>
          <w:bCs/>
          <w:color w:val="1F3A5F"/>
          <w:sz w:val="30"/>
          <w:szCs w:val="30"/>
        </w:rPr>
        <w:t xml:space="preserve">3.  The governing table — all modules on both axes</w:t>
      </w:r>
    </w:p>
    <w:p>
      <w:pPr>
        <w:spacing w:after="120" w:line="276"/>
      </w:pPr>
      <w:r>
        <w:rPr>
          <w:rFonts w:ascii="Calibri" w:cs="Calibri" w:eastAsia="Calibri" w:hAnsi="Calibri"/>
          <w:color w:val="1A1A1A"/>
          <w:sz w:val="21"/>
          <w:szCs w:val="21"/>
        </w:rPr>
        <w:t xml:space="preserve">Read a survey type across its row to see its register + profile defaults. Read a column down to see one setting varying across survey types. Everything not in this table is the shared spine (§4).</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2350"/>
        <w:gridCol w:w="2360"/>
        <w:gridCol w:w="1300"/>
        <w:gridCol w:w="1400"/>
      </w:tblGrid>
      <w:tr>
        <w:trPr>
          <w:tblHeader/>
        </w:trPr>
        <w:tc>
          <w:tcPr>
            <w:tcW w:type="dxa" w:w="195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Survey type</w:t>
            </w:r>
          </w:p>
        </w:tc>
        <w:tc>
          <w:tcPr>
            <w:tcW w:type="dxa" w:w="235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Register (Axis 1)</w:t>
            </w:r>
          </w:p>
        </w:tc>
        <w:tc>
          <w:tcPr>
            <w:tcW w:type="dxa" w:w="236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Section-set default</w:t>
            </w:r>
          </w:p>
        </w:tc>
        <w:tc>
          <w:tcPr>
            <w:tcW w:type="dxa" w:w="130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Sign-off</w:t>
            </w:r>
          </w:p>
        </w:tc>
        <w:tc>
          <w:tcPr>
            <w:tcW w:type="dxa" w:w="140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Export</w:t>
            </w:r>
          </w:p>
        </w:tc>
      </w:tr>
      <w:tr>
        <w:tc>
          <w:tcPr>
            <w:tcW w:type="dxa" w:w="19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H&amp;M casualty</w:t>
            </w:r>
          </w:p>
        </w:tc>
        <w:tc>
          <w:tcPr>
            <w:tcW w:type="dxa" w:w="23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damage / occurrence / accounts</w:t>
            </w:r>
          </w:p>
        </w:tc>
        <w:tc>
          <w:tcPr>
            <w:tcW w:type="dxa" w:w="23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narrative + cost table</w:t>
            </w:r>
          </w:p>
        </w:tc>
        <w:tc>
          <w:tcPr>
            <w:tcW w:type="dxa" w:w="13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dual, mandatory</w:t>
            </w:r>
          </w:p>
        </w:tc>
        <w:tc>
          <w:tcPr>
            <w:tcW w:type="dxa" w:w="14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block</w:t>
            </w:r>
          </w:p>
        </w:tc>
      </w:tr>
      <w:tr>
        <w:tc>
          <w:tcPr>
            <w:tcW w:type="dxa" w:w="19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C&amp;S — AHTS</w:t>
            </w:r>
          </w:p>
        </w:tc>
        <w:tc>
          <w:tcPr>
            <w:tcW w:type="dxa" w:w="23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inspection items (graded)</w:t>
            </w:r>
          </w:p>
        </w:tc>
        <w:tc>
          <w:tcPr>
            <w:tcW w:type="dxa" w:w="23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Ref/Item/Remarks, §1–11</w:t>
            </w:r>
          </w:p>
        </w:tc>
        <w:tc>
          <w:tcPr>
            <w:tcW w:type="dxa" w:w="13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surveyor + reviewer (+ Master on prelim)</w:t>
            </w:r>
          </w:p>
        </w:tc>
        <w:tc>
          <w:tcPr>
            <w:tcW w:type="dxa" w:w="14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block</w:t>
            </w:r>
          </w:p>
        </w:tc>
      </w:tr>
      <w:tr>
        <w:tc>
          <w:tcPr>
            <w:tcW w:type="dxa" w:w="19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DP trials</w:t>
            </w:r>
          </w:p>
        </w:tc>
        <w:tc>
          <w:tcPr>
            <w:tcW w:type="dxa" w:w="23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tests (FMEA-derived)</w:t>
            </w:r>
          </w:p>
        </w:tc>
        <w:tc>
          <w:tcPr>
            <w:tcW w:type="dxa" w:w="23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repeating test-sheet blocks</w:t>
            </w:r>
          </w:p>
        </w:tc>
        <w:tc>
          <w:tcPr>
            <w:tcW w:type="dxa" w:w="13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witness + coordinator</w:t>
            </w:r>
          </w:p>
        </w:tc>
        <w:tc>
          <w:tcPr>
            <w:tcW w:type="dxa" w:w="14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block</w:t>
            </w:r>
          </w:p>
        </w:tc>
      </w:tr>
      <w:tr>
        <w:tc>
          <w:tcPr>
            <w:tcW w:type="dxa" w:w="19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P&amp;I incident/casualty</w:t>
            </w:r>
          </w:p>
        </w:tc>
        <w:tc>
          <w:tcPr>
            <w:tcW w:type="dxa" w:w="23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light: observations, opinion</w:t>
            </w:r>
          </w:p>
        </w:tc>
        <w:tc>
          <w:tcPr>
            <w:tcW w:type="dxa" w:w="23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 interviews, medical, opinion</w:t>
            </w:r>
          </w:p>
        </w:tc>
        <w:tc>
          <w:tcPr>
            <w:tcW w:type="dxa" w:w="13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optional</w:t>
            </w:r>
          </w:p>
        </w:tc>
        <w:tc>
          <w:tcPr>
            <w:tcW w:type="dxa" w:w="14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warn</w:t>
            </w:r>
          </w:p>
        </w:tc>
      </w:tr>
      <w:tr>
        <w:tc>
          <w:tcPr>
            <w:tcW w:type="dxa" w:w="19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P&amp;I expert/litigation</w:t>
            </w:r>
          </w:p>
        </w:tc>
        <w:tc>
          <w:tcPr>
            <w:tcW w:type="dxa" w:w="23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opinion points, facts-relied-upon</w:t>
            </w:r>
          </w:p>
        </w:tc>
        <w:tc>
          <w:tcPr>
            <w:tcW w:type="dxa" w:w="23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expert CV, disclosure, opinion; no cost table</w:t>
            </w:r>
          </w:p>
        </w:tc>
        <w:tc>
          <w:tcPr>
            <w:tcW w:type="dxa" w:w="13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single, optional</w:t>
            </w:r>
          </w:p>
        </w:tc>
        <w:tc>
          <w:tcPr>
            <w:tcW w:type="dxa" w:w="14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warn (privileged draft OK)</w:t>
            </w:r>
          </w:p>
        </w:tc>
      </w:tr>
    </w:tbl>
    <w:p>
      <w:pPr>
        <w:spacing w:after="60"/>
      </w:pPr>
      <w:r>
        <w:t xml:space="preserve"/>
      </w:r>
    </w:p>
    <w:p>
      <w:pPr>
        <w:spacing w:after="120" w:line="276"/>
      </w:pPr>
      <w:r>
        <w:rPr>
          <w:rFonts w:ascii="Calibri" w:cs="Calibri" w:eastAsia="Calibri" w:hAnsi="Calibri"/>
          <w:b/>
          <w:bCs/>
          <w:color w:val="1A1A1A"/>
          <w:sz w:val="21"/>
          <w:szCs w:val="21"/>
        </w:rPr>
        <w:t xml:space="preserve">Note the P&amp;I rows carry almost no register. </w:t>
      </w:r>
      <w:r>
        <w:rPr>
          <w:rFonts w:ascii="Calibri" w:cs="Calibri" w:eastAsia="Calibri" w:hAnsi="Calibri"/>
          <w:color w:val="1A1A1A"/>
          <w:sz w:val="21"/>
          <w:szCs w:val="21"/>
        </w:rPr>
        <w:t xml:space="preserve">That is the whole point of the two-axis split: a survey type can differ entirely on Axis 2 (profile) while adding little or nothing on Axis 1 (register). The single-axis v1.0 model could not express that; v2.0 does.</w:t>
      </w:r>
    </w:p>
    <w:p>
      <w:r>
        <w:br w:type="page"/>
      </w:r>
    </w:p>
    <w:p>
      <w:pPr>
        <w:pStyle w:val="Heading1"/>
        <w:spacing w:after="140" w:before="320"/>
      </w:pPr>
      <w:r>
        <w:rPr>
          <w:rFonts w:ascii="Calibri" w:cs="Calibri" w:eastAsia="Calibri" w:hAnsi="Calibri"/>
          <w:b/>
          <w:bCs/>
          <w:color w:val="1F3A5F"/>
          <w:sz w:val="30"/>
          <w:szCs w:val="30"/>
        </w:rPr>
        <w:t xml:space="preserve">4.  The shared spine — reused verbatim by every module</w:t>
      </w:r>
    </w:p>
    <w:p>
      <w:pPr>
        <w:spacing w:after="120" w:line="276"/>
      </w:pPr>
      <w:r>
        <w:rPr>
          <w:rFonts w:ascii="Calibri" w:cs="Calibri" w:eastAsia="Calibri" w:hAnsi="Calibri"/>
          <w:color w:val="1A1A1A"/>
          <w:sz w:val="21"/>
          <w:szCs w:val="21"/>
        </w:rPr>
        <w:t xml:space="preserve">Identical across survey types. A module doc references these; it never redesigns them. A needed change here belongs in this preface so all modules inherit it.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Capability</w:t>
            </w:r>
          </w:p>
        </w:tc>
        <w:tc>
          <w:tcPr>
            <w:tcW w:type="dxa" w:w="646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Contract every module inherits</w:t>
            </w:r>
          </w:p>
        </w:tc>
      </w:tr>
      <w:tr>
        <w:tc>
          <w:tcPr>
            <w:tcW w:type="dxa" w:w="29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Case hub</w:t>
            </w:r>
          </w:p>
        </w:tc>
        <w:tc>
          <w:tcPr>
            <w:tcW w:type="dxa" w:w="64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Links all modules; case_type selects the register + default profile.</w:t>
            </w:r>
          </w:p>
        </w:tc>
      </w:tr>
      <w:tr>
        <w:tc>
          <w:tcPr>
            <w:tcW w:type="dxa" w:w="29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Vessel Particulars</w:t>
            </w:r>
          </w:p>
        </w:tc>
        <w:tc>
          <w:tcPr>
            <w:tcW w:type="dxa" w:w="64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Shared record; modules may add fields but reuse Equasis + nameplate/class-PDF extraction.</w:t>
            </w:r>
          </w:p>
        </w:tc>
      </w:tr>
      <w:tr>
        <w:tc>
          <w:tcPr>
            <w:tcW w:type="dxa" w:w="29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Attendances / Photos / Field Capture / Voice</w:t>
            </w:r>
          </w:p>
        </w:tc>
        <w:tc>
          <w:tcPr>
            <w:tcW w:type="dxa" w:w="64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Capture, route, link-to-record — each module links to its own register rows.</w:t>
            </w:r>
          </w:p>
        </w:tc>
      </w:tr>
      <w:tr>
        <w:tc>
          <w:tcPr>
            <w:tcW w:type="dxa" w:w="29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Documents (Vault)</w:t>
            </w:r>
          </w:p>
        </w:tc>
        <w:tc>
          <w:tcPr>
            <w:tcW w:type="dxa" w:w="64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Import + AI extraction; modules add doc categories, not machinery. Feeds ‘facts relied upon’, appendices, cert registers.</w:t>
            </w:r>
          </w:p>
        </w:tc>
      </w:tr>
      <w:tr>
        <w:tc>
          <w:tcPr>
            <w:tcW w:type="dxa" w:w="29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Parties, Timeline, Correspondence, Interviews</w:t>
            </w:r>
          </w:p>
        </w:tc>
        <w:tc>
          <w:tcPr>
            <w:tcW w:type="dxa" w:w="64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Shared objects. (P&amp;I note: correspondence register helps preserve the privilege chain — who instructed, who is copied.)</w:t>
            </w:r>
          </w:p>
        </w:tc>
      </w:tr>
      <w:tr>
        <w:tc>
          <w:tcPr>
            <w:tcW w:type="dxa" w:w="29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AI audit trail (Annexure I)</w:t>
            </w:r>
          </w:p>
        </w:tc>
        <w:tc>
          <w:tcPr>
            <w:tcW w:type="dxa" w:w="64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Every AI call logs (prompt, response, model, tokens, SHA-256); GPN-AI parity automatic for every module.</w:t>
            </w:r>
          </w:p>
        </w:tc>
      </w:tr>
      <w:tr>
        <w:tc>
          <w:tcPr>
            <w:tcW w:type="dxa" w:w="29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OOXML report engine + section library</w:t>
            </w:r>
          </w:p>
        </w:tc>
        <w:tc>
          <w:tcPr>
            <w:tcW w:type="dxa" w:w="64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One generator; the report is assembled from toggleable section templates ordered per profile.</w:t>
            </w:r>
          </w:p>
        </w:tc>
      </w:tr>
      <w:tr>
        <w:tc>
          <w:tcPr>
            <w:tcW w:type="dxa" w:w="29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Clause library</w:t>
            </w:r>
          </w:p>
        </w:tc>
        <w:tc>
          <w:tcPr>
            <w:tcW w:type="dxa" w:w="64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Legal/boilerplate wording in a table, selected per profile — modules add rows, not code.</w:t>
            </w:r>
          </w:p>
        </w:tc>
      </w:tr>
      <w:tr>
        <w:tc>
          <w:tcPr>
            <w:tcW w:type="dxa" w:w="29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Report status workflow</w:t>
            </w:r>
          </w:p>
        </w:tc>
        <w:tc>
          <w:tcPr>
            <w:tcW w:type="dxa" w:w="64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Draft → Self-Reviewed → QC → Approved → Issued → Locked — status is separate from profile and from register.</w:t>
            </w:r>
          </w:p>
        </w:tc>
      </w:tr>
    </w:tbl>
    <w:p>
      <w:pPr>
        <w:pStyle w:val="Heading1"/>
        <w:spacing w:after="140" w:before="320"/>
      </w:pPr>
      <w:r>
        <w:rPr>
          <w:rFonts w:ascii="Calibri" w:cs="Calibri" w:eastAsia="Calibri" w:hAnsi="Calibri"/>
          <w:b/>
          <w:bCs/>
          <w:color w:val="1F3A5F"/>
          <w:sz w:val="30"/>
          <w:szCs w:val="30"/>
        </w:rPr>
        <w:t xml:space="preserve">5.  Locked shared contracts</w:t>
      </w:r>
    </w:p>
    <w:p>
      <w:pPr>
        <w:spacing w:after="120" w:line="276"/>
      </w:pPr>
      <w:r>
        <w:rPr>
          <w:rFonts w:ascii="Calibri" w:cs="Calibri" w:eastAsia="Calibri" w:hAnsi="Calibri"/>
          <w:color w:val="1A1A1A"/>
          <w:sz w:val="21"/>
          <w:szCs w:val="21"/>
        </w:rPr>
        <w:t xml:space="preserve">The few rules a new module MUST follow so the platform stays one product.</w:t>
      </w:r>
    </w:p>
    <w:p>
      <w:pPr>
        <w:pStyle w:val="Heading2"/>
        <w:spacing w:after="90" w:before="220"/>
      </w:pPr>
      <w:r>
        <w:rPr>
          <w:rFonts w:ascii="Calibri" w:cs="Calibri" w:eastAsia="Calibri" w:hAnsi="Calibri"/>
          <w:b/>
          <w:bCs/>
          <w:color w:val="2E5F8A"/>
          <w:sz w:val="25"/>
          <w:szCs w:val="25"/>
        </w:rPr>
        <w:t xml:space="preserve">5.1  Register-mirrors-damage-register</w:t>
      </w:r>
    </w:p>
    <w:p>
      <w:pPr>
        <w:spacing w:after="120" w:line="276"/>
      </w:pPr>
      <w:r>
        <w:rPr>
          <w:rFonts w:ascii="Calibri" w:cs="Calibri" w:eastAsia="Calibri" w:hAnsi="Calibri"/>
          <w:color w:val="1A1A1A"/>
          <w:sz w:val="21"/>
          <w:szCs w:val="21"/>
        </w:rPr>
        <w:t xml:space="preserve">Any Axis-1 register is modelled on the damage register (UI, photo-linking, sync, AI-draft feed, report feed); its classification field mirrors damage severity. A survey type with no meaningful register (some P&amp;I work) simply skips this.</w:t>
      </w:r>
    </w:p>
    <w:p>
      <w:pPr>
        <w:pStyle w:val="Heading2"/>
        <w:spacing w:after="90" w:before="220"/>
      </w:pPr>
      <w:r>
        <w:rPr>
          <w:rFonts w:ascii="Calibri" w:cs="Calibri" w:eastAsia="Calibri" w:hAnsi="Calibri"/>
          <w:b/>
          <w:bCs/>
          <w:color w:val="2E5F8A"/>
          <w:sz w:val="25"/>
          <w:szCs w:val="25"/>
        </w:rPr>
        <w:t xml:space="preserve">5.2  Offline-sync convention</w:t>
      </w:r>
    </w:p>
    <w:p>
      <w:pPr>
        <w:spacing w:after="120" w:line="276"/>
      </w:pPr>
      <w:r>
        <w:rPr>
          <w:rFonts w:ascii="Calibri" w:cs="Calibri" w:eastAsia="Calibri" w:hAnsi="Calibri"/>
          <w:color w:val="1A1A1A"/>
          <w:sz w:val="21"/>
          <w:szCs w:val="21"/>
        </w:rPr>
        <w:t xml:space="preserve">Every new table carries the platform-standard </w:t>
      </w:r>
      <w:r>
        <w:rPr>
          <w:rFonts w:ascii="Calibri" w:cs="Calibri" w:eastAsia="Calibri" w:hAnsi="Calibri"/>
          <w:i/>
          <w:iCs/>
          <w:color w:val="1A1A1A"/>
          <w:sz w:val="21"/>
          <w:szCs w:val="21"/>
        </w:rPr>
        <w:t xml:space="preserve">sync_status</w:t>
      </w:r>
      <w:r>
        <w:rPr>
          <w:rFonts w:ascii="Calibri" w:cs="Calibri" w:eastAsia="Calibri" w:hAnsi="Calibri"/>
          <w:color w:val="1A1A1A"/>
          <w:sz w:val="21"/>
          <w:szCs w:val="21"/>
        </w:rPr>
        <w:t xml:space="preserve"> column (synced / pending_upsert / pending_delete), org/tenant scoping ready for Row Level Security, and a foreign key to </w:t>
      </w:r>
      <w:r>
        <w:rPr>
          <w:rFonts w:ascii="Calibri" w:cs="Calibri" w:eastAsia="Calibri" w:hAnsi="Calibri"/>
          <w:i/>
          <w:iCs/>
          <w:color w:val="1A1A1A"/>
          <w:sz w:val="21"/>
          <w:szCs w:val="21"/>
        </w:rPr>
        <w:t xml:space="preserve">cases</w:t>
      </w:r>
      <w:r>
        <w:rPr>
          <w:rFonts w:ascii="Calibri" w:cs="Calibri" w:eastAsia="Calibri" w:hAnsi="Calibri"/>
          <w:color w:val="1A1A1A"/>
          <w:sz w:val="21"/>
          <w:szCs w:val="21"/>
        </w:rPr>
        <w:t xml:space="preserve">. No module invents its own sync.</w:t>
      </w:r>
    </w:p>
    <w:p>
      <w:pPr>
        <w:pStyle w:val="Heading2"/>
        <w:spacing w:after="90" w:before="220"/>
      </w:pPr>
      <w:r>
        <w:rPr>
          <w:rFonts w:ascii="Calibri" w:cs="Calibri" w:eastAsia="Calibri" w:hAnsi="Calibri"/>
          <w:b/>
          <w:bCs/>
          <w:color w:val="2E5F8A"/>
          <w:sz w:val="25"/>
          <w:szCs w:val="25"/>
        </w:rPr>
        <w:t xml:space="preserve">5.3  AI-audit reuse</w:t>
      </w:r>
    </w:p>
    <w:p>
      <w:pPr>
        <w:spacing w:after="120" w:line="276"/>
      </w:pPr>
      <w:r>
        <w:rPr>
          <w:rFonts w:ascii="Calibri" w:cs="Calibri" w:eastAsia="Calibri" w:hAnsi="Calibri"/>
          <w:color w:val="1A1A1A"/>
          <w:sz w:val="21"/>
          <w:szCs w:val="21"/>
        </w:rPr>
        <w:t xml:space="preserve">No module builds a new AI logging path; all calls flow through ai_audit_log to Annexure I. Two P&amp;I refinements now apply platform-wide: (a) AI disclosure must also appear as a short front-of-document paragraph, not only the rear annexure; (b) per-matter data isolation — outputs not reused across matters — is a compliance requirement, not only a product nicety.</w:t>
      </w:r>
    </w:p>
    <w:p>
      <w:pPr>
        <w:pStyle w:val="Heading2"/>
        <w:spacing w:after="90" w:before="220"/>
      </w:pPr>
      <w:r>
        <w:rPr>
          <w:rFonts w:ascii="Calibri" w:cs="Calibri" w:eastAsia="Calibri" w:hAnsi="Calibri"/>
          <w:b/>
          <w:bCs/>
          <w:color w:val="2E5F8A"/>
          <w:sz w:val="25"/>
          <w:szCs w:val="25"/>
        </w:rPr>
        <w:t xml:space="preserve">5.4  Export-gate mechanism — shared, but block/warn is a profile setting</w:t>
      </w:r>
    </w:p>
    <w:p>
      <w:pPr>
        <w:spacing w:after="120" w:line="276"/>
      </w:pPr>
      <w:r>
        <w:rPr>
          <w:rFonts w:ascii="Calibri" w:cs="Calibri" w:eastAsia="Calibri" w:hAnsi="Calibri"/>
          <w:color w:val="1A1A1A"/>
          <w:sz w:val="21"/>
          <w:szCs w:val="21"/>
        </w:rPr>
        <w:t xml:space="preserve">No module writes a new gate; each re-points the existing Export Validation Gate at a rule set. </w:t>
      </w:r>
      <w:r>
        <w:rPr>
          <w:rFonts w:ascii="Calibri" w:cs="Calibri" w:eastAsia="Calibri" w:hAnsi="Calibri"/>
          <w:b/>
          <w:bCs/>
          <w:color w:val="1A1A1A"/>
          <w:sz w:val="21"/>
          <w:szCs w:val="21"/>
        </w:rPr>
        <w:t xml:space="preserve">v2.0 change: </w:t>
      </w:r>
      <w:r>
        <w:rPr>
          <w:rFonts w:ascii="Calibri" w:cs="Calibri" w:eastAsia="Calibri" w:hAnsi="Calibri"/>
          <w:color w:val="1A1A1A"/>
          <w:sz w:val="21"/>
          <w:szCs w:val="21"/>
        </w:rPr>
        <w:t xml:space="preserve">whether the gate BLOCKS or merely WARNS is a profile setting, not a platform constant. H&amp;M/C&amp;S/DP block on their mandatory rules; P&amp;I litigation warns, so a deliberately incomplete privileged draft can always be produced. The GPN-AI audit gate stays as-is regardless.</w:t>
      </w:r>
    </w:p>
    <w:p>
      <w:pPr>
        <w:pStyle w:val="Heading2"/>
        <w:spacing w:after="90" w:before="220"/>
      </w:pPr>
      <w:r>
        <w:rPr>
          <w:rFonts w:ascii="Calibri" w:cs="Calibri" w:eastAsia="Calibri" w:hAnsi="Calibri"/>
          <w:b/>
          <w:bCs/>
          <w:color w:val="2E5F8A"/>
          <w:sz w:val="25"/>
          <w:szCs w:val="25"/>
        </w:rPr>
        <w:t xml:space="preserve">5.5  Sign-off extension</w:t>
      </w:r>
    </w:p>
    <w:p>
      <w:pPr>
        <w:spacing w:after="120" w:line="276"/>
      </w:pPr>
      <w:r>
        <w:rPr>
          <w:rFonts w:ascii="Calibri" w:cs="Calibri" w:eastAsia="Calibri" w:hAnsi="Calibri"/>
          <w:color w:val="1A1A1A"/>
          <w:sz w:val="21"/>
          <w:szCs w:val="21"/>
        </w:rPr>
        <w:t xml:space="preserve">Dual sign-off is shared machinery; the profile sets which roles sign and whether it is mandatory. H&amp;M: attending + reviewing, mandatory. DP: + witness (accreditation no.) + coordinator. C&amp;S: surveyor + Master on the prelim. P&amp;I expert: single, optional. Same signature capture, profile-driven rules.</w:t>
      </w:r>
    </w:p>
    <w:p>
      <w:r>
        <w:br w:type="page"/>
      </w:r>
    </w:p>
    <w:p>
      <w:pPr>
        <w:pStyle w:val="Heading1"/>
        <w:spacing w:after="140" w:before="320"/>
      </w:pPr>
      <w:r>
        <w:rPr>
          <w:rFonts w:ascii="Calibri" w:cs="Calibri" w:eastAsia="Calibri" w:hAnsi="Calibri"/>
          <w:b/>
          <w:bCs/>
          <w:color w:val="1F3A5F"/>
          <w:sz w:val="30"/>
          <w:szCs w:val="30"/>
        </w:rPr>
        <w:t xml:space="preserve">6.  What each module doc owns vs. inherits</w:t>
      </w:r>
    </w:p>
    <w:p>
      <w:pPr>
        <w:spacing w:after="120" w:line="276"/>
      </w:pPr>
      <w:r>
        <w:rPr>
          <w:rFonts w:ascii="Calibri" w:cs="Calibri" w:eastAsia="Calibri" w:hAnsi="Calibri"/>
          <w:color w:val="1A1A1A"/>
          <w:sz w:val="21"/>
          <w:szCs w:val="21"/>
        </w:rPr>
        <w:t xml:space="preserve">With the two axes and the spine factored out, a module doc should contain only its specialisation — removing the reuse boilerplate all three current docs repeat.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A module INHERITS (this preface)</w:t>
            </w:r>
          </w:p>
        </w:tc>
        <w:tc>
          <w:tcPr>
            <w:tcW w:type="dxa" w:w="468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A module OWNS (defines itself)</w:t>
            </w:r>
          </w:p>
        </w:tc>
      </w:tr>
      <w:tr>
        <w:tc>
          <w:tcPr>
            <w:tcW w:type="dxa" w:w="468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Two-axis model + shared spine (§1,§3,§4)</w:t>
            </w:r>
          </w:p>
        </w:tc>
        <w:tc>
          <w:tcPr>
            <w:tcW w:type="dxa" w:w="468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Its register table(s) + classification enum (Axis 1), if any</w:t>
            </w:r>
          </w:p>
        </w:tc>
      </w:tr>
      <w:tr>
        <w:tc>
          <w:tcPr>
            <w:tcW w:type="dxa" w:w="468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Sync, AI-audit, gate, sign-off mechanisms (§5)</w:t>
            </w:r>
          </w:p>
        </w:tc>
        <w:tc>
          <w:tcPr>
            <w:tcW w:type="dxa" w:w="468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Its default profile: section set, clause profile, sign-off rule, export behaviour (Axis 2)</w:t>
            </w:r>
          </w:p>
        </w:tc>
      </w:tr>
      <w:tr>
        <w:tc>
          <w:tcPr>
            <w:tcW w:type="dxa" w:w="468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case_type naming scheme (§7)</w:t>
            </w:r>
          </w:p>
        </w:tc>
        <w:tc>
          <w:tcPr>
            <w:tcW w:type="dxa" w:w="468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Its new section templates (e.g. C&amp;S Ref/Item; DP test-sheet; P&amp;I expert CV, opinion)</w:t>
            </w:r>
          </w:p>
        </w:tc>
      </w:tr>
      <w:tr>
        <w:tc>
          <w:tcPr>
            <w:tcW w:type="dxa" w:w="468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Section-library + clause-library mechanisms</w:t>
            </w:r>
          </w:p>
        </w:tc>
        <w:tc>
          <w:tcPr>
            <w:tcW w:type="dxa" w:w="468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Its export-gate RULES (not the block/warn mechanism)</w:t>
            </w:r>
          </w:p>
        </w:tc>
      </w:tr>
      <w:tr>
        <w:tc>
          <w:tcPr>
            <w:tcW w:type="dxa" w:w="468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Report status workflow</w:t>
            </w:r>
          </w:p>
        </w:tc>
        <w:tc>
          <w:tcPr>
            <w:tcW w:type="dxa" w:w="468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Its external-standard mapping (ABL template / IMCA M190 / GPN-EXPT + Harmonised Code)</w:t>
            </w:r>
          </w:p>
        </w:tc>
      </w:tr>
    </w:tbl>
    <w:p>
      <w:pPr>
        <w:spacing w:after="6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3E7A4E" w:sz="24"/>
              <w:bottom w:val="none"/>
              <w:right w:val="none"/>
            </w:tcBorders>
            <w:shd w:fill="E8F1E9"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Net effect on the three existing docs</w:t>
            </w:r>
          </w:p>
          <w:p>
            <w:pPr>
              <w:spacing w:after="40" w:line="264"/>
            </w:pPr>
            <w:r>
              <w:rPr>
                <w:rFonts w:ascii="Calibri" w:cs="Calibri" w:eastAsia="Calibri" w:hAnsi="Calibri"/>
                <w:color w:val="1A1A1A"/>
                <w:sz w:val="20"/>
                <w:szCs w:val="20"/>
              </w:rPr>
              <w:t xml:space="preserve">C&amp;S — AHTS: unchanged in substance; its register + Ref/Item layout is its Axis-1/Axis-2 specialisation. Subject to §7 naming.</w:t>
            </w:r>
          </w:p>
          <w:p>
            <w:pPr>
              <w:spacing w:after="40" w:line="264"/>
            </w:pPr>
            <w:r>
              <w:rPr>
                <w:rFonts w:ascii="Calibri" w:cs="Calibri" w:eastAsia="Calibri" w:hAnsi="Calibri"/>
                <w:color w:val="1A1A1A"/>
                <w:sz w:val="20"/>
                <w:szCs w:val="20"/>
              </w:rPr>
              <w:t xml:space="preserve">DP Annual Trials: unchanged in substance; strong IMCA grounding retained. Edit: hm_survey → agreed H&amp;M value; inherits (not re-states) the sync/audit/sign-off reuse.</w:t>
            </w:r>
          </w:p>
          <w:p>
            <w:pPr>
              <w:spacing w:after="40" w:line="264"/>
            </w:pPr>
            <w:r>
              <w:rPr>
                <w:rFonts w:ascii="Calibri" w:cs="Calibri" w:eastAsia="Calibri" w:hAnsi="Calibri"/>
                <w:color w:val="1A1A1A"/>
                <w:sz w:val="20"/>
                <w:szCs w:val="20"/>
              </w:rPr>
              <w:t xml:space="preserve">P&amp;I / expert: unchanged in substance; it is the module that DEFINED the second axis, so it now reads as the canonical Axis-2 example. Its section library and per-party profiles are exactly the shared mechanism.</w:t>
            </w:r>
          </w:p>
        </w:tc>
      </w:tr>
    </w:tbl>
    <w:p>
      <w:pPr>
        <w:pStyle w:val="Heading1"/>
        <w:spacing w:after="140" w:before="320"/>
      </w:pPr>
      <w:r>
        <w:rPr>
          <w:rFonts w:ascii="Calibri" w:cs="Calibri" w:eastAsia="Calibri" w:hAnsi="Calibri"/>
          <w:b/>
          <w:bCs/>
          <w:color w:val="1F3A5F"/>
          <w:sz w:val="30"/>
          <w:szCs w:val="30"/>
        </w:rPr>
        <w:t xml:space="preserve">7.  Naming — the clashes to resolve now</w:t>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C08A2E" w:sz="24"/>
              <w:bottom w:val="none"/>
              <w:right w:val="none"/>
            </w:tcBorders>
            <w:shd w:fill="FDF3E3"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Flagged for your decision — not decided here</w:t>
            </w:r>
          </w:p>
          <w:p>
            <w:pPr>
              <w:spacing w:after="40" w:line="264"/>
            </w:pPr>
            <w:r>
              <w:rPr>
                <w:rFonts w:ascii="Calibri" w:cs="Calibri" w:eastAsia="Calibri" w:hAnsi="Calibri"/>
                <w:color w:val="1A1A1A"/>
                <w:sz w:val="20"/>
                <w:szCs w:val="20"/>
              </w:rPr>
              <w:t xml:space="preserve">The module docs use different values for the same two enums. These MUST be reconciled before build. This preface specifies the rule and flags the clash; per your instruction it does not pick the values.</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50"/>
        <w:gridCol w:w="1500"/>
        <w:gridCol w:w="2350"/>
        <w:gridCol w:w="1660"/>
      </w:tblGrid>
      <w:tr>
        <w:trPr>
          <w:tblHeader/>
        </w:trPr>
        <w:tc>
          <w:tcPr>
            <w:tcW w:type="dxa" w:w="220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Enum</w:t>
            </w:r>
          </w:p>
        </w:tc>
        <w:tc>
          <w:tcPr>
            <w:tcW w:type="dxa" w:w="165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C&amp;S doc</w:t>
            </w:r>
          </w:p>
        </w:tc>
        <w:tc>
          <w:tcPr>
            <w:tcW w:type="dxa" w:w="150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DP doc</w:t>
            </w:r>
          </w:p>
        </w:tc>
        <w:tc>
          <w:tcPr>
            <w:tcW w:type="dxa" w:w="235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P&amp;I doc</w:t>
            </w:r>
          </w:p>
        </w:tc>
        <w:tc>
          <w:tcPr>
            <w:tcW w:type="dxa" w:w="166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Clash?</w:t>
            </w:r>
          </w:p>
        </w:tc>
      </w:tr>
      <w:tr>
        <w:tc>
          <w:tcPr>
            <w:tcW w:type="dxa" w:w="22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Axis 1 — case_type / matter_type</w:t>
            </w:r>
          </w:p>
        </w:tc>
        <w:tc>
          <w:tcPr>
            <w:tcW w:type="dxa" w:w="16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cs_ahts</w:t>
            </w:r>
          </w:p>
        </w:tc>
        <w:tc>
          <w:tcPr>
            <w:tcW w:type="dxa" w:w="15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dp_trial</w:t>
            </w:r>
          </w:p>
        </w:tc>
        <w:tc>
          <w:tcPr>
            <w:tcW w:type="dxa" w:w="23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matter_type: pi_incident / pi_expert / pi_liability</w:t>
            </w:r>
          </w:p>
        </w:tc>
        <w:tc>
          <w:tcPr>
            <w:tcW w:type="dxa" w:w="16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Two different NAMES for the same axis (case_type vs matter_type) + H&amp;M value differs</w:t>
            </w:r>
          </w:p>
        </w:tc>
      </w:tr>
      <w:tr>
        <w:tc>
          <w:tcPr>
            <w:tcW w:type="dxa" w:w="22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H&amp;M value</w:t>
            </w:r>
          </w:p>
        </w:tc>
        <w:tc>
          <w:tcPr>
            <w:tcW w:type="dxa" w:w="16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hm_casualty</w:t>
            </w:r>
          </w:p>
        </w:tc>
        <w:tc>
          <w:tcPr>
            <w:tcW w:type="dxa" w:w="15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hm_survey</w:t>
            </w:r>
          </w:p>
        </w:tc>
        <w:tc>
          <w:tcPr>
            <w:tcW w:type="dxa" w:w="23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(H&amp;M existing)</w:t>
            </w:r>
          </w:p>
        </w:tc>
        <w:tc>
          <w:tcPr>
            <w:tcW w:type="dxa" w:w="16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hm_casualty vs hm_survey</w:t>
            </w:r>
          </w:p>
        </w:tc>
      </w:tr>
    </w:tbl>
    <w:p>
      <w:pPr>
        <w:spacing w:after="60"/>
      </w:pPr>
      <w:r>
        <w:t xml:space="preserve"/>
      </w:r>
    </w:p>
    <w:p>
      <w:pPr>
        <w:spacing w:after="120" w:line="276"/>
      </w:pPr>
      <w:r>
        <w:rPr>
          <w:rFonts w:ascii="Calibri" w:cs="Calibri" w:eastAsia="Calibri" w:hAnsi="Calibri"/>
          <w:b/>
          <w:bCs/>
          <w:color w:val="1A1A1A"/>
          <w:sz w:val="21"/>
          <w:szCs w:val="21"/>
        </w:rPr>
        <w:t xml:space="preserve">The rule (whichever values you pick): </w:t>
      </w:r>
      <w:r>
        <w:rPr>
          <w:rFonts w:ascii="Calibri" w:cs="Calibri" w:eastAsia="Calibri" w:hAnsi="Calibri"/>
          <w:color w:val="1A1A1A"/>
          <w:sz w:val="21"/>
          <w:szCs w:val="21"/>
        </w:rPr>
        <w:t xml:space="preserve">one enum name for Axis 1 across all modules (decide case_type vs matter_type), one descriptive value scheme grouped by prefix, with room to grow — hm_*, cs_*, dp_*, pi_* — so survey type number five slots in with no schema rethink.</w:t>
      </w:r>
    </w:p>
    <w:p>
      <w:pPr>
        <w:spacing w:after="30"/>
      </w:pPr>
      <w:r>
        <w:t xml:space="preserve"/>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2E5F8A" w:sz="24"/>
              <w:bottom w:val="none"/>
              <w:right w:val="none"/>
            </w:tcBorders>
            <w:shd w:fill="EAF0F6" w:color="auto" w:val="clear"/>
            <w:tcMar>
              <w:top w:type="dxa" w:w="120"/>
              <w:left w:type="dxa" w:w="160"/>
              <w:bottom w:type="dxa" w:w="120"/>
              <w:right w:type="dxa" w:w="140"/>
            </w:tcMar>
          </w:tcPr>
          <w:p>
            <w:pPr>
              <w:spacing w:after="60"/>
            </w:pPr>
            <w:r>
              <w:rPr>
                <w:rFonts w:ascii="Calibri" w:cs="Calibri" w:eastAsia="Calibri" w:hAnsi="Calibri"/>
                <w:b/>
                <w:bCs/>
                <w:color w:val="1F3A5F"/>
                <w:sz w:val="21"/>
                <w:szCs w:val="21"/>
              </w:rPr>
              <w:t xml:space="preserve">Recommended resolution (yours to accept or overrule)</w:t>
            </w:r>
          </w:p>
          <w:p>
            <w:pPr>
              <w:spacing w:after="40" w:line="264"/>
            </w:pPr>
            <w:r>
              <w:rPr>
                <w:rFonts w:ascii="Calibri" w:cs="Calibri" w:eastAsia="Calibri" w:hAnsi="Calibri"/>
                <w:color w:val="1A1A1A"/>
                <w:sz w:val="20"/>
                <w:szCs w:val="20"/>
              </w:rPr>
              <w:t xml:space="preserve">Name the Axis-1 enum case_type platform-wide (it is broader than “matter”; C&amp;S and DP are not matters). Values: hm_casualty, cs_ahts, dp_trial, pi_incident, pi_expert, pi_liability. Only edits required: DP doc hm_survey → hm_casualty; P&amp;I doc matter_type → case_type. All three then conform.</w:t>
            </w:r>
          </w:p>
        </w:tc>
      </w:tr>
    </w:tbl>
    <w:p>
      <w:r>
        <w:br w:type="page"/>
      </w:r>
    </w:p>
    <w:p>
      <w:pPr>
        <w:pStyle w:val="Heading1"/>
        <w:spacing w:after="140" w:before="320"/>
      </w:pPr>
      <w:r>
        <w:rPr>
          <w:rFonts w:ascii="Calibri" w:cs="Calibri" w:eastAsia="Calibri" w:hAnsi="Calibri"/>
          <w:b/>
          <w:bCs/>
          <w:color w:val="1F3A5F"/>
          <w:sz w:val="30"/>
          <w:szCs w:val="30"/>
        </w:rPr>
        <w:t xml:space="preserve">8.  Consolidated open decisions</w:t>
      </w:r>
    </w:p>
    <w:p>
      <w:pPr>
        <w:spacing w:after="120" w:line="276"/>
      </w:pPr>
      <w:r>
        <w:rPr>
          <w:rFonts w:ascii="Calibri" w:cs="Calibri" w:eastAsia="Calibri" w:hAnsi="Calibri"/>
          <w:color w:val="1A1A1A"/>
          <w:sz w:val="21"/>
          <w:szCs w:val="21"/>
        </w:rPr>
        <w:t xml:space="preserve">Pulled from all three module docs plus this preface, to resolve in one pass.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50"/>
        <w:gridCol w:w="1550"/>
        <w:gridCol w:w="3860"/>
      </w:tblGrid>
      <w:tr>
        <w:trPr>
          <w:tblHeader/>
        </w:trPr>
        <w:tc>
          <w:tcPr>
            <w:tcW w:type="dxa" w:w="50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w:t>
            </w:r>
          </w:p>
        </w:tc>
        <w:tc>
          <w:tcPr>
            <w:tcW w:type="dxa" w:w="345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Decision</w:t>
            </w:r>
          </w:p>
        </w:tc>
        <w:tc>
          <w:tcPr>
            <w:tcW w:type="dxa" w:w="155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Source</w:t>
            </w:r>
          </w:p>
        </w:tc>
        <w:tc>
          <w:tcPr>
            <w:tcW w:type="dxa" w:w="3860"/>
            <w:tcBorders>
              <w:top w:val="single" w:color="C3CEDA" w:sz="4"/>
              <w:left w:val="single" w:color="C3CEDA" w:sz="4"/>
              <w:bottom w:val="single" w:color="C3CEDA" w:sz="4"/>
              <w:right w:val="single" w:color="C3CEDA" w:sz="4"/>
            </w:tcBorders>
            <w:shd w:fill="1F3A5F" w:color="auto" w:val="clear"/>
            <w:tcMar>
              <w:top w:type="dxa" w:w="55"/>
              <w:left w:type="dxa" w:w="85"/>
              <w:bottom w:type="dxa" w:w="55"/>
              <w:right w:type="dxa" w:w="85"/>
            </w:tcMar>
          </w:tcPr>
          <w:p>
            <w:pPr>
              <w:spacing w:after="40" w:line="248"/>
            </w:pPr>
            <w:r>
              <w:rPr>
                <w:rFonts w:ascii="Calibri" w:cs="Calibri" w:eastAsia="Calibri" w:hAnsi="Calibri"/>
                <w:b/>
                <w:bCs/>
                <w:color w:val="FFFFFF"/>
                <w:sz w:val="18"/>
                <w:szCs w:val="18"/>
              </w:rPr>
              <w:t xml:space="preserve">Why it matters</w:t>
            </w:r>
          </w:p>
        </w:tc>
      </w:tr>
      <w:tr>
        <w:tc>
          <w:tcPr>
            <w:tcW w:type="dxa" w:w="5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1</w:t>
            </w:r>
          </w:p>
        </w:tc>
        <w:tc>
          <w:tcPr>
            <w:tcW w:type="dxa" w:w="34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Axis-1 enum name (case_type vs matter_type) + value scheme</w:t>
            </w:r>
          </w:p>
        </w:tc>
        <w:tc>
          <w:tcPr>
            <w:tcW w:type="dxa" w:w="15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Preface §7</w:t>
            </w:r>
          </w:p>
        </w:tc>
        <w:tc>
          <w:tcPr>
            <w:tcW w:type="dxa" w:w="38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One shared enum; blocks all modules until set</w:t>
            </w:r>
          </w:p>
        </w:tc>
      </w:tr>
      <w:tr>
        <w:tc>
          <w:tcPr>
            <w:tcW w:type="dxa" w:w="5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2</w:t>
            </w:r>
          </w:p>
        </w:tc>
        <w:tc>
          <w:tcPr>
            <w:tcW w:type="dxa" w:w="34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Single shared findings/recommendations UI primitive?</w:t>
            </w:r>
          </w:p>
        </w:tc>
        <w:tc>
          <w:tcPr>
            <w:tcW w:type="dxa" w:w="15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Cross-module</w:t>
            </w:r>
          </w:p>
        </w:tc>
        <w:tc>
          <w:tcPr>
            <w:tcW w:type="dxa" w:w="38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C&amp;S recs, DP A/B/C findings, P&amp;I opinion points are the same shape — build once?</w:t>
            </w:r>
          </w:p>
        </w:tc>
      </w:tr>
      <w:tr>
        <w:tc>
          <w:tcPr>
            <w:tcW w:type="dxa" w:w="5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3</w:t>
            </w:r>
          </w:p>
        </w:tc>
        <w:tc>
          <w:tcPr>
            <w:tcW w:type="dxa" w:w="34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Ship a shared section-library UI now, or per-module layouts first?</w:t>
            </w:r>
          </w:p>
        </w:tc>
        <w:tc>
          <w:tcPr>
            <w:tcW w:type="dxa" w:w="15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Preface §1.2</w:t>
            </w:r>
          </w:p>
        </w:tc>
        <w:tc>
          <w:tcPr>
            <w:tcW w:type="dxa" w:w="38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The two-axis model wants a real section library; worth front-loading?</w:t>
            </w:r>
          </w:p>
        </w:tc>
      </w:tr>
      <w:tr>
        <w:tc>
          <w:tcPr>
            <w:tcW w:type="dxa" w:w="5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4</w:t>
            </w:r>
          </w:p>
        </w:tc>
        <w:tc>
          <w:tcPr>
            <w:tcW w:type="dxa" w:w="34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C&amp;S: fixed skeleton vs. surveyor-editable per case</w:t>
            </w:r>
          </w:p>
        </w:tc>
        <w:tc>
          <w:tcPr>
            <w:tcW w:type="dxa" w:w="15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C&amp;S doc</w:t>
            </w:r>
          </w:p>
        </w:tc>
        <w:tc>
          <w:tcPr>
            <w:tcW w:type="dxa" w:w="38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Consistency vs flexibility</w:t>
            </w:r>
          </w:p>
        </w:tc>
      </w:tr>
      <w:tr>
        <w:tc>
          <w:tcPr>
            <w:tcW w:type="dxa" w:w="5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5</w:t>
            </w:r>
          </w:p>
        </w:tc>
        <w:tc>
          <w:tcPr>
            <w:tcW w:type="dxa" w:w="34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DP: ship a standard IMCA test-sheet library vs. always FMEA-derived</w:t>
            </w:r>
          </w:p>
        </w:tc>
        <w:tc>
          <w:tcPr>
            <w:tcW w:type="dxa" w:w="15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DP doc</w:t>
            </w:r>
          </w:p>
        </w:tc>
        <w:tc>
          <w:tcPr>
            <w:tcW w:type="dxa" w:w="38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Speed in field vs per-vessel precision</w:t>
            </w:r>
          </w:p>
        </w:tc>
      </w:tr>
      <w:tr>
        <w:tc>
          <w:tcPr>
            <w:tcW w:type="dxa" w:w="5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6</w:t>
            </w:r>
          </w:p>
        </w:tc>
        <w:tc>
          <w:tcPr>
            <w:tcW w:type="dxa" w:w="34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DP: M191 MODU continuous-trials — in scope now or later?</w:t>
            </w:r>
          </w:p>
        </w:tc>
        <w:tc>
          <w:tcPr>
            <w:tcW w:type="dxa" w:w="15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DP doc</w:t>
            </w:r>
          </w:p>
        </w:tc>
        <w:tc>
          <w:tcPr>
            <w:tcW w:type="dxa" w:w="38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Different cadence; affects register model</w:t>
            </w:r>
          </w:p>
        </w:tc>
      </w:tr>
      <w:tr>
        <w:tc>
          <w:tcPr>
            <w:tcW w:type="dxa" w:w="5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7</w:t>
            </w:r>
          </w:p>
        </w:tc>
        <w:tc>
          <w:tcPr>
            <w:tcW w:type="dxa" w:w="34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P&amp;I: build the 5-question intake + per-party profiles early?</w:t>
            </w:r>
          </w:p>
        </w:tc>
        <w:tc>
          <w:tcPr>
            <w:tcW w:type="dxa" w:w="15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P&amp;I §6</w:t>
            </w:r>
          </w:p>
        </w:tc>
        <w:tc>
          <w:tcPr>
            <w:tcW w:type="dxa" w:w="38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It is the config moat and demos the two-axis model</w:t>
            </w:r>
          </w:p>
        </w:tc>
      </w:tr>
      <w:tr>
        <w:tc>
          <w:tcPr>
            <w:tcW w:type="dxa" w:w="50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8</w:t>
            </w:r>
          </w:p>
        </w:tc>
        <w:tc>
          <w:tcPr>
            <w:tcW w:type="dxa" w:w="34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Confirm GPN-EXPT / privilege / P&amp;I-Club claims with a lawyer</w:t>
            </w:r>
          </w:p>
        </w:tc>
        <w:tc>
          <w:tcPr>
            <w:tcW w:type="dxa" w:w="155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P&amp;I §8</w:t>
            </w:r>
          </w:p>
        </w:tc>
        <w:tc>
          <w:tcPr>
            <w:tcW w:type="dxa" w:w="3860"/>
            <w:tcBorders>
              <w:top w:val="single" w:color="C3CEDA" w:sz="4"/>
              <w:left w:val="single" w:color="C3CEDA" w:sz="4"/>
              <w:bottom w:val="single" w:color="C3CEDA" w:sz="4"/>
              <w:right w:val="single" w:color="C3CEDA" w:sz="4"/>
            </w:tcBorders>
            <w:shd w:fill="EAF0F6" w:color="auto" w:val="clear"/>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Litigation domain — confident-wrong is a liability, not just an error</w:t>
            </w:r>
          </w:p>
        </w:tc>
      </w:tr>
      <w:tr>
        <w:tc>
          <w:tcPr>
            <w:tcW w:type="dxa" w:w="50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bCs/>
                <w:color w:val="1F3A5F"/>
                <w:sz w:val="18"/>
                <w:szCs w:val="18"/>
              </w:rPr>
              <w:t xml:space="preserve">9</w:t>
            </w:r>
          </w:p>
        </w:tc>
        <w:tc>
          <w:tcPr>
            <w:tcW w:type="dxa" w:w="34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Report-format naming across modules (mirror house styles / own labels)</w:t>
            </w:r>
          </w:p>
        </w:tc>
        <w:tc>
          <w:tcPr>
            <w:tcW w:type="dxa" w:w="155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All</w:t>
            </w:r>
          </w:p>
        </w:tc>
        <w:tc>
          <w:tcPr>
            <w:tcW w:type="dxa" w:w="3860"/>
            <w:tcBorders>
              <w:top w:val="single" w:color="C3CEDA" w:sz="4"/>
              <w:left w:val="single" w:color="C3CEDA" w:sz="4"/>
              <w:bottom w:val="single" w:color="C3CEDA" w:sz="4"/>
              <w:right w:val="single" w:color="C3CEDA" w:sz="4"/>
            </w:tcBorders>
            <w:tcMar>
              <w:top w:type="dxa" w:w="55"/>
              <w:left w:type="dxa" w:w="85"/>
              <w:bottom w:type="dxa" w:w="55"/>
              <w:right w:type="dxa" w:w="85"/>
            </w:tcMar>
          </w:tcPr>
          <w:p>
            <w:pPr>
              <w:spacing w:after="40" w:line="248"/>
            </w:pPr>
            <w:r>
              <w:rPr>
                <w:rFonts w:ascii="Calibri" w:cs="Calibri" w:eastAsia="Calibri" w:hAnsi="Calibri"/>
                <w:b w:val="false"/>
                <w:bCs w:val="false"/>
                <w:color w:val="1A1A1A"/>
                <w:sz w:val="18"/>
                <w:szCs w:val="18"/>
              </w:rPr>
              <w:t xml:space="preserve">Drives clause-library entries + gate wording</w:t>
            </w:r>
          </w:p>
        </w:tc>
      </w:tr>
    </w:tbl>
    <w:p>
      <w:pPr>
        <w:spacing w:after="140"/>
      </w:pPr>
      <w:r>
        <w:t xml:space="preserve"/>
      </w:r>
    </w:p>
    <w:p>
      <w:pPr>
        <w:pBdr>
          <w:top w:val="single" w:color="C3CEDA" w:sz="8" w:space="8"/>
        </w:pBdr>
        <w:spacing w:after="40" w:before="200"/>
      </w:pPr>
      <w:r>
        <w:rPr>
          <w:rFonts w:ascii="Calibri" w:cs="Calibri" w:eastAsia="Calibri" w:hAnsi="Calibri"/>
          <w:b/>
          <w:bCs/>
          <w:color w:val="1F3A5F"/>
          <w:sz w:val="24"/>
          <w:szCs w:val="24"/>
        </w:rPr>
        <w:t xml:space="preserve">Summary</w:t>
      </w:r>
    </w:p>
    <w:p>
      <w:pPr>
        <w:spacing w:after="120" w:line="276"/>
      </w:pPr>
      <w:r>
        <w:rPr>
          <w:rFonts w:ascii="Calibri" w:cs="Calibri" w:eastAsia="Calibri" w:hAnsi="Calibri"/>
          <w:color w:val="1A1A1A"/>
          <w:sz w:val="21"/>
          <w:szCs w:val="21"/>
        </w:rPr>
        <w:t xml:space="preserve">Three module designs, drafted separately, are three instances of one engine varying along </w:t>
      </w:r>
      <w:r>
        <w:rPr>
          <w:rFonts w:ascii="Calibri" w:cs="Calibri" w:eastAsia="Calibri" w:hAnsi="Calibri"/>
          <w:b/>
          <w:bCs/>
          <w:color w:val="1A1A1A"/>
          <w:sz w:val="21"/>
          <w:szCs w:val="21"/>
        </w:rPr>
        <w:t xml:space="preserve">two orthogonal axes</w:t>
      </w:r>
      <w:r>
        <w:rPr>
          <w:rFonts w:ascii="Calibri" w:cs="Calibri" w:eastAsia="Calibri" w:hAnsi="Calibri"/>
          <w:color w:val="1A1A1A"/>
          <w:sz w:val="21"/>
          <w:szCs w:val="21"/>
        </w:rPr>
        <w:t xml:space="preserve">: the register (what you capture) and the profile (how the report is assembled and gated — section set, clause profile, sign-off rule, and block-or-warn export behaviour). </w:t>
      </w:r>
      <w:r>
        <w:rPr>
          <w:rFonts w:ascii="Calibri" w:cs="Calibri" w:eastAsia="Calibri" w:hAnsi="Calibri"/>
          <w:i/>
          <w:iCs/>
          <w:color w:val="1A1A1A"/>
          <w:sz w:val="21"/>
          <w:szCs w:val="21"/>
        </w:rPr>
        <w:t xml:space="preserve">case_type</w:t>
      </w:r>
      <w:r>
        <w:rPr>
          <w:rFonts w:ascii="Calibri" w:cs="Calibri" w:eastAsia="Calibri" w:hAnsi="Calibri"/>
          <w:color w:val="1A1A1A"/>
          <w:sz w:val="21"/>
          <w:szCs w:val="21"/>
        </w:rPr>
        <w:t xml:space="preserve"> picks a register and a default profile; the profile is then editable per case. That split — forced by the P&amp;I module — lets one platform serve H&amp;M, C&amp;S — AHTS, DP trials and the full range of P&amp;I instructing parties with no new report type per variation. Lock the two enum names (§7), and each module stands as a clean specialisation — while survey type number five becomes one row in the governing table, not one more design document.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CEDA" w:sz="4" w:space="4"/>
      </w:pBdr>
      <w:spacing w:before="40"/>
      <w:jc w:val="center"/>
    </w:pPr>
    <w:r>
      <w:rPr>
        <w:rFonts w:ascii="Calibri" w:cs="Calibri" w:eastAsia="Calibri" w:hAnsi="Calibri"/>
        <w:color w:val="6B7280"/>
        <w:sz w:val="15"/>
        <w:szCs w:val="15"/>
      </w:rPr>
      <w:t xml:space="preserve">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EDA" w:sz="4" w:space="4"/>
      </w:pBdr>
      <w:spacing w:after="0"/>
      <w:jc w:val="right"/>
    </w:pPr>
    <w:r>
      <w:rPr>
        <w:rFonts w:ascii="Calibri" w:cs="Calibri" w:eastAsia="Calibri" w:hAnsi="Calibri"/>
        <w:color w:val="6B7280"/>
        <w:sz w:val="15"/>
        <w:szCs w:val="15"/>
      </w:rPr>
      <w:t xml:space="preserve">Marine Survey App  ·  Survey Module Architecture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2E5F8A"/>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380" w:hanging="240"/>
      </w:pPr>
      <w:rPr>
        <w:b/>
        <w:bCs/>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Module Architecture — Governing Preface v2.0</dc:title>
  <dc:creator>Marine Survey App</dc:creator>
  <cp:lastModifiedBy>Un-named</cp:lastModifiedBy>
  <cp:revision>1</cp:revision>
  <dcterms:created xsi:type="dcterms:W3CDTF">2026-07-17T09:01:56.533Z</dcterms:created>
  <dcterms:modified xsi:type="dcterms:W3CDTF">2026-07-17T09:01:56.548Z</dcterms:modified>
</cp:coreProperties>
</file>

<file path=docProps/custom.xml><?xml version="1.0" encoding="utf-8"?>
<Properties xmlns="http://schemas.openxmlformats.org/officeDocument/2006/custom-properties" xmlns:vt="http://schemas.openxmlformats.org/officeDocument/2006/docPropsVTypes"/>
</file>