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AHRS-1</w:t>
      </w:r>
    </w:p>
    <w:p>
      <w:pPr>
        <w:pStyle w:val="Heading2"/>
        <w:bidi w:val="0"/>
        <w:jc w:val="start"/>
        <w:rPr/>
      </w:pPr>
      <w:r>
        <w:rPr/>
        <w:t>Archaeological Heritage Resonance Scanner</w:t>
      </w:r>
    </w:p>
    <w:p>
      <w:pPr>
        <w:pStyle w:val="Heading3"/>
        <w:bidi w:val="0"/>
        <w:jc w:val="start"/>
        <w:rPr/>
      </w:pPr>
      <w:r>
        <w:rPr/>
        <w:t>Complete Integrated Dossier (Compiled from Full Thread)</w:t>
      </w:r>
    </w:p>
    <w:p>
      <w:pPr>
        <w:pStyle w:val="HorizontalLine"/>
        <w:bidi w:val="0"/>
        <w:jc w:val="start"/>
        <w:rPr/>
      </w:pPr>
      <w:r>
        <w:rPr/>
      </w:r>
    </w:p>
    <w:p>
      <w:pPr>
        <w:pStyle w:val="Heading2"/>
        <w:bidi w:val="0"/>
        <w:jc w:val="start"/>
        <w:rPr/>
      </w:pPr>
      <w:r>
        <w:rPr/>
        <w:t>0. Executive Summary</w:t>
      </w:r>
    </w:p>
    <w:p>
      <w:pPr>
        <w:pStyle w:val="BodyText"/>
        <w:bidi w:val="0"/>
        <w:jc w:val="start"/>
        <w:rPr/>
      </w:pPr>
      <w:r>
        <w:rPr/>
        <w:t xml:space="preserve">AHRS-1 is a </w:t>
      </w:r>
      <w:r>
        <w:rPr>
          <w:rStyle w:val="Strong"/>
        </w:rPr>
        <w:t>portable, non-destructive diagnostic device</w:t>
      </w:r>
      <w:r>
        <w:rPr/>
        <w:t xml:space="preserve"> designed for the Archaeological Survey of India (ASI) to assess the internal structural and environmental condition of heritage stone structures and archaeological water bodies. The system is grounded entirely in conservative engineering, accepted physics, and established Non-Destructive Testing (NDT) principles.</w:t>
      </w:r>
    </w:p>
    <w:p>
      <w:pPr>
        <w:pStyle w:val="BodyText"/>
        <w:bidi w:val="0"/>
        <w:jc w:val="start"/>
        <w:rPr/>
      </w:pPr>
      <w:r>
        <w:rPr/>
        <w:t xml:space="preserve">The conceptual integration philosophy internally referred to as </w:t>
      </w:r>
      <w:r>
        <w:rPr>
          <w:rStyle w:val="Emphasis"/>
        </w:rPr>
        <w:t>Spandan</w:t>
      </w:r>
      <w:r>
        <w:rPr/>
        <w:t xml:space="preserve"> is </w:t>
      </w:r>
      <w:r>
        <w:rPr>
          <w:rStyle w:val="Strong"/>
        </w:rPr>
        <w:t>not exposed externally</w:t>
      </w:r>
      <w:r>
        <w:rPr/>
        <w:t>. To ASI and other authorities, AHRS-1 is presented strictly as a standard scientific instrument for resonance-response analysis.</w:t>
      </w:r>
    </w:p>
    <w:p>
      <w:pPr>
        <w:pStyle w:val="HorizontalLine"/>
        <w:bidi w:val="0"/>
        <w:jc w:val="start"/>
        <w:rPr/>
      </w:pPr>
      <w:r>
        <w:rPr/>
      </w:r>
    </w:p>
    <w:p>
      <w:pPr>
        <w:pStyle w:val="Heading2"/>
        <w:bidi w:val="0"/>
        <w:jc w:val="start"/>
        <w:rPr/>
      </w:pPr>
      <w:r>
        <w:rPr/>
        <w:t>1. Problem Statement</w:t>
      </w:r>
    </w:p>
    <w:p>
      <w:pPr>
        <w:pStyle w:val="BodyText"/>
        <w:bidi w:val="0"/>
        <w:jc w:val="start"/>
        <w:rPr/>
      </w:pPr>
      <w:r>
        <w:rPr/>
        <w:t>Existing conservation practices rely heavily on:</w:t>
      </w:r>
    </w:p>
    <w:p>
      <w:pPr>
        <w:pStyle w:val="BodyText"/>
        <w:numPr>
          <w:ilvl w:val="0"/>
          <w:numId w:val="1"/>
        </w:numPr>
        <w:tabs>
          <w:tab w:val="clear" w:pos="709"/>
          <w:tab w:val="left" w:pos="709" w:leader="none"/>
        </w:tabs>
        <w:bidi w:val="0"/>
        <w:ind w:hanging="283" w:start="709"/>
        <w:jc w:val="start"/>
        <w:rPr/>
      </w:pPr>
      <w:r>
        <w:rPr/>
        <w:t>Visual inspection</w:t>
      </w:r>
    </w:p>
    <w:p>
      <w:pPr>
        <w:pStyle w:val="BodyText"/>
        <w:numPr>
          <w:ilvl w:val="0"/>
          <w:numId w:val="1"/>
        </w:numPr>
        <w:tabs>
          <w:tab w:val="clear" w:pos="709"/>
          <w:tab w:val="left" w:pos="709" w:leader="none"/>
        </w:tabs>
        <w:bidi w:val="0"/>
        <w:ind w:hanging="283" w:start="709"/>
        <w:jc w:val="start"/>
        <w:rPr/>
      </w:pPr>
      <w:r>
        <w:rPr/>
        <w:t>Surface-level material testing</w:t>
      </w:r>
    </w:p>
    <w:p>
      <w:pPr>
        <w:pStyle w:val="BodyText"/>
        <w:numPr>
          <w:ilvl w:val="0"/>
          <w:numId w:val="1"/>
        </w:numPr>
        <w:tabs>
          <w:tab w:val="clear" w:pos="709"/>
          <w:tab w:val="left" w:pos="709" w:leader="none"/>
        </w:tabs>
        <w:bidi w:val="0"/>
        <w:ind w:hanging="283" w:start="709"/>
        <w:jc w:val="start"/>
        <w:rPr/>
      </w:pPr>
      <w:r>
        <w:rPr/>
        <w:t>Post-damage intervention</w:t>
      </w:r>
    </w:p>
    <w:p>
      <w:pPr>
        <w:pStyle w:val="BodyText"/>
        <w:bidi w:val="0"/>
        <w:jc w:val="start"/>
        <w:rPr/>
      </w:pPr>
      <w:r>
        <w:rPr/>
        <w:t xml:space="preserve">These methods </w:t>
      </w:r>
      <w:r>
        <w:rPr>
          <w:rStyle w:val="Strong"/>
        </w:rPr>
        <w:t>cannot reliably detect</w:t>
      </w:r>
      <w:r>
        <w:rPr/>
        <w:t>:</w:t>
      </w:r>
    </w:p>
    <w:p>
      <w:pPr>
        <w:pStyle w:val="BodyText"/>
        <w:numPr>
          <w:ilvl w:val="0"/>
          <w:numId w:val="2"/>
        </w:numPr>
        <w:tabs>
          <w:tab w:val="clear" w:pos="709"/>
          <w:tab w:val="left" w:pos="709" w:leader="none"/>
        </w:tabs>
        <w:bidi w:val="0"/>
        <w:ind w:hanging="283" w:start="709"/>
        <w:jc w:val="start"/>
        <w:rPr/>
      </w:pPr>
      <w:r>
        <w:rPr/>
        <w:t>Early-stage internal stress</w:t>
      </w:r>
    </w:p>
    <w:p>
      <w:pPr>
        <w:pStyle w:val="BodyText"/>
        <w:numPr>
          <w:ilvl w:val="0"/>
          <w:numId w:val="2"/>
        </w:numPr>
        <w:tabs>
          <w:tab w:val="clear" w:pos="709"/>
          <w:tab w:val="left" w:pos="709" w:leader="none"/>
        </w:tabs>
        <w:bidi w:val="0"/>
        <w:ind w:hanging="283" w:start="709"/>
        <w:jc w:val="start"/>
        <w:rPr/>
      </w:pPr>
      <w:r>
        <w:rPr/>
        <w:t>Micro-fracturing and fatigue</w:t>
      </w:r>
    </w:p>
    <w:p>
      <w:pPr>
        <w:pStyle w:val="BodyText"/>
        <w:numPr>
          <w:ilvl w:val="0"/>
          <w:numId w:val="2"/>
        </w:numPr>
        <w:tabs>
          <w:tab w:val="clear" w:pos="709"/>
          <w:tab w:val="left" w:pos="709" w:leader="none"/>
        </w:tabs>
        <w:bidi w:val="0"/>
        <w:ind w:hanging="283" w:start="709"/>
        <w:jc w:val="start"/>
        <w:rPr/>
      </w:pPr>
      <w:r>
        <w:rPr/>
        <w:t>Long-term moisture interaction</w:t>
      </w:r>
    </w:p>
    <w:p>
      <w:pPr>
        <w:pStyle w:val="BodyText"/>
        <w:numPr>
          <w:ilvl w:val="0"/>
          <w:numId w:val="2"/>
        </w:numPr>
        <w:tabs>
          <w:tab w:val="clear" w:pos="709"/>
          <w:tab w:val="left" w:pos="709" w:leader="none"/>
        </w:tabs>
        <w:bidi w:val="0"/>
        <w:ind w:hanging="283" w:start="709"/>
        <w:jc w:val="start"/>
        <w:rPr/>
      </w:pPr>
      <w:r>
        <w:rPr/>
        <w:t>Subsurface degradation before visible damage</w:t>
      </w:r>
    </w:p>
    <w:p>
      <w:pPr>
        <w:pStyle w:val="BodyText"/>
        <w:bidi w:val="0"/>
        <w:jc w:val="start"/>
        <w:rPr/>
      </w:pPr>
      <w:r>
        <w:rPr/>
        <w:t>Destructive testing is not permissible on protected monuments, and many advanced NDT methods are costly or logistically unsuitable for Indian heritage sites.</w:t>
      </w:r>
    </w:p>
    <w:p>
      <w:pPr>
        <w:pStyle w:val="HorizontalLine"/>
        <w:bidi w:val="0"/>
        <w:jc w:val="start"/>
        <w:rPr/>
      </w:pPr>
      <w:r>
        <w:rPr/>
      </w:r>
    </w:p>
    <w:p>
      <w:pPr>
        <w:pStyle w:val="Heading2"/>
        <w:bidi w:val="0"/>
        <w:jc w:val="start"/>
        <w:rPr/>
      </w:pPr>
      <w:r>
        <w:rPr/>
        <w:t>2. Solution Overview</w:t>
      </w:r>
    </w:p>
    <w:p>
      <w:pPr>
        <w:pStyle w:val="BodyText"/>
        <w:bidi w:val="0"/>
        <w:jc w:val="start"/>
        <w:rPr/>
      </w:pPr>
      <w:r>
        <w:rPr/>
        <w:t>AHRS-1 addresses this gap by:</w:t>
      </w:r>
    </w:p>
    <w:p>
      <w:pPr>
        <w:pStyle w:val="BodyText"/>
        <w:numPr>
          <w:ilvl w:val="0"/>
          <w:numId w:val="3"/>
        </w:numPr>
        <w:tabs>
          <w:tab w:val="clear" w:pos="709"/>
          <w:tab w:val="left" w:pos="709" w:leader="none"/>
        </w:tabs>
        <w:bidi w:val="0"/>
        <w:ind w:hanging="283" w:start="709"/>
        <w:jc w:val="start"/>
        <w:rPr/>
      </w:pPr>
      <w:r>
        <w:rPr/>
        <w:t>Applying ultra-low-energy controlled excitation</w:t>
      </w:r>
    </w:p>
    <w:p>
      <w:pPr>
        <w:pStyle w:val="BodyText"/>
        <w:numPr>
          <w:ilvl w:val="0"/>
          <w:numId w:val="3"/>
        </w:numPr>
        <w:tabs>
          <w:tab w:val="clear" w:pos="709"/>
          <w:tab w:val="left" w:pos="709" w:leader="none"/>
        </w:tabs>
        <w:bidi w:val="0"/>
        <w:ind w:hanging="283" w:start="709"/>
        <w:jc w:val="start"/>
        <w:rPr/>
      </w:pPr>
      <w:r>
        <w:rPr/>
        <w:t>Measuring passive resonance responses</w:t>
      </w:r>
    </w:p>
    <w:p>
      <w:pPr>
        <w:pStyle w:val="BodyText"/>
        <w:numPr>
          <w:ilvl w:val="0"/>
          <w:numId w:val="3"/>
        </w:numPr>
        <w:tabs>
          <w:tab w:val="clear" w:pos="709"/>
          <w:tab w:val="left" w:pos="709" w:leader="none"/>
        </w:tabs>
        <w:bidi w:val="0"/>
        <w:ind w:hanging="283" w:start="709"/>
        <w:jc w:val="start"/>
        <w:rPr/>
      </w:pPr>
      <w:r>
        <w:rPr/>
        <w:t>Extracting interpretable physical parameters</w:t>
      </w:r>
    </w:p>
    <w:p>
      <w:pPr>
        <w:pStyle w:val="BodyText"/>
        <w:numPr>
          <w:ilvl w:val="0"/>
          <w:numId w:val="3"/>
        </w:numPr>
        <w:tabs>
          <w:tab w:val="clear" w:pos="709"/>
          <w:tab w:val="left" w:pos="709" w:leader="none"/>
        </w:tabs>
        <w:bidi w:val="0"/>
        <w:ind w:hanging="283" w:start="709"/>
        <w:jc w:val="start"/>
        <w:rPr/>
      </w:pPr>
      <w:r>
        <w:rPr/>
        <w:t>Enabling longitudinal comparison over time</w:t>
      </w:r>
    </w:p>
    <w:p>
      <w:pPr>
        <w:pStyle w:val="BodyText"/>
        <w:bidi w:val="0"/>
        <w:jc w:val="start"/>
        <w:rPr/>
      </w:pPr>
      <w:r>
        <w:rPr/>
        <w:t>All measurements are:</w:t>
      </w:r>
    </w:p>
    <w:p>
      <w:pPr>
        <w:pStyle w:val="BodyText"/>
        <w:numPr>
          <w:ilvl w:val="0"/>
          <w:numId w:val="4"/>
        </w:numPr>
        <w:tabs>
          <w:tab w:val="clear" w:pos="709"/>
          <w:tab w:val="left" w:pos="709" w:leader="none"/>
        </w:tabs>
        <w:bidi w:val="0"/>
        <w:ind w:hanging="283" w:start="709"/>
        <w:jc w:val="start"/>
        <w:rPr/>
      </w:pPr>
      <w:r>
        <w:rPr/>
        <w:t>Non-destructive</w:t>
      </w:r>
    </w:p>
    <w:p>
      <w:pPr>
        <w:pStyle w:val="BodyText"/>
        <w:numPr>
          <w:ilvl w:val="0"/>
          <w:numId w:val="4"/>
        </w:numPr>
        <w:tabs>
          <w:tab w:val="clear" w:pos="709"/>
          <w:tab w:val="left" w:pos="709" w:leader="none"/>
        </w:tabs>
        <w:bidi w:val="0"/>
        <w:ind w:hanging="283" w:start="709"/>
        <w:jc w:val="start"/>
        <w:rPr/>
      </w:pPr>
      <w:r>
        <w:rPr/>
        <w:t>Repeatable</w:t>
      </w:r>
    </w:p>
    <w:p>
      <w:pPr>
        <w:pStyle w:val="BodyText"/>
        <w:numPr>
          <w:ilvl w:val="0"/>
          <w:numId w:val="4"/>
        </w:numPr>
        <w:tabs>
          <w:tab w:val="clear" w:pos="709"/>
          <w:tab w:val="left" w:pos="709" w:leader="none"/>
        </w:tabs>
        <w:bidi w:val="0"/>
        <w:ind w:hanging="283" w:start="709"/>
        <w:jc w:val="start"/>
        <w:rPr/>
      </w:pPr>
      <w:r>
        <w:rPr/>
        <w:t>Portable</w:t>
      </w:r>
    </w:p>
    <w:p>
      <w:pPr>
        <w:pStyle w:val="BodyText"/>
        <w:numPr>
          <w:ilvl w:val="0"/>
          <w:numId w:val="4"/>
        </w:numPr>
        <w:tabs>
          <w:tab w:val="clear" w:pos="709"/>
          <w:tab w:val="left" w:pos="709" w:leader="none"/>
        </w:tabs>
        <w:bidi w:val="0"/>
        <w:ind w:hanging="283" w:start="709"/>
        <w:jc w:val="start"/>
        <w:rPr/>
      </w:pPr>
      <w:r>
        <w:rPr/>
        <w:t>Interpretable by conservation engineers</w:t>
      </w:r>
    </w:p>
    <w:p>
      <w:pPr>
        <w:pStyle w:val="HorizontalLine"/>
        <w:bidi w:val="0"/>
        <w:jc w:val="start"/>
        <w:rPr/>
      </w:pPr>
      <w:r>
        <w:rPr/>
      </w:r>
    </w:p>
    <w:p>
      <w:pPr>
        <w:pStyle w:val="Heading2"/>
        <w:bidi w:val="0"/>
        <w:jc w:val="start"/>
        <w:rPr/>
      </w:pPr>
      <w:r>
        <w:rPr/>
        <w:t>3. Device Identity</w:t>
      </w:r>
    </w:p>
    <w:p>
      <w:pPr>
        <w:pStyle w:val="BodyText"/>
        <w:numPr>
          <w:ilvl w:val="0"/>
          <w:numId w:val="5"/>
        </w:numPr>
        <w:tabs>
          <w:tab w:val="clear" w:pos="709"/>
          <w:tab w:val="left" w:pos="709" w:leader="none"/>
        </w:tabs>
        <w:bidi w:val="0"/>
        <w:ind w:hanging="283" w:start="709"/>
        <w:jc w:val="start"/>
        <w:rPr/>
      </w:pPr>
      <w:r>
        <w:rPr>
          <w:rStyle w:val="Strong"/>
        </w:rPr>
        <w:t>Device Name:</w:t>
      </w:r>
      <w:r>
        <w:rPr/>
        <w:t xml:space="preserve"> AHRS-1 (Archaeological Heritage Resonance Scanner)</w:t>
      </w:r>
    </w:p>
    <w:p>
      <w:pPr>
        <w:pStyle w:val="BodyText"/>
        <w:numPr>
          <w:ilvl w:val="0"/>
          <w:numId w:val="5"/>
        </w:numPr>
        <w:tabs>
          <w:tab w:val="clear" w:pos="709"/>
          <w:tab w:val="left" w:pos="709" w:leader="none"/>
        </w:tabs>
        <w:bidi w:val="0"/>
        <w:ind w:hanging="283" w:start="709"/>
        <w:jc w:val="start"/>
        <w:rPr/>
      </w:pPr>
      <w:r>
        <w:rPr>
          <w:rStyle w:val="Strong"/>
        </w:rPr>
        <w:t>Category:</w:t>
      </w:r>
      <w:r>
        <w:rPr/>
        <w:t xml:space="preserve"> Portable Non-Destructive Testing (NDT) Instrument</w:t>
      </w:r>
    </w:p>
    <w:p>
      <w:pPr>
        <w:pStyle w:val="BodyText"/>
        <w:numPr>
          <w:ilvl w:val="0"/>
          <w:numId w:val="5"/>
        </w:numPr>
        <w:tabs>
          <w:tab w:val="clear" w:pos="709"/>
          <w:tab w:val="left" w:pos="709" w:leader="none"/>
        </w:tabs>
        <w:bidi w:val="0"/>
        <w:ind w:hanging="283" w:start="709"/>
        <w:jc w:val="start"/>
        <w:rPr/>
      </w:pPr>
      <w:r>
        <w:rPr>
          <w:rStyle w:val="Strong"/>
        </w:rPr>
        <w:t>Primary Applications:</w:t>
      </w:r>
    </w:p>
    <w:p>
      <w:pPr>
        <w:pStyle w:val="BodyText"/>
        <w:numPr>
          <w:ilvl w:val="1"/>
          <w:numId w:val="5"/>
        </w:numPr>
        <w:tabs>
          <w:tab w:val="clear" w:pos="709"/>
          <w:tab w:val="left" w:pos="1418" w:leader="none"/>
        </w:tabs>
        <w:bidi w:val="0"/>
        <w:ind w:hanging="283" w:start="1418"/>
        <w:jc w:val="start"/>
        <w:rPr/>
      </w:pPr>
      <w:r>
        <w:rPr/>
        <w:t>Heritage stone diagnostics</w:t>
      </w:r>
    </w:p>
    <w:p>
      <w:pPr>
        <w:pStyle w:val="BodyText"/>
        <w:numPr>
          <w:ilvl w:val="1"/>
          <w:numId w:val="5"/>
        </w:numPr>
        <w:tabs>
          <w:tab w:val="clear" w:pos="709"/>
          <w:tab w:val="left" w:pos="1418" w:leader="none"/>
        </w:tabs>
        <w:bidi w:val="0"/>
        <w:ind w:hanging="283" w:start="1418"/>
        <w:jc w:val="start"/>
        <w:rPr/>
      </w:pPr>
      <w:r>
        <w:rPr/>
        <w:t>Archaeological water-body analysis</w:t>
      </w:r>
    </w:p>
    <w:p>
      <w:pPr>
        <w:pStyle w:val="BodyText"/>
        <w:numPr>
          <w:ilvl w:val="1"/>
          <w:numId w:val="5"/>
        </w:numPr>
        <w:tabs>
          <w:tab w:val="clear" w:pos="709"/>
          <w:tab w:val="left" w:pos="1418" w:leader="none"/>
        </w:tabs>
        <w:bidi w:val="0"/>
        <w:ind w:hanging="283" w:start="1418"/>
        <w:jc w:val="start"/>
        <w:rPr/>
      </w:pPr>
      <w:r>
        <w:rPr/>
        <w:t>Preventive conservation assessment</w:t>
      </w:r>
    </w:p>
    <w:p>
      <w:pPr>
        <w:pStyle w:val="HorizontalLine"/>
        <w:bidi w:val="0"/>
        <w:jc w:val="start"/>
        <w:rPr/>
      </w:pPr>
      <w:r>
        <w:rPr/>
      </w:r>
    </w:p>
    <w:p>
      <w:pPr>
        <w:pStyle w:val="Heading2"/>
        <w:bidi w:val="0"/>
        <w:jc w:val="start"/>
        <w:rPr/>
      </w:pPr>
      <w:r>
        <w:rPr/>
        <w:t>4. System Architecture (Hardware)</w:t>
      </w:r>
    </w:p>
    <w:p>
      <w:pPr>
        <w:pStyle w:val="Heading3"/>
        <w:bidi w:val="0"/>
        <w:jc w:val="start"/>
        <w:rPr/>
      </w:pPr>
      <w:r>
        <w:rPr/>
        <w:t>4.1 Controlled Excitation Unit (CEU)</w:t>
      </w:r>
    </w:p>
    <w:p>
      <w:pPr>
        <w:pStyle w:val="BodyText"/>
        <w:numPr>
          <w:ilvl w:val="0"/>
          <w:numId w:val="6"/>
        </w:numPr>
        <w:tabs>
          <w:tab w:val="clear" w:pos="709"/>
          <w:tab w:val="left" w:pos="709" w:leader="none"/>
        </w:tabs>
        <w:bidi w:val="0"/>
        <w:ind w:hanging="283" w:start="709"/>
        <w:jc w:val="start"/>
        <w:rPr/>
      </w:pPr>
      <w:r>
        <w:rPr/>
        <w:t>Acoustic transducer (20 Hz–20 kHz)</w:t>
      </w:r>
    </w:p>
    <w:p>
      <w:pPr>
        <w:pStyle w:val="BodyText"/>
        <w:numPr>
          <w:ilvl w:val="0"/>
          <w:numId w:val="6"/>
        </w:numPr>
        <w:tabs>
          <w:tab w:val="clear" w:pos="709"/>
          <w:tab w:val="left" w:pos="709" w:leader="none"/>
        </w:tabs>
        <w:bidi w:val="0"/>
        <w:ind w:hanging="283" w:start="709"/>
        <w:jc w:val="start"/>
        <w:rPr/>
      </w:pPr>
      <w:r>
        <w:rPr/>
        <w:t>Micro mechanical impulse actuator (≤0.1 N)</w:t>
      </w:r>
    </w:p>
    <w:p>
      <w:pPr>
        <w:pStyle w:val="BodyText"/>
        <w:numPr>
          <w:ilvl w:val="0"/>
          <w:numId w:val="6"/>
        </w:numPr>
        <w:tabs>
          <w:tab w:val="clear" w:pos="709"/>
          <w:tab w:val="left" w:pos="709" w:leader="none"/>
        </w:tabs>
        <w:bidi w:val="0"/>
        <w:ind w:hanging="283" w:start="709"/>
        <w:jc w:val="start"/>
        <w:rPr/>
      </w:pPr>
      <w:r>
        <w:rPr/>
        <w:t>Optional low-disturbance water perturbation nozzle</w:t>
      </w:r>
    </w:p>
    <w:p>
      <w:pPr>
        <w:pStyle w:val="BodyText"/>
        <w:numPr>
          <w:ilvl w:val="0"/>
          <w:numId w:val="6"/>
        </w:numPr>
        <w:tabs>
          <w:tab w:val="clear" w:pos="709"/>
          <w:tab w:val="left" w:pos="709" w:leader="none"/>
        </w:tabs>
        <w:bidi w:val="0"/>
        <w:ind w:hanging="283" w:start="709"/>
        <w:jc w:val="start"/>
        <w:rPr/>
      </w:pPr>
      <w:r>
        <w:rPr/>
        <w:t>Energy strictly capped below conservation thresholds</w:t>
      </w:r>
    </w:p>
    <w:p>
      <w:pPr>
        <w:pStyle w:val="Heading3"/>
        <w:bidi w:val="0"/>
        <w:jc w:val="start"/>
        <w:rPr/>
      </w:pPr>
      <w:r>
        <w:rPr/>
        <w:t>4.2 Passive Resonance Capture Array (PRCA)</w:t>
      </w:r>
    </w:p>
    <w:p>
      <w:pPr>
        <w:pStyle w:val="BodyText"/>
        <w:bidi w:val="0"/>
        <w:jc w:val="start"/>
        <w:rPr/>
      </w:pPr>
      <w:r>
        <w:rPr/>
        <w:t>Sensors:</w:t>
      </w:r>
    </w:p>
    <w:p>
      <w:pPr>
        <w:pStyle w:val="BodyText"/>
        <w:numPr>
          <w:ilvl w:val="0"/>
          <w:numId w:val="7"/>
        </w:numPr>
        <w:tabs>
          <w:tab w:val="clear" w:pos="709"/>
          <w:tab w:val="left" w:pos="709" w:leader="none"/>
        </w:tabs>
        <w:bidi w:val="0"/>
        <w:ind w:hanging="283" w:start="709"/>
        <w:jc w:val="start"/>
        <w:rPr/>
      </w:pPr>
      <w:r>
        <w:rPr/>
        <w:t>Piezo acoustic sensor</w:t>
      </w:r>
    </w:p>
    <w:p>
      <w:pPr>
        <w:pStyle w:val="BodyText"/>
        <w:numPr>
          <w:ilvl w:val="0"/>
          <w:numId w:val="7"/>
        </w:numPr>
        <w:tabs>
          <w:tab w:val="clear" w:pos="709"/>
          <w:tab w:val="left" w:pos="709" w:leader="none"/>
        </w:tabs>
        <w:bidi w:val="0"/>
        <w:ind w:hanging="283" w:start="709"/>
        <w:jc w:val="start"/>
        <w:rPr/>
      </w:pPr>
      <w:r>
        <w:rPr/>
        <w:t>Air-coupled microphone</w:t>
      </w:r>
    </w:p>
    <w:p>
      <w:pPr>
        <w:pStyle w:val="BodyText"/>
        <w:numPr>
          <w:ilvl w:val="0"/>
          <w:numId w:val="7"/>
        </w:numPr>
        <w:tabs>
          <w:tab w:val="clear" w:pos="709"/>
          <w:tab w:val="left" w:pos="709" w:leader="none"/>
        </w:tabs>
        <w:bidi w:val="0"/>
        <w:ind w:hanging="283" w:start="709"/>
        <w:jc w:val="start"/>
        <w:rPr/>
      </w:pPr>
      <w:r>
        <w:rPr/>
        <w:t>MEMS accelerometer</w:t>
      </w:r>
    </w:p>
    <w:p>
      <w:pPr>
        <w:pStyle w:val="BodyText"/>
        <w:numPr>
          <w:ilvl w:val="0"/>
          <w:numId w:val="7"/>
        </w:numPr>
        <w:tabs>
          <w:tab w:val="clear" w:pos="709"/>
          <w:tab w:val="left" w:pos="709" w:leader="none"/>
        </w:tabs>
        <w:bidi w:val="0"/>
        <w:ind w:hanging="283" w:start="709"/>
        <w:jc w:val="start"/>
        <w:rPr/>
      </w:pPr>
      <w:r>
        <w:rPr/>
        <w:t>Infrared temperature sensor</w:t>
      </w:r>
    </w:p>
    <w:p>
      <w:pPr>
        <w:pStyle w:val="BodyText"/>
        <w:bidi w:val="0"/>
        <w:jc w:val="start"/>
        <w:rPr/>
      </w:pPr>
      <w:r>
        <w:rPr/>
        <w:t>Mounting:</w:t>
      </w:r>
    </w:p>
    <w:p>
      <w:pPr>
        <w:pStyle w:val="BodyText"/>
        <w:numPr>
          <w:ilvl w:val="0"/>
          <w:numId w:val="8"/>
        </w:numPr>
        <w:tabs>
          <w:tab w:val="clear" w:pos="709"/>
          <w:tab w:val="left" w:pos="709" w:leader="none"/>
        </w:tabs>
        <w:bidi w:val="0"/>
        <w:ind w:hanging="283" w:start="709"/>
        <w:jc w:val="start"/>
        <w:rPr/>
      </w:pPr>
      <w:r>
        <w:rPr/>
        <w:t>Handheld / clip-on</w:t>
      </w:r>
    </w:p>
    <w:p>
      <w:pPr>
        <w:pStyle w:val="BodyText"/>
        <w:numPr>
          <w:ilvl w:val="0"/>
          <w:numId w:val="8"/>
        </w:numPr>
        <w:tabs>
          <w:tab w:val="clear" w:pos="709"/>
          <w:tab w:val="left" w:pos="709" w:leader="none"/>
        </w:tabs>
        <w:bidi w:val="0"/>
        <w:ind w:hanging="283" w:start="709"/>
        <w:jc w:val="start"/>
        <w:rPr/>
      </w:pPr>
      <w:r>
        <w:rPr/>
        <w:t>No adhesives, drilling, or residue</w:t>
      </w:r>
    </w:p>
    <w:p>
      <w:pPr>
        <w:pStyle w:val="Heading3"/>
        <w:bidi w:val="0"/>
        <w:jc w:val="start"/>
        <w:rPr/>
      </w:pPr>
      <w:r>
        <w:rPr/>
        <w:t>4.3 Signal Conditioning &amp; Control Unit (SCCU)</w:t>
      </w:r>
    </w:p>
    <w:p>
      <w:pPr>
        <w:pStyle w:val="BodyText"/>
        <w:numPr>
          <w:ilvl w:val="0"/>
          <w:numId w:val="9"/>
        </w:numPr>
        <w:tabs>
          <w:tab w:val="clear" w:pos="709"/>
          <w:tab w:val="left" w:pos="709" w:leader="none"/>
        </w:tabs>
        <w:bidi w:val="0"/>
        <w:ind w:hanging="283" w:start="709"/>
        <w:jc w:val="start"/>
        <w:rPr/>
      </w:pPr>
      <w:r>
        <w:rPr/>
        <w:t>Low-noise instrumentation amplifiers</w:t>
      </w:r>
    </w:p>
    <w:p>
      <w:pPr>
        <w:pStyle w:val="BodyText"/>
        <w:numPr>
          <w:ilvl w:val="0"/>
          <w:numId w:val="9"/>
        </w:numPr>
        <w:tabs>
          <w:tab w:val="clear" w:pos="709"/>
          <w:tab w:val="left" w:pos="709" w:leader="none"/>
        </w:tabs>
        <w:bidi w:val="0"/>
        <w:ind w:hanging="283" w:start="709"/>
        <w:jc w:val="start"/>
        <w:rPr/>
      </w:pPr>
      <w:r>
        <w:rPr/>
        <w:t>Anti-aliasing filters</w:t>
      </w:r>
    </w:p>
    <w:p>
      <w:pPr>
        <w:pStyle w:val="BodyText"/>
        <w:numPr>
          <w:ilvl w:val="0"/>
          <w:numId w:val="9"/>
        </w:numPr>
        <w:tabs>
          <w:tab w:val="clear" w:pos="709"/>
          <w:tab w:val="left" w:pos="709" w:leader="none"/>
        </w:tabs>
        <w:bidi w:val="0"/>
        <w:ind w:hanging="283" w:start="709"/>
        <w:jc w:val="start"/>
        <w:rPr/>
      </w:pPr>
      <w:r>
        <w:rPr/>
        <w:t>24-bit ADC</w:t>
      </w:r>
    </w:p>
    <w:p>
      <w:pPr>
        <w:pStyle w:val="BodyText"/>
        <w:numPr>
          <w:ilvl w:val="0"/>
          <w:numId w:val="9"/>
        </w:numPr>
        <w:tabs>
          <w:tab w:val="clear" w:pos="709"/>
          <w:tab w:val="left" w:pos="709" w:leader="none"/>
        </w:tabs>
        <w:bidi w:val="0"/>
        <w:ind w:hanging="283" w:start="709"/>
        <w:jc w:val="start"/>
        <w:rPr/>
      </w:pPr>
      <w:r>
        <w:rPr/>
        <w:t>ARM-based microcontroller</w:t>
      </w:r>
    </w:p>
    <w:p>
      <w:pPr>
        <w:pStyle w:val="Heading3"/>
        <w:bidi w:val="0"/>
        <w:jc w:val="start"/>
        <w:rPr/>
      </w:pPr>
      <w:r>
        <w:rPr/>
        <w:t>4.4 Processing &amp; Interface Unit (PIU)</w:t>
      </w:r>
    </w:p>
    <w:p>
      <w:pPr>
        <w:pStyle w:val="BodyText"/>
        <w:numPr>
          <w:ilvl w:val="0"/>
          <w:numId w:val="10"/>
        </w:numPr>
        <w:tabs>
          <w:tab w:val="clear" w:pos="709"/>
          <w:tab w:val="left" w:pos="709" w:leader="none"/>
        </w:tabs>
        <w:bidi w:val="0"/>
        <w:ind w:hanging="283" w:start="709"/>
        <w:jc w:val="start"/>
        <w:rPr/>
      </w:pPr>
      <w:r>
        <w:rPr/>
        <w:t>Embedded SBC (Raspberry Pi CM / equivalent)</w:t>
      </w:r>
    </w:p>
    <w:p>
      <w:pPr>
        <w:pStyle w:val="BodyText"/>
        <w:numPr>
          <w:ilvl w:val="0"/>
          <w:numId w:val="10"/>
        </w:numPr>
        <w:tabs>
          <w:tab w:val="clear" w:pos="709"/>
          <w:tab w:val="left" w:pos="709" w:leader="none"/>
        </w:tabs>
        <w:bidi w:val="0"/>
        <w:ind w:hanging="283" w:start="709"/>
        <w:jc w:val="start"/>
        <w:rPr/>
      </w:pPr>
      <w:r>
        <w:rPr/>
        <w:t>Local storage ≥128 GB</w:t>
      </w:r>
    </w:p>
    <w:p>
      <w:pPr>
        <w:pStyle w:val="BodyText"/>
        <w:numPr>
          <w:ilvl w:val="0"/>
          <w:numId w:val="10"/>
        </w:numPr>
        <w:tabs>
          <w:tab w:val="clear" w:pos="709"/>
          <w:tab w:val="left" w:pos="709" w:leader="none"/>
        </w:tabs>
        <w:bidi w:val="0"/>
        <w:ind w:hanging="283" w:start="709"/>
        <w:jc w:val="start"/>
        <w:rPr/>
      </w:pPr>
      <w:r>
        <w:rPr/>
        <w:t>5–7 inch touchscreen</w:t>
      </w:r>
    </w:p>
    <w:p>
      <w:pPr>
        <w:pStyle w:val="BodyText"/>
        <w:numPr>
          <w:ilvl w:val="0"/>
          <w:numId w:val="10"/>
        </w:numPr>
        <w:tabs>
          <w:tab w:val="clear" w:pos="709"/>
          <w:tab w:val="left" w:pos="709" w:leader="none"/>
        </w:tabs>
        <w:bidi w:val="0"/>
        <w:ind w:hanging="283" w:start="709"/>
        <w:jc w:val="start"/>
        <w:rPr/>
      </w:pPr>
      <w:r>
        <w:rPr/>
        <w:t>USB-C / Ethernet</w:t>
      </w:r>
    </w:p>
    <w:p>
      <w:pPr>
        <w:pStyle w:val="Heading3"/>
        <w:bidi w:val="0"/>
        <w:jc w:val="start"/>
        <w:rPr/>
      </w:pPr>
      <w:r>
        <w:rPr/>
        <w:t>4.5 Power System</w:t>
      </w:r>
    </w:p>
    <w:p>
      <w:pPr>
        <w:pStyle w:val="BodyText"/>
        <w:numPr>
          <w:ilvl w:val="0"/>
          <w:numId w:val="11"/>
        </w:numPr>
        <w:tabs>
          <w:tab w:val="clear" w:pos="709"/>
          <w:tab w:val="left" w:pos="709" w:leader="none"/>
        </w:tabs>
        <w:bidi w:val="0"/>
        <w:ind w:hanging="283" w:start="709"/>
        <w:jc w:val="start"/>
        <w:rPr/>
      </w:pPr>
      <w:r>
        <w:rPr/>
        <w:t>Rechargeable Li-ion battery</w:t>
      </w:r>
    </w:p>
    <w:p>
      <w:pPr>
        <w:pStyle w:val="BodyText"/>
        <w:numPr>
          <w:ilvl w:val="0"/>
          <w:numId w:val="11"/>
        </w:numPr>
        <w:tabs>
          <w:tab w:val="clear" w:pos="709"/>
          <w:tab w:val="left" w:pos="709" w:leader="none"/>
        </w:tabs>
        <w:bidi w:val="0"/>
        <w:ind w:hanging="283" w:start="709"/>
        <w:jc w:val="start"/>
        <w:rPr/>
      </w:pPr>
      <w:r>
        <w:rPr/>
        <w:t>6–8 hours field operation</w:t>
      </w:r>
    </w:p>
    <w:p>
      <w:pPr>
        <w:pStyle w:val="BodyText"/>
        <w:numPr>
          <w:ilvl w:val="0"/>
          <w:numId w:val="11"/>
        </w:numPr>
        <w:tabs>
          <w:tab w:val="clear" w:pos="709"/>
          <w:tab w:val="left" w:pos="709" w:leader="none"/>
        </w:tabs>
        <w:bidi w:val="0"/>
        <w:ind w:hanging="283" w:start="709"/>
        <w:jc w:val="start"/>
        <w:rPr/>
      </w:pPr>
      <w:r>
        <w:rPr/>
        <w:t>Battery protection and thermal safety</w:t>
      </w:r>
    </w:p>
    <w:p>
      <w:pPr>
        <w:pStyle w:val="Heading3"/>
        <w:bidi w:val="0"/>
        <w:jc w:val="start"/>
        <w:rPr/>
      </w:pPr>
      <w:r>
        <w:rPr/>
        <w:t>4.6 Enclosure</w:t>
      </w:r>
    </w:p>
    <w:p>
      <w:pPr>
        <w:pStyle w:val="BodyText"/>
        <w:numPr>
          <w:ilvl w:val="0"/>
          <w:numId w:val="12"/>
        </w:numPr>
        <w:tabs>
          <w:tab w:val="clear" w:pos="709"/>
          <w:tab w:val="left" w:pos="709" w:leader="none"/>
        </w:tabs>
        <w:bidi w:val="0"/>
        <w:ind w:hanging="283" w:start="709"/>
        <w:jc w:val="start"/>
        <w:rPr/>
      </w:pPr>
      <w:r>
        <w:rPr/>
        <w:t>CNC aluminum or reinforced polymer</w:t>
      </w:r>
    </w:p>
    <w:p>
      <w:pPr>
        <w:pStyle w:val="BodyText"/>
        <w:numPr>
          <w:ilvl w:val="0"/>
          <w:numId w:val="12"/>
        </w:numPr>
        <w:tabs>
          <w:tab w:val="clear" w:pos="709"/>
          <w:tab w:val="left" w:pos="709" w:leader="none"/>
        </w:tabs>
        <w:bidi w:val="0"/>
        <w:ind w:hanging="283" w:start="709"/>
        <w:jc w:val="start"/>
        <w:rPr/>
      </w:pPr>
      <w:r>
        <w:rPr/>
        <w:t>Minimum IP54 rating</w:t>
      </w:r>
    </w:p>
    <w:p>
      <w:pPr>
        <w:pStyle w:val="BodyText"/>
        <w:numPr>
          <w:ilvl w:val="0"/>
          <w:numId w:val="12"/>
        </w:numPr>
        <w:tabs>
          <w:tab w:val="clear" w:pos="709"/>
          <w:tab w:val="left" w:pos="709" w:leader="none"/>
        </w:tabs>
        <w:bidi w:val="0"/>
        <w:ind w:hanging="283" w:start="709"/>
        <w:jc w:val="start"/>
        <w:rPr/>
      </w:pPr>
      <w:r>
        <w:rPr/>
        <w:t>Weight ≤3.5 kg</w:t>
      </w:r>
    </w:p>
    <w:p>
      <w:pPr>
        <w:pStyle w:val="HorizontalLine"/>
        <w:bidi w:val="0"/>
        <w:jc w:val="start"/>
        <w:rPr/>
      </w:pPr>
      <w:r>
        <w:rPr/>
      </w:r>
    </w:p>
    <w:p>
      <w:pPr>
        <w:pStyle w:val="Heading2"/>
        <w:bidi w:val="0"/>
        <w:jc w:val="start"/>
        <w:rPr/>
      </w:pPr>
      <w:r>
        <w:rPr/>
        <w:t>5. Software Architecture</w:t>
      </w:r>
    </w:p>
    <w:p>
      <w:pPr>
        <w:pStyle w:val="Heading3"/>
        <w:bidi w:val="0"/>
        <w:jc w:val="start"/>
        <w:rPr/>
      </w:pPr>
      <w:r>
        <w:rPr/>
        <w:t>On-Device Only (No Cloud)</w:t>
      </w:r>
    </w:p>
    <w:p>
      <w:pPr>
        <w:pStyle w:val="BodyText"/>
        <w:bidi w:val="0"/>
        <w:jc w:val="start"/>
        <w:rPr/>
      </w:pPr>
      <w:r>
        <w:rPr/>
        <w:t>Functions:</w:t>
      </w:r>
    </w:p>
    <w:p>
      <w:pPr>
        <w:pStyle w:val="BodyText"/>
        <w:numPr>
          <w:ilvl w:val="0"/>
          <w:numId w:val="13"/>
        </w:numPr>
        <w:tabs>
          <w:tab w:val="clear" w:pos="709"/>
          <w:tab w:val="left" w:pos="709" w:leader="none"/>
        </w:tabs>
        <w:bidi w:val="0"/>
        <w:ind w:hanging="283" w:start="709"/>
        <w:jc w:val="start"/>
        <w:rPr/>
      </w:pPr>
      <w:r>
        <w:rPr/>
        <w:t>Resonance spectrum analysis</w:t>
      </w:r>
    </w:p>
    <w:p>
      <w:pPr>
        <w:pStyle w:val="BodyText"/>
        <w:numPr>
          <w:ilvl w:val="0"/>
          <w:numId w:val="13"/>
        </w:numPr>
        <w:tabs>
          <w:tab w:val="clear" w:pos="709"/>
          <w:tab w:val="left" w:pos="709" w:leader="none"/>
        </w:tabs>
        <w:bidi w:val="0"/>
        <w:ind w:hanging="283" w:start="709"/>
        <w:jc w:val="start"/>
        <w:rPr/>
      </w:pPr>
      <w:r>
        <w:rPr/>
        <w:t>Decay curve extraction</w:t>
      </w:r>
    </w:p>
    <w:p>
      <w:pPr>
        <w:pStyle w:val="BodyText"/>
        <w:numPr>
          <w:ilvl w:val="0"/>
          <w:numId w:val="13"/>
        </w:numPr>
        <w:tabs>
          <w:tab w:val="clear" w:pos="709"/>
          <w:tab w:val="left" w:pos="709" w:leader="none"/>
        </w:tabs>
        <w:bidi w:val="0"/>
        <w:ind w:hanging="283" w:start="709"/>
        <w:jc w:val="start"/>
        <w:rPr/>
      </w:pPr>
      <w:r>
        <w:rPr/>
        <w:t>Frequency drift detection</w:t>
      </w:r>
    </w:p>
    <w:p>
      <w:pPr>
        <w:pStyle w:val="BodyText"/>
        <w:numPr>
          <w:ilvl w:val="0"/>
          <w:numId w:val="13"/>
        </w:numPr>
        <w:tabs>
          <w:tab w:val="clear" w:pos="709"/>
          <w:tab w:val="left" w:pos="709" w:leader="none"/>
        </w:tabs>
        <w:bidi w:val="0"/>
        <w:ind w:hanging="283" w:start="709"/>
        <w:jc w:val="start"/>
        <w:rPr/>
      </w:pPr>
      <w:r>
        <w:rPr/>
        <w:t>Damping coefficient estimation</w:t>
      </w:r>
    </w:p>
    <w:p>
      <w:pPr>
        <w:pStyle w:val="BodyText"/>
        <w:numPr>
          <w:ilvl w:val="0"/>
          <w:numId w:val="13"/>
        </w:numPr>
        <w:tabs>
          <w:tab w:val="clear" w:pos="709"/>
          <w:tab w:val="left" w:pos="709" w:leader="none"/>
        </w:tabs>
        <w:bidi w:val="0"/>
        <w:ind w:hanging="283" w:start="709"/>
        <w:jc w:val="start"/>
        <w:rPr/>
      </w:pPr>
      <w:r>
        <w:rPr/>
        <w:t>Moisture and stress risk indices (advisory)</w:t>
      </w:r>
    </w:p>
    <w:p>
      <w:pPr>
        <w:pStyle w:val="BodyText"/>
        <w:numPr>
          <w:ilvl w:val="0"/>
          <w:numId w:val="13"/>
        </w:numPr>
        <w:tabs>
          <w:tab w:val="clear" w:pos="709"/>
          <w:tab w:val="left" w:pos="709" w:leader="none"/>
        </w:tabs>
        <w:bidi w:val="0"/>
        <w:ind w:hanging="283" w:start="709"/>
        <w:jc w:val="start"/>
        <w:rPr/>
      </w:pPr>
      <w:r>
        <w:rPr/>
        <w:t>Repeat-scan comparison</w:t>
      </w:r>
    </w:p>
    <w:p>
      <w:pPr>
        <w:pStyle w:val="BodyText"/>
        <w:bidi w:val="0"/>
        <w:jc w:val="start"/>
        <w:rPr/>
      </w:pPr>
      <w:r>
        <w:rPr/>
        <w:t>Constraints:</w:t>
      </w:r>
    </w:p>
    <w:p>
      <w:pPr>
        <w:pStyle w:val="BodyText"/>
        <w:numPr>
          <w:ilvl w:val="0"/>
          <w:numId w:val="14"/>
        </w:numPr>
        <w:tabs>
          <w:tab w:val="clear" w:pos="709"/>
          <w:tab w:val="left" w:pos="709" w:leader="none"/>
        </w:tabs>
        <w:bidi w:val="0"/>
        <w:ind w:hanging="283" w:start="709"/>
        <w:jc w:val="start"/>
        <w:rPr/>
      </w:pPr>
      <w:r>
        <w:rPr/>
        <w:t>No black-box AI</w:t>
      </w:r>
    </w:p>
    <w:p>
      <w:pPr>
        <w:pStyle w:val="BodyText"/>
        <w:numPr>
          <w:ilvl w:val="0"/>
          <w:numId w:val="14"/>
        </w:numPr>
        <w:tabs>
          <w:tab w:val="clear" w:pos="709"/>
          <w:tab w:val="left" w:pos="709" w:leader="none"/>
        </w:tabs>
        <w:bidi w:val="0"/>
        <w:ind w:hanging="283" w:start="709"/>
        <w:jc w:val="start"/>
        <w:rPr/>
      </w:pPr>
      <w:r>
        <w:rPr/>
        <w:t>No predictive claims</w:t>
      </w:r>
    </w:p>
    <w:p>
      <w:pPr>
        <w:pStyle w:val="BodyText"/>
        <w:numPr>
          <w:ilvl w:val="0"/>
          <w:numId w:val="14"/>
        </w:numPr>
        <w:tabs>
          <w:tab w:val="clear" w:pos="709"/>
          <w:tab w:val="left" w:pos="709" w:leader="none"/>
        </w:tabs>
        <w:bidi w:val="0"/>
        <w:ind w:hanging="283" w:start="709"/>
        <w:jc w:val="start"/>
        <w:rPr/>
      </w:pPr>
      <w:r>
        <w:rPr/>
        <w:t>Fully interpretable outputs</w:t>
      </w:r>
    </w:p>
    <w:p>
      <w:pPr>
        <w:pStyle w:val="HorizontalLine"/>
        <w:bidi w:val="0"/>
        <w:jc w:val="start"/>
        <w:rPr/>
      </w:pPr>
      <w:r>
        <w:rPr/>
      </w:r>
    </w:p>
    <w:p>
      <w:pPr>
        <w:pStyle w:val="Heading2"/>
        <w:bidi w:val="0"/>
        <w:jc w:val="start"/>
        <w:rPr/>
      </w:pPr>
      <w:r>
        <w:rPr/>
        <w:t>6. Outputs Delivered to ASI</w:t>
      </w:r>
    </w:p>
    <w:p>
      <w:pPr>
        <w:pStyle w:val="BodyText"/>
        <w:numPr>
          <w:ilvl w:val="0"/>
          <w:numId w:val="15"/>
        </w:numPr>
        <w:tabs>
          <w:tab w:val="clear" w:pos="709"/>
          <w:tab w:val="left" w:pos="709" w:leader="none"/>
        </w:tabs>
        <w:bidi w:val="0"/>
        <w:ind w:hanging="283" w:start="709"/>
        <w:jc w:val="start"/>
        <w:rPr/>
      </w:pPr>
      <w:r>
        <w:rPr/>
        <w:t>Resonance spectra</w:t>
      </w:r>
    </w:p>
    <w:p>
      <w:pPr>
        <w:pStyle w:val="BodyText"/>
        <w:numPr>
          <w:ilvl w:val="0"/>
          <w:numId w:val="15"/>
        </w:numPr>
        <w:tabs>
          <w:tab w:val="clear" w:pos="709"/>
          <w:tab w:val="left" w:pos="709" w:leader="none"/>
        </w:tabs>
        <w:bidi w:val="0"/>
        <w:ind w:hanging="283" w:start="709"/>
        <w:jc w:val="start"/>
        <w:rPr/>
      </w:pPr>
      <w:r>
        <w:rPr/>
        <w:t>Time-decay curves</w:t>
      </w:r>
    </w:p>
    <w:p>
      <w:pPr>
        <w:pStyle w:val="BodyText"/>
        <w:numPr>
          <w:ilvl w:val="0"/>
          <w:numId w:val="15"/>
        </w:numPr>
        <w:tabs>
          <w:tab w:val="clear" w:pos="709"/>
          <w:tab w:val="left" w:pos="709" w:leader="none"/>
        </w:tabs>
        <w:bidi w:val="0"/>
        <w:ind w:hanging="283" w:start="709"/>
        <w:jc w:val="start"/>
        <w:rPr/>
      </w:pPr>
      <w:r>
        <w:rPr/>
        <w:t>Structural asymmetry indicators</w:t>
      </w:r>
    </w:p>
    <w:p>
      <w:pPr>
        <w:pStyle w:val="BodyText"/>
        <w:numPr>
          <w:ilvl w:val="0"/>
          <w:numId w:val="15"/>
        </w:numPr>
        <w:tabs>
          <w:tab w:val="clear" w:pos="709"/>
          <w:tab w:val="left" w:pos="709" w:leader="none"/>
        </w:tabs>
        <w:bidi w:val="0"/>
        <w:ind w:hanging="283" w:start="709"/>
        <w:jc w:val="start"/>
        <w:rPr/>
      </w:pPr>
      <w:r>
        <w:rPr/>
        <w:t>Moisture-risk indicators</w:t>
      </w:r>
    </w:p>
    <w:p>
      <w:pPr>
        <w:pStyle w:val="BodyText"/>
        <w:numPr>
          <w:ilvl w:val="0"/>
          <w:numId w:val="15"/>
        </w:numPr>
        <w:tabs>
          <w:tab w:val="clear" w:pos="709"/>
          <w:tab w:val="left" w:pos="709" w:leader="none"/>
        </w:tabs>
        <w:bidi w:val="0"/>
        <w:ind w:hanging="283" w:start="709"/>
        <w:jc w:val="start"/>
        <w:rPr/>
      </w:pPr>
      <w:r>
        <w:rPr/>
        <w:t>Comparative reports</w:t>
      </w:r>
    </w:p>
    <w:p>
      <w:pPr>
        <w:pStyle w:val="BodyText"/>
        <w:numPr>
          <w:ilvl w:val="0"/>
          <w:numId w:val="15"/>
        </w:numPr>
        <w:tabs>
          <w:tab w:val="clear" w:pos="709"/>
          <w:tab w:val="left" w:pos="709" w:leader="none"/>
        </w:tabs>
        <w:bidi w:val="0"/>
        <w:ind w:hanging="283" w:start="709"/>
        <w:jc w:val="start"/>
        <w:rPr/>
      </w:pPr>
      <w:r>
        <w:rPr/>
        <w:t>Digital archival records (site-wise)</w:t>
      </w:r>
    </w:p>
    <w:p>
      <w:pPr>
        <w:pStyle w:val="HorizontalLine"/>
        <w:bidi w:val="0"/>
        <w:jc w:val="start"/>
        <w:rPr/>
      </w:pPr>
      <w:r>
        <w:rPr/>
      </w:r>
    </w:p>
    <w:p>
      <w:pPr>
        <w:pStyle w:val="Heading2"/>
        <w:bidi w:val="0"/>
        <w:jc w:val="start"/>
        <w:rPr/>
      </w:pPr>
      <w:r>
        <w:rPr/>
        <w:t>7. Manufacturing &amp; Costing (India, 2025)</w:t>
      </w:r>
    </w:p>
    <w:p>
      <w:pPr>
        <w:pStyle w:val="Heading3"/>
        <w:bidi w:val="0"/>
        <w:jc w:val="start"/>
        <w:rPr/>
      </w:pPr>
      <w:r>
        <w:rPr/>
        <w:t>Hardware Cost (Per Unit)</w:t>
      </w:r>
    </w:p>
    <w:p>
      <w:pPr>
        <w:pStyle w:val="BodyText"/>
        <w:numPr>
          <w:ilvl w:val="0"/>
          <w:numId w:val="16"/>
        </w:numPr>
        <w:tabs>
          <w:tab w:val="clear" w:pos="709"/>
          <w:tab w:val="left" w:pos="709" w:leader="none"/>
        </w:tabs>
        <w:bidi w:val="0"/>
        <w:ind w:hanging="283" w:start="709"/>
        <w:jc w:val="start"/>
        <w:rPr/>
      </w:pPr>
      <w:r>
        <w:rPr/>
        <w:t>Estimated: ₹34,000 – ₹36,000</w:t>
      </w:r>
    </w:p>
    <w:p>
      <w:pPr>
        <w:pStyle w:val="Heading3"/>
        <w:bidi w:val="0"/>
        <w:jc w:val="start"/>
        <w:rPr/>
      </w:pPr>
      <w:r>
        <w:rPr/>
        <w:t>Software, QA &amp; Calibration (Amortized)</w:t>
      </w:r>
    </w:p>
    <w:p>
      <w:pPr>
        <w:pStyle w:val="BodyText"/>
        <w:numPr>
          <w:ilvl w:val="0"/>
          <w:numId w:val="17"/>
        </w:numPr>
        <w:tabs>
          <w:tab w:val="clear" w:pos="709"/>
          <w:tab w:val="left" w:pos="709" w:leader="none"/>
        </w:tabs>
        <w:bidi w:val="0"/>
        <w:ind w:hanging="283" w:start="709"/>
        <w:jc w:val="start"/>
        <w:rPr/>
      </w:pPr>
      <w:r>
        <w:rPr/>
        <w:t>Estimated: ₹10,500</w:t>
      </w:r>
    </w:p>
    <w:p>
      <w:pPr>
        <w:pStyle w:val="Heading3"/>
        <w:bidi w:val="0"/>
        <w:jc w:val="start"/>
        <w:rPr/>
      </w:pPr>
      <w:r>
        <w:rPr/>
        <w:t>Total Manufacturing Cost</w:t>
      </w:r>
    </w:p>
    <w:p>
      <w:pPr>
        <w:pStyle w:val="BodyText"/>
        <w:numPr>
          <w:ilvl w:val="0"/>
          <w:numId w:val="18"/>
        </w:numPr>
        <w:tabs>
          <w:tab w:val="clear" w:pos="709"/>
          <w:tab w:val="left" w:pos="709" w:leader="none"/>
        </w:tabs>
        <w:bidi w:val="0"/>
        <w:ind w:hanging="283" w:start="709"/>
        <w:jc w:val="start"/>
        <w:rPr/>
      </w:pPr>
      <w:r>
        <w:rPr>
          <w:rStyle w:val="Strong"/>
        </w:rPr>
        <w:t>₹</w:t>
      </w:r>
      <w:r>
        <w:rPr>
          <w:rStyle w:val="Strong"/>
        </w:rPr>
        <w:t>44,000 – ₹48,000 per unit</w:t>
      </w:r>
    </w:p>
    <w:p>
      <w:pPr>
        <w:pStyle w:val="Heading3"/>
        <w:bidi w:val="0"/>
        <w:jc w:val="start"/>
        <w:rPr/>
      </w:pPr>
      <w:r>
        <w:rPr/>
        <w:t>ASI Procurement-Friendly Price</w:t>
      </w:r>
    </w:p>
    <w:p>
      <w:pPr>
        <w:pStyle w:val="BodyText"/>
        <w:numPr>
          <w:ilvl w:val="0"/>
          <w:numId w:val="19"/>
        </w:numPr>
        <w:tabs>
          <w:tab w:val="clear" w:pos="709"/>
          <w:tab w:val="left" w:pos="709" w:leader="none"/>
        </w:tabs>
        <w:bidi w:val="0"/>
        <w:ind w:hanging="283" w:start="709"/>
        <w:jc w:val="start"/>
        <w:rPr/>
      </w:pPr>
      <w:r>
        <w:rPr>
          <w:rStyle w:val="Strong"/>
        </w:rPr>
        <w:t>₹</w:t>
      </w:r>
      <w:r>
        <w:rPr>
          <w:rStyle w:val="Strong"/>
        </w:rPr>
        <w:t>85,000 – ₹1,10,000 per unit</w:t>
      </w:r>
      <w:r>
        <w:rPr/>
        <w:br/>
        <w:t>(Including warranty, calibration kit, training, documentation)</w:t>
      </w:r>
    </w:p>
    <w:p>
      <w:pPr>
        <w:pStyle w:val="HorizontalLine"/>
        <w:bidi w:val="0"/>
        <w:jc w:val="start"/>
        <w:rPr/>
      </w:pPr>
      <w:r>
        <w:rPr/>
      </w:r>
    </w:p>
    <w:p>
      <w:pPr>
        <w:pStyle w:val="Heading2"/>
        <w:bidi w:val="0"/>
        <w:jc w:val="start"/>
        <w:rPr/>
      </w:pPr>
      <w:r>
        <w:rPr/>
        <w:t>8. Open Build Design (Replicable)</w:t>
      </w:r>
    </w:p>
    <w:p>
      <w:pPr>
        <w:pStyle w:val="BodyText"/>
        <w:numPr>
          <w:ilvl w:val="0"/>
          <w:numId w:val="20"/>
        </w:numPr>
        <w:tabs>
          <w:tab w:val="clear" w:pos="709"/>
          <w:tab w:val="left" w:pos="709" w:leader="none"/>
        </w:tabs>
        <w:bidi w:val="0"/>
        <w:ind w:hanging="283" w:start="709"/>
        <w:jc w:val="start"/>
        <w:rPr/>
      </w:pPr>
      <w:r>
        <w:rPr/>
        <w:t>No proprietary ASICs</w:t>
      </w:r>
    </w:p>
    <w:p>
      <w:pPr>
        <w:pStyle w:val="BodyText"/>
        <w:numPr>
          <w:ilvl w:val="0"/>
          <w:numId w:val="20"/>
        </w:numPr>
        <w:tabs>
          <w:tab w:val="clear" w:pos="709"/>
          <w:tab w:val="left" w:pos="709" w:leader="none"/>
        </w:tabs>
        <w:bidi w:val="0"/>
        <w:ind w:hanging="283" w:start="709"/>
        <w:jc w:val="start"/>
        <w:rPr/>
      </w:pPr>
      <w:r>
        <w:rPr/>
        <w:t>Standard MCUs, ADCs, SBCs</w:t>
      </w:r>
    </w:p>
    <w:p>
      <w:pPr>
        <w:pStyle w:val="BodyText"/>
        <w:numPr>
          <w:ilvl w:val="0"/>
          <w:numId w:val="20"/>
        </w:numPr>
        <w:tabs>
          <w:tab w:val="clear" w:pos="709"/>
          <w:tab w:val="left" w:pos="709" w:leader="none"/>
        </w:tabs>
        <w:bidi w:val="0"/>
        <w:ind w:hanging="283" w:start="709"/>
        <w:jc w:val="start"/>
        <w:rPr/>
      </w:pPr>
      <w:r>
        <w:rPr/>
        <w:t>2–4 layer PCBs</w:t>
      </w:r>
    </w:p>
    <w:p>
      <w:pPr>
        <w:pStyle w:val="BodyText"/>
        <w:numPr>
          <w:ilvl w:val="0"/>
          <w:numId w:val="20"/>
        </w:numPr>
        <w:tabs>
          <w:tab w:val="clear" w:pos="709"/>
          <w:tab w:val="left" w:pos="709" w:leader="none"/>
        </w:tabs>
        <w:bidi w:val="0"/>
        <w:ind w:hanging="283" w:start="709"/>
        <w:jc w:val="start"/>
        <w:rPr/>
      </w:pPr>
      <w:r>
        <w:rPr/>
        <w:t>Open firmware skeleton</w:t>
      </w:r>
    </w:p>
    <w:p>
      <w:pPr>
        <w:pStyle w:val="BodyText"/>
        <w:numPr>
          <w:ilvl w:val="0"/>
          <w:numId w:val="20"/>
        </w:numPr>
        <w:tabs>
          <w:tab w:val="clear" w:pos="709"/>
          <w:tab w:val="left" w:pos="709" w:leader="none"/>
        </w:tabs>
        <w:bidi w:val="0"/>
        <w:ind w:hanging="283" w:start="709"/>
        <w:jc w:val="start"/>
        <w:rPr/>
      </w:pPr>
      <w:r>
        <w:rPr/>
        <w:t>India-available components</w:t>
      </w:r>
    </w:p>
    <w:p>
      <w:pPr>
        <w:pStyle w:val="BodyText"/>
        <w:bidi w:val="0"/>
        <w:jc w:val="start"/>
        <w:rPr/>
      </w:pPr>
      <w:r>
        <w:rPr/>
        <w:t>Modules:</w:t>
      </w:r>
    </w:p>
    <w:p>
      <w:pPr>
        <w:pStyle w:val="BodyText"/>
        <w:numPr>
          <w:ilvl w:val="0"/>
          <w:numId w:val="21"/>
        </w:numPr>
        <w:tabs>
          <w:tab w:val="clear" w:pos="709"/>
          <w:tab w:val="left" w:pos="709" w:leader="none"/>
        </w:tabs>
        <w:bidi w:val="0"/>
        <w:ind w:hanging="283" w:start="709"/>
        <w:jc w:val="start"/>
        <w:rPr/>
      </w:pPr>
      <w:r>
        <w:rPr/>
        <w:t>Excitation Driver</w:t>
      </w:r>
    </w:p>
    <w:p>
      <w:pPr>
        <w:pStyle w:val="BodyText"/>
        <w:numPr>
          <w:ilvl w:val="0"/>
          <w:numId w:val="21"/>
        </w:numPr>
        <w:tabs>
          <w:tab w:val="clear" w:pos="709"/>
          <w:tab w:val="left" w:pos="709" w:leader="none"/>
        </w:tabs>
        <w:bidi w:val="0"/>
        <w:ind w:hanging="283" w:start="709"/>
        <w:jc w:val="start"/>
        <w:rPr/>
      </w:pPr>
      <w:r>
        <w:rPr/>
        <w:t>Sensor Array</w:t>
      </w:r>
    </w:p>
    <w:p>
      <w:pPr>
        <w:pStyle w:val="BodyText"/>
        <w:numPr>
          <w:ilvl w:val="0"/>
          <w:numId w:val="21"/>
        </w:numPr>
        <w:tabs>
          <w:tab w:val="clear" w:pos="709"/>
          <w:tab w:val="left" w:pos="709" w:leader="none"/>
        </w:tabs>
        <w:bidi w:val="0"/>
        <w:ind w:hanging="283" w:start="709"/>
        <w:jc w:val="start"/>
        <w:rPr/>
      </w:pPr>
      <w:r>
        <w:rPr/>
        <w:t>Signal Conditioning</w:t>
      </w:r>
    </w:p>
    <w:p>
      <w:pPr>
        <w:pStyle w:val="BodyText"/>
        <w:numPr>
          <w:ilvl w:val="0"/>
          <w:numId w:val="21"/>
        </w:numPr>
        <w:tabs>
          <w:tab w:val="clear" w:pos="709"/>
          <w:tab w:val="left" w:pos="709" w:leader="none"/>
        </w:tabs>
        <w:bidi w:val="0"/>
        <w:ind w:hanging="283" w:start="709"/>
        <w:jc w:val="start"/>
        <w:rPr/>
      </w:pPr>
      <w:r>
        <w:rPr/>
        <w:t>Data Acquisition</w:t>
      </w:r>
    </w:p>
    <w:p>
      <w:pPr>
        <w:pStyle w:val="BodyText"/>
        <w:numPr>
          <w:ilvl w:val="0"/>
          <w:numId w:val="21"/>
        </w:numPr>
        <w:tabs>
          <w:tab w:val="clear" w:pos="709"/>
          <w:tab w:val="left" w:pos="709" w:leader="none"/>
        </w:tabs>
        <w:bidi w:val="0"/>
        <w:ind w:hanging="283" w:start="709"/>
        <w:jc w:val="start"/>
        <w:rPr/>
      </w:pPr>
      <w:r>
        <w:rPr/>
        <w:t>Processing &amp; Display</w:t>
      </w:r>
    </w:p>
    <w:p>
      <w:pPr>
        <w:pStyle w:val="BodyText"/>
        <w:numPr>
          <w:ilvl w:val="0"/>
          <w:numId w:val="21"/>
        </w:numPr>
        <w:tabs>
          <w:tab w:val="clear" w:pos="709"/>
          <w:tab w:val="left" w:pos="709" w:leader="none"/>
        </w:tabs>
        <w:bidi w:val="0"/>
        <w:ind w:hanging="283" w:start="709"/>
        <w:jc w:val="start"/>
        <w:rPr/>
      </w:pPr>
      <w:r>
        <w:rPr/>
        <w:t>Power &amp; Safety</w:t>
      </w:r>
    </w:p>
    <w:p>
      <w:pPr>
        <w:pStyle w:val="HorizontalLine"/>
        <w:bidi w:val="0"/>
        <w:jc w:val="start"/>
        <w:rPr/>
      </w:pPr>
      <w:r>
        <w:rPr/>
      </w:r>
    </w:p>
    <w:p>
      <w:pPr>
        <w:pStyle w:val="Heading2"/>
        <w:bidi w:val="0"/>
        <w:jc w:val="start"/>
        <w:rPr/>
      </w:pPr>
      <w:r>
        <w:rPr/>
        <w:t>9. Training &amp; SOP</w:t>
      </w:r>
    </w:p>
    <w:p>
      <w:pPr>
        <w:pStyle w:val="BodyText"/>
        <w:bidi w:val="0"/>
        <w:jc w:val="start"/>
        <w:rPr/>
      </w:pPr>
      <w:r>
        <w:rPr/>
        <w:t xml:space="preserve">A full </w:t>
      </w:r>
      <w:r>
        <w:rPr>
          <w:rStyle w:val="Strong"/>
        </w:rPr>
        <w:t>ASI Field Training Manual</w:t>
      </w:r>
      <w:r>
        <w:rPr/>
        <w:t xml:space="preserve"> has been prepared, covering:</w:t>
      </w:r>
    </w:p>
    <w:p>
      <w:pPr>
        <w:pStyle w:val="BodyText"/>
        <w:numPr>
          <w:ilvl w:val="0"/>
          <w:numId w:val="22"/>
        </w:numPr>
        <w:tabs>
          <w:tab w:val="clear" w:pos="709"/>
          <w:tab w:val="left" w:pos="709" w:leader="none"/>
        </w:tabs>
        <w:bidi w:val="0"/>
        <w:ind w:hanging="283" w:start="709"/>
        <w:jc w:val="start"/>
        <w:rPr/>
      </w:pPr>
      <w:r>
        <w:rPr/>
        <w:t>Safety and conservation rules</w:t>
      </w:r>
    </w:p>
    <w:p>
      <w:pPr>
        <w:pStyle w:val="BodyText"/>
        <w:numPr>
          <w:ilvl w:val="0"/>
          <w:numId w:val="22"/>
        </w:numPr>
        <w:tabs>
          <w:tab w:val="clear" w:pos="709"/>
          <w:tab w:val="left" w:pos="709" w:leader="none"/>
        </w:tabs>
        <w:bidi w:val="0"/>
        <w:ind w:hanging="283" w:start="709"/>
        <w:jc w:val="start"/>
        <w:rPr/>
      </w:pPr>
      <w:r>
        <w:rPr/>
        <w:t>Pre-operation checklist</w:t>
      </w:r>
    </w:p>
    <w:p>
      <w:pPr>
        <w:pStyle w:val="BodyText"/>
        <w:numPr>
          <w:ilvl w:val="0"/>
          <w:numId w:val="22"/>
        </w:numPr>
        <w:tabs>
          <w:tab w:val="clear" w:pos="709"/>
          <w:tab w:val="left" w:pos="709" w:leader="none"/>
        </w:tabs>
        <w:bidi w:val="0"/>
        <w:ind w:hanging="283" w:start="709"/>
        <w:jc w:val="start"/>
        <w:rPr/>
      </w:pPr>
      <w:r>
        <w:rPr/>
        <w:t>Stone scan SOP</w:t>
      </w:r>
    </w:p>
    <w:p>
      <w:pPr>
        <w:pStyle w:val="BodyText"/>
        <w:numPr>
          <w:ilvl w:val="0"/>
          <w:numId w:val="22"/>
        </w:numPr>
        <w:tabs>
          <w:tab w:val="clear" w:pos="709"/>
          <w:tab w:val="left" w:pos="709" w:leader="none"/>
        </w:tabs>
        <w:bidi w:val="0"/>
        <w:ind w:hanging="283" w:start="709"/>
        <w:jc w:val="start"/>
        <w:rPr/>
      </w:pPr>
      <w:r>
        <w:rPr/>
        <w:t>Water-body scan SOP</w:t>
      </w:r>
    </w:p>
    <w:p>
      <w:pPr>
        <w:pStyle w:val="BodyText"/>
        <w:numPr>
          <w:ilvl w:val="0"/>
          <w:numId w:val="22"/>
        </w:numPr>
        <w:tabs>
          <w:tab w:val="clear" w:pos="709"/>
          <w:tab w:val="left" w:pos="709" w:leader="none"/>
        </w:tabs>
        <w:bidi w:val="0"/>
        <w:ind w:hanging="283" w:start="709"/>
        <w:jc w:val="start"/>
        <w:rPr/>
      </w:pPr>
      <w:r>
        <w:rPr/>
        <w:t>Output interpretation</w:t>
      </w:r>
    </w:p>
    <w:p>
      <w:pPr>
        <w:pStyle w:val="BodyText"/>
        <w:numPr>
          <w:ilvl w:val="0"/>
          <w:numId w:val="22"/>
        </w:numPr>
        <w:tabs>
          <w:tab w:val="clear" w:pos="709"/>
          <w:tab w:val="left" w:pos="709" w:leader="none"/>
        </w:tabs>
        <w:bidi w:val="0"/>
        <w:ind w:hanging="283" w:start="709"/>
        <w:jc w:val="start"/>
        <w:rPr/>
      </w:pPr>
      <w:r>
        <w:rPr/>
        <w:t>Troubleshooting</w:t>
      </w:r>
    </w:p>
    <w:p>
      <w:pPr>
        <w:pStyle w:val="BodyText"/>
        <w:numPr>
          <w:ilvl w:val="0"/>
          <w:numId w:val="22"/>
        </w:numPr>
        <w:tabs>
          <w:tab w:val="clear" w:pos="709"/>
          <w:tab w:val="left" w:pos="709" w:leader="none"/>
        </w:tabs>
        <w:bidi w:val="0"/>
        <w:ind w:hanging="283" w:start="709"/>
        <w:jc w:val="start"/>
        <w:rPr/>
      </w:pPr>
      <w:r>
        <w:rPr/>
        <w:t>Maintenance and calibration</w:t>
      </w:r>
    </w:p>
    <w:p>
      <w:pPr>
        <w:pStyle w:val="BodyText"/>
        <w:bidi w:val="0"/>
        <w:jc w:val="start"/>
        <w:rPr/>
      </w:pPr>
      <w:r>
        <w:rPr/>
        <w:t>This manual is suitable for official ASI training programmes.</w:t>
      </w:r>
    </w:p>
    <w:p>
      <w:pPr>
        <w:pStyle w:val="HorizontalLine"/>
        <w:bidi w:val="0"/>
        <w:jc w:val="start"/>
        <w:rPr/>
      </w:pPr>
      <w:r>
        <w:rPr/>
      </w:r>
    </w:p>
    <w:p>
      <w:pPr>
        <w:pStyle w:val="Heading2"/>
        <w:bidi w:val="0"/>
        <w:jc w:val="start"/>
        <w:rPr/>
      </w:pPr>
      <w:r>
        <w:rPr/>
        <w:t>10. Deployment Model</w:t>
      </w:r>
    </w:p>
    <w:p>
      <w:pPr>
        <w:pStyle w:val="Heading3"/>
        <w:bidi w:val="0"/>
        <w:jc w:val="start"/>
        <w:rPr/>
      </w:pPr>
      <w:r>
        <w:rPr/>
        <w:t>Phase 1: Pilot</w:t>
      </w:r>
    </w:p>
    <w:p>
      <w:pPr>
        <w:pStyle w:val="BodyText"/>
        <w:numPr>
          <w:ilvl w:val="0"/>
          <w:numId w:val="23"/>
        </w:numPr>
        <w:tabs>
          <w:tab w:val="clear" w:pos="709"/>
          <w:tab w:val="left" w:pos="709" w:leader="none"/>
        </w:tabs>
        <w:bidi w:val="0"/>
        <w:ind w:hanging="283" w:start="709"/>
        <w:jc w:val="start"/>
        <w:rPr/>
      </w:pPr>
      <w:r>
        <w:rPr/>
        <w:t>5–10 devices</w:t>
      </w:r>
    </w:p>
    <w:p>
      <w:pPr>
        <w:pStyle w:val="BodyText"/>
        <w:numPr>
          <w:ilvl w:val="0"/>
          <w:numId w:val="23"/>
        </w:numPr>
        <w:tabs>
          <w:tab w:val="clear" w:pos="709"/>
          <w:tab w:val="left" w:pos="709" w:leader="none"/>
        </w:tabs>
        <w:bidi w:val="0"/>
        <w:ind w:hanging="283" w:start="709"/>
        <w:jc w:val="start"/>
        <w:rPr/>
      </w:pPr>
      <w:r>
        <w:rPr/>
        <w:t>Selected monuments and water sites</w:t>
      </w:r>
    </w:p>
    <w:p>
      <w:pPr>
        <w:pStyle w:val="BodyText"/>
        <w:numPr>
          <w:ilvl w:val="0"/>
          <w:numId w:val="23"/>
        </w:numPr>
        <w:tabs>
          <w:tab w:val="clear" w:pos="709"/>
          <w:tab w:val="left" w:pos="709" w:leader="none"/>
        </w:tabs>
        <w:bidi w:val="0"/>
        <w:ind w:hanging="283" w:start="709"/>
        <w:jc w:val="start"/>
        <w:rPr/>
      </w:pPr>
      <w:r>
        <w:rPr/>
        <w:t>Data comparison with existing conservation records</w:t>
      </w:r>
    </w:p>
    <w:p>
      <w:pPr>
        <w:pStyle w:val="Heading3"/>
        <w:bidi w:val="0"/>
        <w:jc w:val="start"/>
        <w:rPr/>
      </w:pPr>
      <w:r>
        <w:rPr/>
        <w:t>Phase 2: Scale</w:t>
      </w:r>
    </w:p>
    <w:p>
      <w:pPr>
        <w:pStyle w:val="BodyText"/>
        <w:numPr>
          <w:ilvl w:val="0"/>
          <w:numId w:val="24"/>
        </w:numPr>
        <w:tabs>
          <w:tab w:val="clear" w:pos="709"/>
          <w:tab w:val="left" w:pos="709" w:leader="none"/>
        </w:tabs>
        <w:bidi w:val="0"/>
        <w:ind w:hanging="283" w:start="709"/>
        <w:jc w:val="start"/>
        <w:rPr/>
      </w:pPr>
      <w:r>
        <w:rPr/>
        <w:t>Regional ASI circles</w:t>
      </w:r>
    </w:p>
    <w:p>
      <w:pPr>
        <w:pStyle w:val="BodyText"/>
        <w:numPr>
          <w:ilvl w:val="0"/>
          <w:numId w:val="24"/>
        </w:numPr>
        <w:tabs>
          <w:tab w:val="clear" w:pos="709"/>
          <w:tab w:val="left" w:pos="709" w:leader="none"/>
        </w:tabs>
        <w:bidi w:val="0"/>
        <w:ind w:hanging="283" w:start="709"/>
        <w:jc w:val="start"/>
        <w:rPr/>
      </w:pPr>
      <w:r>
        <w:rPr/>
        <w:t>Annual or bi-annual re-scan protocol</w:t>
      </w:r>
    </w:p>
    <w:p>
      <w:pPr>
        <w:pStyle w:val="BodyText"/>
        <w:numPr>
          <w:ilvl w:val="0"/>
          <w:numId w:val="24"/>
        </w:numPr>
        <w:tabs>
          <w:tab w:val="clear" w:pos="709"/>
          <w:tab w:val="left" w:pos="709" w:leader="none"/>
        </w:tabs>
        <w:bidi w:val="0"/>
        <w:ind w:hanging="283" w:start="709"/>
        <w:jc w:val="start"/>
        <w:rPr/>
      </w:pPr>
      <w:r>
        <w:rPr/>
        <w:t>Central digital archive</w:t>
      </w:r>
    </w:p>
    <w:p>
      <w:pPr>
        <w:pStyle w:val="HorizontalLine"/>
        <w:bidi w:val="0"/>
        <w:jc w:val="start"/>
        <w:rPr/>
      </w:pPr>
      <w:r>
        <w:rPr/>
      </w:r>
    </w:p>
    <w:p>
      <w:pPr>
        <w:pStyle w:val="Heading2"/>
        <w:bidi w:val="0"/>
        <w:jc w:val="start"/>
        <w:rPr/>
      </w:pPr>
      <w:r>
        <w:rPr/>
        <w:t>11. Compliance &amp; Acceptance Rationale</w:t>
      </w:r>
    </w:p>
    <w:p>
      <w:pPr>
        <w:pStyle w:val="BodyText"/>
        <w:bidi w:val="0"/>
        <w:jc w:val="start"/>
        <w:rPr/>
      </w:pPr>
      <w:r>
        <w:rPr/>
        <w:t>AHRS-1 is:</w:t>
      </w:r>
    </w:p>
    <w:p>
      <w:pPr>
        <w:pStyle w:val="BodyText"/>
        <w:numPr>
          <w:ilvl w:val="0"/>
          <w:numId w:val="25"/>
        </w:numPr>
        <w:tabs>
          <w:tab w:val="clear" w:pos="709"/>
          <w:tab w:val="left" w:pos="709" w:leader="none"/>
        </w:tabs>
        <w:bidi w:val="0"/>
        <w:ind w:hanging="283" w:start="709"/>
        <w:jc w:val="start"/>
        <w:rPr/>
      </w:pPr>
      <w:r>
        <w:rPr/>
        <w:t>Fully non-destructive</w:t>
      </w:r>
    </w:p>
    <w:p>
      <w:pPr>
        <w:pStyle w:val="BodyText"/>
        <w:numPr>
          <w:ilvl w:val="0"/>
          <w:numId w:val="25"/>
        </w:numPr>
        <w:tabs>
          <w:tab w:val="clear" w:pos="709"/>
          <w:tab w:val="left" w:pos="709" w:leader="none"/>
        </w:tabs>
        <w:bidi w:val="0"/>
        <w:ind w:hanging="283" w:start="709"/>
        <w:jc w:val="start"/>
        <w:rPr/>
      </w:pPr>
      <w:r>
        <w:rPr/>
        <w:t>Scientifically conservative</w:t>
      </w:r>
    </w:p>
    <w:p>
      <w:pPr>
        <w:pStyle w:val="BodyText"/>
        <w:numPr>
          <w:ilvl w:val="0"/>
          <w:numId w:val="25"/>
        </w:numPr>
        <w:tabs>
          <w:tab w:val="clear" w:pos="709"/>
          <w:tab w:val="left" w:pos="709" w:leader="none"/>
        </w:tabs>
        <w:bidi w:val="0"/>
        <w:ind w:hanging="283" w:start="709"/>
        <w:jc w:val="start"/>
        <w:rPr/>
      </w:pPr>
      <w:r>
        <w:rPr/>
        <w:t>Cost-effective</w:t>
      </w:r>
    </w:p>
    <w:p>
      <w:pPr>
        <w:pStyle w:val="BodyText"/>
        <w:numPr>
          <w:ilvl w:val="0"/>
          <w:numId w:val="25"/>
        </w:numPr>
        <w:tabs>
          <w:tab w:val="clear" w:pos="709"/>
          <w:tab w:val="left" w:pos="709" w:leader="none"/>
        </w:tabs>
        <w:bidi w:val="0"/>
        <w:ind w:hanging="283" w:start="709"/>
        <w:jc w:val="start"/>
        <w:rPr/>
      </w:pPr>
      <w:r>
        <w:rPr/>
        <w:t>Portable and field-ready</w:t>
      </w:r>
    </w:p>
    <w:p>
      <w:pPr>
        <w:pStyle w:val="BodyText"/>
        <w:numPr>
          <w:ilvl w:val="0"/>
          <w:numId w:val="25"/>
        </w:numPr>
        <w:tabs>
          <w:tab w:val="clear" w:pos="709"/>
          <w:tab w:val="left" w:pos="709" w:leader="none"/>
        </w:tabs>
        <w:bidi w:val="0"/>
        <w:ind w:hanging="283" w:start="709"/>
        <w:jc w:val="start"/>
        <w:rPr/>
      </w:pPr>
      <w:r>
        <w:rPr/>
        <w:t>Patent-protectable</w:t>
      </w:r>
    </w:p>
    <w:p>
      <w:pPr>
        <w:pStyle w:val="BodyText"/>
        <w:numPr>
          <w:ilvl w:val="0"/>
          <w:numId w:val="25"/>
        </w:numPr>
        <w:tabs>
          <w:tab w:val="clear" w:pos="709"/>
          <w:tab w:val="left" w:pos="709" w:leader="none"/>
        </w:tabs>
        <w:bidi w:val="0"/>
        <w:ind w:hanging="283" w:start="709"/>
        <w:jc w:val="start"/>
        <w:rPr/>
      </w:pPr>
      <w:r>
        <w:rPr/>
        <w:t>Ethically aligned with heritage conservation</w:t>
      </w:r>
    </w:p>
    <w:p>
      <w:pPr>
        <w:pStyle w:val="BodyText"/>
        <w:bidi w:val="0"/>
        <w:jc w:val="start"/>
        <w:rPr/>
      </w:pPr>
      <w:r>
        <w:rPr/>
        <w:t>No metaphysical, religious, or speculative claims are made.</w:t>
      </w:r>
    </w:p>
    <w:p>
      <w:pPr>
        <w:pStyle w:val="HorizontalLine"/>
        <w:bidi w:val="0"/>
        <w:jc w:val="start"/>
        <w:rPr/>
      </w:pPr>
      <w:r>
        <w:rPr/>
      </w:r>
    </w:p>
    <w:p>
      <w:pPr>
        <w:pStyle w:val="Heading2"/>
        <w:bidi w:val="0"/>
        <w:jc w:val="start"/>
        <w:rPr/>
      </w:pPr>
      <w:r>
        <w:rPr/>
        <w:t>12. Intellectual Property Positioning</w:t>
      </w:r>
    </w:p>
    <w:p>
      <w:pPr>
        <w:pStyle w:val="BodyText"/>
        <w:numPr>
          <w:ilvl w:val="0"/>
          <w:numId w:val="26"/>
        </w:numPr>
        <w:tabs>
          <w:tab w:val="clear" w:pos="709"/>
          <w:tab w:val="left" w:pos="709" w:leader="none"/>
        </w:tabs>
        <w:bidi w:val="0"/>
        <w:ind w:hanging="283" w:start="709"/>
        <w:jc w:val="start"/>
        <w:rPr/>
      </w:pPr>
      <w:r>
        <w:rPr/>
        <w:t>Device architecture and method are patent-eligible</w:t>
      </w:r>
    </w:p>
    <w:p>
      <w:pPr>
        <w:pStyle w:val="BodyText"/>
        <w:numPr>
          <w:ilvl w:val="0"/>
          <w:numId w:val="26"/>
        </w:numPr>
        <w:tabs>
          <w:tab w:val="clear" w:pos="709"/>
          <w:tab w:val="left" w:pos="709" w:leader="none"/>
        </w:tabs>
        <w:bidi w:val="0"/>
        <w:ind w:hanging="283" w:start="709"/>
        <w:jc w:val="start"/>
        <w:rPr/>
      </w:pPr>
      <w:r>
        <w:rPr/>
        <w:t>Internal integration philosophy remains non-public</w:t>
      </w:r>
    </w:p>
    <w:p>
      <w:pPr>
        <w:pStyle w:val="BodyText"/>
        <w:numPr>
          <w:ilvl w:val="0"/>
          <w:numId w:val="26"/>
        </w:numPr>
        <w:tabs>
          <w:tab w:val="clear" w:pos="709"/>
          <w:tab w:val="left" w:pos="709" w:leader="none"/>
        </w:tabs>
        <w:bidi w:val="0"/>
        <w:ind w:hanging="283" w:start="709"/>
        <w:jc w:val="start"/>
        <w:rPr/>
      </w:pPr>
      <w:r>
        <w:rPr/>
        <w:t>ASI retains unrestricted operational usage rights</w:t>
      </w:r>
    </w:p>
    <w:p>
      <w:pPr>
        <w:pStyle w:val="HorizontalLine"/>
        <w:bidi w:val="0"/>
        <w:jc w:val="start"/>
        <w:rPr/>
      </w:pPr>
      <w:r>
        <w:rPr/>
      </w:r>
    </w:p>
    <w:p>
      <w:pPr>
        <w:pStyle w:val="Heading2"/>
        <w:bidi w:val="0"/>
        <w:jc w:val="start"/>
        <w:rPr/>
      </w:pPr>
      <w:r>
        <w:rPr/>
        <w:t>13. One-Line Definition</w:t>
      </w:r>
    </w:p>
    <w:p>
      <w:pPr>
        <w:pStyle w:val="BodyText"/>
        <w:bidi w:val="0"/>
        <w:jc w:val="start"/>
        <w:rPr/>
      </w:pPr>
      <w:r>
        <w:rPr>
          <w:rStyle w:val="Strong"/>
        </w:rPr>
        <w:t>AHRS-1 is a scientific instrument that gently excites heritage materials and reads their physical response to reveal hidden structural and environmental conditions—without causing harm.</w:t>
      </w:r>
    </w:p>
    <w:p>
      <w:pPr>
        <w:pStyle w:val="HorizontalLine"/>
        <w:bidi w:val="0"/>
        <w:jc w:val="start"/>
        <w:rPr/>
      </w:pPr>
      <w:r>
        <w:rPr/>
      </w:r>
    </w:p>
    <w:p>
      <w:pPr>
        <w:pStyle w:val="Heading2"/>
        <w:bidi w:val="0"/>
        <w:jc w:val="start"/>
        <w:rPr/>
      </w:pPr>
      <w:r>
        <w:rPr/>
        <w:t>End of Integrated Dossier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7</Pages>
  <Words>726</Words>
  <Characters>4489</Characters>
  <CharactersWithSpaces>4970</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2025-12-16T08:20:23Z</dcterms:created>
  <dc:creator/>
  <dc:description/>
  <dc:language>en-US</dc:language>
  <cp:lastModifiedBy/>
  <dcterms:modified xsi:type="dcterms:W3CDTF">2025-12-16T08:23:30Z</dcterms:modified>
  <cp:revision>1</cp:revision>
  <dc:subject/>
  <dc:title/>
</cp:coreProperties>
</file>