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은행 시스템 위기 대응 지침</w:t>
      </w:r>
    </w:p>
    <w:p>
      <w:pPr>
        <w:pStyle w:val="Heading1"/>
      </w:pPr>
      <w:r>
        <w:t>제1장 총칙 및 대응 절차</w:t>
      </w:r>
    </w:p>
    <w:p>
      <w:r>
        <w:t>제1조 예치 은행의 폐쇄 또는 뱅크런 징후가 확인되면 해당 은행 예금·결제계좌 잔액을 즉시 확인한다. 담당: 자금운용팀.</w:t>
      </w:r>
    </w:p>
    <w:p>
      <w:r>
        <w:t>제2조 단일 은행 예치 한도를 초과한 예금은 신용등급이 높은 복수 은행으로 분산한다. 담당: 자금운용팀.</w:t>
      </w:r>
    </w:p>
    <w:p>
      <w:r>
        <w:t>제3조 보유 채권의 미실현 평가손실이 큰 지역은행을 식별하고 해당 은행 주식·채권 노출을 점검한다. 담당: 신용분석팀.</w:t>
      </w:r>
    </w:p>
    <w:p>
      <w:r>
        <w:t>제4조 정부의 예금 전액 보호 또는 긴급 대출 프로그램 발표 시 시장 안정 여부를 확인하고 추가 매도를 보류한다. 담당: 운용전략팀.</w:t>
      </w:r>
    </w:p>
    <w:p>
      <w:r>
        <w:t>제5조 은행 섹터 주가 변동성이 급등하면 은행 섹터 비중을 벤치마크 대비 중립 이하로 조정한다. 담당: 운용전략팀.</w:t>
      </w:r>
    </w:p>
    <w:p>
      <w:r>
        <w:t>제6조 현금성 자산 비중이 목표 하한 아래로 내려가면 단기 국채와 MMF로 우선 보충한다. 담당: 자금운용팀.</w:t>
      </w:r>
    </w:p>
    <w:p>
      <w:r>
        <w:t>제7조 벤처·기술 기업 예금 비중이 높은 은행과 거래하는 위탁운용사에 결제계좌 현황을 확인 요청한다. 담당: 위탁운용팀.</w:t>
      </w:r>
    </w:p>
    <w:p>
      <w:r>
        <w:t>제8조 은행 위기가 해외 은행으로 전이되는지 확인하기 위해 주요 은행 CDS와 단기자금 금리를 일일 모니터링한다. 담당: 리스크관리팀.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은행 시스템 위기 대응 지침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