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4C3B0B">
      <w:pPr>
        <w:jc w:val="both"/>
        <w:rPr>
          <w:rFonts w:hint="eastAsia" w:ascii="黑体" w:hAnsi="黑体" w:eastAsia="黑体" w:cs="黑体"/>
          <w:b/>
          <w:bCs/>
          <w:sz w:val="30"/>
          <w:szCs w:val="30"/>
        </w:rPr>
      </w:pPr>
      <w:r>
        <w:rPr>
          <w:sz w:val="30"/>
        </w:rPr>
        <mc:AlternateContent>
          <mc:Choice Requires="wps">
            <w:drawing>
              <wp:anchor distT="0" distB="0" distL="114300" distR="114300" simplePos="0" relativeHeight="251659264" behindDoc="0" locked="0" layoutInCell="1" allowOverlap="1">
                <wp:simplePos x="0" y="0"/>
                <wp:positionH relativeFrom="column">
                  <wp:posOffset>4102735</wp:posOffset>
                </wp:positionH>
                <wp:positionV relativeFrom="paragraph">
                  <wp:posOffset>43815</wp:posOffset>
                </wp:positionV>
                <wp:extent cx="1037590" cy="290830"/>
                <wp:effectExtent l="4445" t="4445" r="12065" b="9525"/>
                <wp:wrapNone/>
                <wp:docPr id="1" name="文本框 1"/>
                <wp:cNvGraphicFramePr/>
                <a:graphic xmlns:a="http://schemas.openxmlformats.org/drawingml/2006/main">
                  <a:graphicData uri="http://schemas.microsoft.com/office/word/2010/wordprocessingShape">
                    <wps:wsp>
                      <wps:cNvSpPr txBox="1"/>
                      <wps:spPr>
                        <a:xfrm>
                          <a:off x="4642485" y="873125"/>
                          <a:ext cx="1037590" cy="2908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1D950B9">
                            <w:pPr>
                              <w:rPr>
                                <w:rFonts w:hint="default"/>
                                <w:sz w:val="24"/>
                                <w:szCs w:val="24"/>
                                <w:lang w:val="en-US"/>
                              </w:rPr>
                            </w:pPr>
                            <w:r>
                              <w:rPr>
                                <w:rFonts w:hint="eastAsia" w:ascii="黑体" w:hAnsi="黑体" w:eastAsia="黑体" w:cs="黑体"/>
                                <w:b/>
                                <w:bCs/>
                                <w:sz w:val="24"/>
                                <w:szCs w:val="24"/>
                                <w:lang w:val="en-US" w:eastAsia="zh-CN"/>
                              </w:rPr>
                              <w:t>版本：V1.0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3.05pt;margin-top:3.45pt;height:22.9pt;width:81.7pt;z-index:251659264;mso-width-relative:page;mso-height-relative:page;" fillcolor="#FFFFFF [3201]" filled="t" stroked="t" coordsize="21600,21600" o:gfxdata="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nBH7E9YAAAAIAQAADwAAAAAAAAABACAAAAAiAAAAZHJzL2Rvd25yZXYueG1sUEsBAhQA&#10;FAAAAAgAh07iQMx47ttmAgAAwgQAAA4AAAAAAAAAAQAgAAAAJQEAAGRycy9lMm9Eb2MueG1sUEsF&#10;BgAAAAAGAAYAWQEAAP0FAAAAAA==&#10;">
                <v:fill on="t" focussize="0,0"/>
                <v:stroke weight="0.5pt" color="#000000 [3204]" joinstyle="round"/>
                <v:imagedata o:title=""/>
                <o:lock v:ext="edit" aspectratio="f"/>
                <v:textbox>
                  <w:txbxContent>
                    <w:p w14:paraId="21D950B9">
                      <w:pPr>
                        <w:rPr>
                          <w:rFonts w:hint="default"/>
                          <w:sz w:val="24"/>
                          <w:szCs w:val="24"/>
                          <w:lang w:val="en-US"/>
                        </w:rPr>
                      </w:pPr>
                      <w:r>
                        <w:rPr>
                          <w:rFonts w:hint="eastAsia" w:ascii="黑体" w:hAnsi="黑体" w:eastAsia="黑体" w:cs="黑体"/>
                          <w:b/>
                          <w:bCs/>
                          <w:sz w:val="24"/>
                          <w:szCs w:val="24"/>
                          <w:lang w:val="en-US" w:eastAsia="zh-CN"/>
                        </w:rPr>
                        <w:t>版本：V1.0</w:t>
                      </w:r>
                    </w:p>
                  </w:txbxContent>
                </v:textbox>
              </v:shape>
            </w:pict>
          </mc:Fallback>
        </mc:AlternateContent>
      </w:r>
    </w:p>
    <w:p w14:paraId="1DAA37CF">
      <w:pPr>
        <w:jc w:val="center"/>
        <w:rPr>
          <w:rFonts w:hint="eastAsia" w:ascii="黑体" w:hAnsi="黑体" w:eastAsia="黑体" w:cs="黑体"/>
          <w:b/>
          <w:bCs/>
          <w:sz w:val="30"/>
          <w:szCs w:val="30"/>
        </w:rPr>
      </w:pPr>
    </w:p>
    <w:p w14:paraId="721A7ACE">
      <w:pPr>
        <w:jc w:val="center"/>
        <w:rPr>
          <w:rFonts w:hint="eastAsia" w:ascii="黑体" w:hAnsi="黑体" w:eastAsia="黑体" w:cs="黑体"/>
          <w:b/>
          <w:bCs/>
          <w:sz w:val="30"/>
          <w:szCs w:val="30"/>
        </w:rPr>
      </w:pPr>
    </w:p>
    <w:p w14:paraId="3D3A1047">
      <w:pPr>
        <w:jc w:val="center"/>
        <w:rPr>
          <w:rFonts w:hint="eastAsia" w:ascii="黑体" w:hAnsi="黑体" w:eastAsia="黑体" w:cs="黑体"/>
          <w:b/>
          <w:bCs/>
          <w:sz w:val="30"/>
          <w:szCs w:val="30"/>
        </w:rPr>
      </w:pPr>
    </w:p>
    <w:p w14:paraId="78D7257A">
      <w:pPr>
        <w:jc w:val="center"/>
        <w:rPr>
          <w:rFonts w:hint="eastAsia" w:ascii="黑体" w:hAnsi="黑体" w:eastAsia="黑体" w:cs="黑体"/>
          <w:b/>
          <w:bCs/>
          <w:sz w:val="30"/>
          <w:szCs w:val="30"/>
        </w:rPr>
      </w:pPr>
    </w:p>
    <w:p w14:paraId="6616FCB0">
      <w:pPr>
        <w:jc w:val="center"/>
        <w:rPr>
          <w:rFonts w:hint="eastAsia" w:ascii="黑体" w:hAnsi="黑体" w:eastAsia="黑体" w:cs="黑体"/>
          <w:b/>
          <w:bCs/>
          <w:sz w:val="30"/>
          <w:szCs w:val="30"/>
        </w:rPr>
      </w:pPr>
    </w:p>
    <w:p w14:paraId="4CF03532">
      <w:pPr>
        <w:bidi w:val="0"/>
        <w:jc w:val="center"/>
        <w:rPr>
          <w:rFonts w:hint="eastAsia" w:ascii="黑体" w:hAnsi="黑体" w:eastAsia="黑体" w:cs="黑体"/>
          <w:sz w:val="48"/>
          <w:szCs w:val="48"/>
          <w:lang w:val="en-US" w:eastAsia="zh-CN"/>
        </w:rPr>
      </w:pPr>
      <w:bookmarkStart w:id="0" w:name="_Toc12600"/>
      <w:r>
        <w:rPr>
          <w:rFonts w:hint="eastAsia" w:ascii="黑体" w:hAnsi="黑体" w:eastAsia="黑体" w:cs="黑体"/>
          <w:sz w:val="48"/>
          <w:szCs w:val="48"/>
          <w:lang w:val="en-US" w:eastAsia="zh-CN"/>
        </w:rPr>
        <w:t>研发费用加计扣除专项应用</w:t>
      </w:r>
    </w:p>
    <w:p w14:paraId="4D672487">
      <w:pPr>
        <w:bidi w:val="0"/>
        <w:jc w:val="center"/>
        <w:rPr>
          <w:rFonts w:hint="eastAsia" w:ascii="黑体" w:hAnsi="黑体" w:eastAsia="黑体" w:cs="黑体"/>
          <w:sz w:val="48"/>
          <w:szCs w:val="48"/>
          <w:lang w:eastAsia="zh-CN"/>
        </w:rPr>
      </w:pPr>
      <w:r>
        <w:rPr>
          <w:rFonts w:hint="eastAsia" w:ascii="黑体" w:hAnsi="黑体" w:eastAsia="黑体" w:cs="黑体"/>
          <w:sz w:val="48"/>
          <w:szCs w:val="48"/>
          <w:lang w:val="en-US" w:eastAsia="zh-CN"/>
        </w:rPr>
        <w:t>业</w:t>
      </w:r>
      <w:r>
        <w:rPr>
          <w:rFonts w:hint="eastAsia" w:ascii="黑体" w:hAnsi="黑体" w:eastAsia="黑体" w:cs="黑体"/>
          <w:sz w:val="48"/>
          <w:szCs w:val="48"/>
        </w:rPr>
        <w:t>务</w:t>
      </w:r>
      <w:r>
        <w:rPr>
          <w:rFonts w:hint="eastAsia" w:ascii="黑体" w:hAnsi="黑体" w:eastAsia="黑体" w:cs="黑体"/>
          <w:sz w:val="48"/>
          <w:szCs w:val="48"/>
          <w:lang w:val="en-US" w:eastAsia="zh-CN"/>
        </w:rPr>
        <w:t>需求</w:t>
      </w:r>
      <w:r>
        <w:rPr>
          <w:rFonts w:hint="eastAsia" w:ascii="黑体" w:hAnsi="黑体" w:eastAsia="黑体" w:cs="黑体"/>
          <w:sz w:val="48"/>
          <w:szCs w:val="48"/>
        </w:rPr>
        <w:t>说明书</w:t>
      </w:r>
      <w:bookmarkEnd w:id="0"/>
    </w:p>
    <w:p w14:paraId="6084AD88">
      <w:pPr>
        <w:jc w:val="center"/>
        <w:outlineLvl w:val="9"/>
        <w:rPr>
          <w:rFonts w:hint="eastAsia" w:ascii="黑体" w:hAnsi="黑体" w:eastAsia="黑体" w:cs="黑体"/>
          <w:b/>
          <w:bCs/>
          <w:sz w:val="30"/>
          <w:szCs w:val="30"/>
          <w:lang w:val="en-US" w:eastAsia="zh-CN"/>
        </w:rPr>
      </w:pPr>
    </w:p>
    <w:p w14:paraId="3220FC45">
      <w:pPr>
        <w:jc w:val="center"/>
        <w:outlineLvl w:val="9"/>
        <w:rPr>
          <w:rFonts w:hint="eastAsia" w:ascii="黑体" w:hAnsi="黑体" w:eastAsia="黑体" w:cs="黑体"/>
          <w:b/>
          <w:bCs/>
          <w:sz w:val="30"/>
          <w:szCs w:val="30"/>
          <w:lang w:val="en-US" w:eastAsia="zh-CN"/>
        </w:rPr>
      </w:pPr>
    </w:p>
    <w:p w14:paraId="6AC91EF0">
      <w:pPr>
        <w:jc w:val="center"/>
        <w:outlineLvl w:val="9"/>
        <w:rPr>
          <w:rFonts w:hint="eastAsia" w:ascii="黑体" w:hAnsi="黑体" w:eastAsia="黑体" w:cs="黑体"/>
          <w:b/>
          <w:bCs/>
          <w:sz w:val="30"/>
          <w:szCs w:val="30"/>
          <w:lang w:val="en-US" w:eastAsia="zh-CN"/>
        </w:rPr>
      </w:pPr>
    </w:p>
    <w:p w14:paraId="71EF166B">
      <w:pPr>
        <w:jc w:val="center"/>
        <w:outlineLvl w:val="9"/>
        <w:rPr>
          <w:rFonts w:hint="eastAsia" w:ascii="黑体" w:hAnsi="黑体" w:eastAsia="黑体" w:cs="黑体"/>
          <w:b/>
          <w:bCs/>
          <w:sz w:val="30"/>
          <w:szCs w:val="30"/>
          <w:lang w:val="en-US" w:eastAsia="zh-CN"/>
        </w:rPr>
      </w:pPr>
    </w:p>
    <w:p w14:paraId="00D8C62E">
      <w:pPr>
        <w:jc w:val="center"/>
        <w:outlineLvl w:val="9"/>
        <w:rPr>
          <w:rFonts w:hint="eastAsia" w:ascii="黑体" w:hAnsi="黑体" w:eastAsia="黑体" w:cs="黑体"/>
          <w:b/>
          <w:bCs/>
          <w:sz w:val="30"/>
          <w:szCs w:val="30"/>
          <w:lang w:eastAsia="zh-CN"/>
        </w:rPr>
      </w:pPr>
    </w:p>
    <w:p w14:paraId="476AE2F9">
      <w:pPr>
        <w:jc w:val="center"/>
        <w:rPr>
          <w:rFonts w:hint="eastAsia" w:ascii="黑体" w:hAnsi="黑体" w:eastAsia="黑体" w:cs="黑体"/>
          <w:b/>
          <w:bCs/>
          <w:sz w:val="30"/>
          <w:szCs w:val="30"/>
          <w:lang w:val="en-US" w:eastAsia="zh-CN"/>
        </w:rPr>
      </w:pPr>
    </w:p>
    <w:p w14:paraId="0D47A451">
      <w:pPr>
        <w:jc w:val="center"/>
        <w:rPr>
          <w:rFonts w:hint="eastAsia" w:ascii="黑体" w:hAnsi="黑体" w:eastAsia="黑体" w:cs="黑体"/>
          <w:b/>
          <w:bCs/>
          <w:sz w:val="30"/>
          <w:szCs w:val="30"/>
          <w:lang w:val="en-US" w:eastAsia="zh-CN"/>
        </w:rPr>
      </w:pPr>
    </w:p>
    <w:p w14:paraId="7A6BEE2C">
      <w:pPr>
        <w:jc w:val="center"/>
        <w:rPr>
          <w:rFonts w:hint="eastAsia" w:ascii="黑体" w:hAnsi="黑体" w:eastAsia="黑体" w:cs="黑体"/>
          <w:b/>
          <w:bCs/>
          <w:sz w:val="30"/>
          <w:szCs w:val="30"/>
          <w:lang w:val="en-US" w:eastAsia="zh-CN"/>
        </w:rPr>
      </w:pPr>
    </w:p>
    <w:p w14:paraId="7289B2E5">
      <w:pPr>
        <w:jc w:val="center"/>
        <w:rPr>
          <w:rFonts w:hint="eastAsia" w:ascii="黑体" w:hAnsi="黑体" w:eastAsia="黑体" w:cs="黑体"/>
          <w:b/>
          <w:bCs/>
          <w:sz w:val="30"/>
          <w:szCs w:val="30"/>
          <w:lang w:val="en-US" w:eastAsia="zh-CN"/>
        </w:rPr>
      </w:pPr>
    </w:p>
    <w:p w14:paraId="4EB7B559">
      <w:pPr>
        <w:jc w:val="center"/>
        <w:rPr>
          <w:rFonts w:hint="eastAsia" w:ascii="黑体" w:hAnsi="黑体" w:eastAsia="黑体" w:cs="黑体"/>
          <w:b/>
          <w:bCs/>
          <w:sz w:val="30"/>
          <w:szCs w:val="30"/>
          <w:lang w:val="en-US" w:eastAsia="zh-CN"/>
        </w:rPr>
      </w:pPr>
    </w:p>
    <w:p w14:paraId="65356FCC">
      <w:pPr>
        <w:jc w:val="center"/>
        <w:rPr>
          <w:rFonts w:hint="eastAsia" w:ascii="黑体" w:hAnsi="黑体" w:eastAsia="黑体" w:cs="黑体"/>
          <w:b/>
          <w:bCs/>
          <w:sz w:val="30"/>
          <w:szCs w:val="30"/>
          <w:lang w:val="en-US" w:eastAsia="zh-CN"/>
        </w:rPr>
      </w:pPr>
    </w:p>
    <w:p w14:paraId="1403CDBC">
      <w:pPr>
        <w:jc w:val="center"/>
        <w:rPr>
          <w:rFonts w:hint="eastAsia" w:ascii="黑体" w:hAnsi="黑体" w:eastAsia="黑体" w:cs="黑体"/>
          <w:b/>
          <w:bCs/>
          <w:sz w:val="30"/>
          <w:szCs w:val="30"/>
          <w:lang w:val="en-US" w:eastAsia="zh-CN"/>
        </w:rPr>
      </w:pPr>
    </w:p>
    <w:p w14:paraId="53173EB0">
      <w:pPr>
        <w:jc w:val="center"/>
        <w:rPr>
          <w:rFonts w:hint="default" w:ascii="黑体" w:hAnsi="黑体" w:eastAsia="黑体" w:cs="黑体"/>
          <w:b/>
          <w:bCs/>
          <w:sz w:val="30"/>
          <w:szCs w:val="30"/>
          <w:lang w:val="en-US" w:eastAsia="zh-CN"/>
        </w:rPr>
      </w:pPr>
      <w:r>
        <w:rPr>
          <w:rFonts w:hint="eastAsia" w:ascii="黑体" w:hAnsi="黑体" w:eastAsia="黑体" w:cs="黑体"/>
          <w:b/>
          <w:bCs/>
          <w:sz w:val="30"/>
          <w:szCs w:val="30"/>
          <w:lang w:val="en-US" w:eastAsia="zh-CN"/>
        </w:rPr>
        <w:t>业务咨询部</w:t>
      </w:r>
    </w:p>
    <w:p w14:paraId="50DE2663">
      <w:pPr>
        <w:jc w:val="center"/>
        <w:rPr>
          <w:rFonts w:hint="eastAsia" w:ascii="黑体" w:hAnsi="黑体" w:eastAsia="黑体" w:cs="黑体"/>
          <w:b/>
          <w:bCs/>
          <w:sz w:val="30"/>
          <w:szCs w:val="30"/>
          <w:lang w:val="en-US" w:eastAsia="zh-CN"/>
        </w:rPr>
        <w:sectPr>
          <w:head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黑体" w:hAnsi="黑体" w:eastAsia="黑体" w:cs="黑体"/>
          <w:b/>
          <w:bCs/>
          <w:sz w:val="30"/>
          <w:szCs w:val="30"/>
          <w:lang w:val="en-US" w:eastAsia="zh-CN"/>
        </w:rPr>
        <w:t>2026年5月25日</w:t>
      </w:r>
      <w:bookmarkStart w:id="1" w:name="_Toc22742"/>
      <w:bookmarkStart w:id="2" w:name="_Toc5871"/>
    </w:p>
    <w:sdt>
      <w:sdtPr>
        <w:rPr>
          <w:rFonts w:ascii="宋体" w:hAnsi="宋体" w:eastAsia="宋体" w:cstheme="minorBidi"/>
          <w:kern w:val="2"/>
          <w:sz w:val="21"/>
          <w:szCs w:val="24"/>
          <w:lang w:val="en-US" w:eastAsia="zh-CN" w:bidi="ar-SA"/>
        </w:rPr>
        <w:id w:val="147482170"/>
        <w15:color w:val="DBDBDB"/>
        <w:docPartObj>
          <w:docPartGallery w:val="Table of Contents"/>
          <w:docPartUnique/>
        </w:docPartObj>
      </w:sdtPr>
      <w:sdtEndPr>
        <w:rPr>
          <w:rFonts w:hint="eastAsia" w:asciiTheme="minorHAnsi" w:hAnsiTheme="minorHAnsi" w:eastAsiaTheme="minorEastAsia" w:cstheme="minorBidi"/>
          <w:kern w:val="2"/>
          <w:sz w:val="21"/>
          <w:szCs w:val="30"/>
          <w:lang w:val="en-US" w:eastAsia="zh-CN" w:bidi="ar-SA"/>
        </w:rPr>
      </w:sdtEndPr>
      <w:sdtContent>
        <w:p w14:paraId="2BD3ABF4">
          <w:pPr>
            <w:spacing w:before="0" w:beforeLines="0" w:after="0" w:afterLines="0" w:line="240" w:lineRule="auto"/>
            <w:ind w:left="0" w:leftChars="0" w:right="0" w:rightChars="0" w:firstLine="0" w:firstLineChars="0"/>
            <w:jc w:val="center"/>
          </w:pPr>
          <w:bookmarkStart w:id="3" w:name="_Toc6905"/>
          <w:r>
            <w:rPr>
              <w:rFonts w:ascii="宋体" w:hAnsi="宋体" w:eastAsia="宋体"/>
              <w:sz w:val="21"/>
            </w:rPr>
            <w:t>目录</w:t>
          </w:r>
        </w:p>
        <w:p w14:paraId="1C034541">
          <w:pPr>
            <w:pStyle w:val="9"/>
            <w:tabs>
              <w:tab w:val="right" w:leader="dot" w:pos="8306"/>
            </w:tabs>
          </w:pPr>
          <w:r>
            <w:rPr>
              <w:rFonts w:hint="eastAsia"/>
              <w:sz w:val="30"/>
              <w:szCs w:val="30"/>
              <w:lang w:val="en-US" w:eastAsia="zh-CN"/>
            </w:rPr>
            <w:fldChar w:fldCharType="begin"/>
          </w:r>
          <w:r>
            <w:rPr>
              <w:rFonts w:hint="eastAsia"/>
              <w:sz w:val="30"/>
              <w:szCs w:val="30"/>
              <w:lang w:val="en-US" w:eastAsia="zh-CN"/>
            </w:rPr>
            <w:instrText xml:space="preserve">TOC \o "1-2" \h \u </w:instrText>
          </w:r>
          <w:r>
            <w:rPr>
              <w:rFonts w:hint="eastAsia"/>
              <w:sz w:val="30"/>
              <w:szCs w:val="30"/>
              <w:lang w:val="en-US" w:eastAsia="zh-CN"/>
            </w:rPr>
            <w:fldChar w:fldCharType="separate"/>
          </w:r>
          <w:r>
            <w:rPr>
              <w:rFonts w:hint="eastAsia"/>
              <w:szCs w:val="30"/>
              <w:lang w:val="en-US" w:eastAsia="zh-CN"/>
            </w:rPr>
            <w:fldChar w:fldCharType="begin"/>
          </w:r>
          <w:r>
            <w:rPr>
              <w:rFonts w:hint="eastAsia"/>
              <w:szCs w:val="30"/>
              <w:lang w:val="en-US" w:eastAsia="zh-CN"/>
            </w:rPr>
            <w:instrText xml:space="preserve"> HYPERLINK \l _Toc23875 </w:instrText>
          </w:r>
          <w:r>
            <w:rPr>
              <w:rFonts w:hint="eastAsia"/>
              <w:szCs w:val="30"/>
              <w:lang w:val="en-US" w:eastAsia="zh-CN"/>
            </w:rPr>
            <w:fldChar w:fldCharType="separate"/>
          </w:r>
          <w:r>
            <w:rPr>
              <w:rFonts w:hint="eastAsia"/>
              <w:szCs w:val="30"/>
              <w:lang w:val="en-US" w:eastAsia="zh-CN"/>
            </w:rPr>
            <w:t>修订记录</w:t>
          </w:r>
          <w:r>
            <w:tab/>
          </w:r>
          <w:r>
            <w:fldChar w:fldCharType="begin"/>
          </w:r>
          <w:r>
            <w:instrText xml:space="preserve"> PAGEREF _Toc23875 \h </w:instrText>
          </w:r>
          <w:r>
            <w:fldChar w:fldCharType="separate"/>
          </w:r>
          <w:r>
            <w:t>1</w:t>
          </w:r>
          <w:r>
            <w:fldChar w:fldCharType="end"/>
          </w:r>
          <w:r>
            <w:rPr>
              <w:rFonts w:hint="eastAsia"/>
              <w:szCs w:val="30"/>
              <w:lang w:val="en-US" w:eastAsia="zh-CN"/>
            </w:rPr>
            <w:fldChar w:fldCharType="end"/>
          </w:r>
        </w:p>
        <w:p w14:paraId="073004CE">
          <w:pPr>
            <w:pStyle w:val="9"/>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_Toc25151 </w:instrText>
          </w:r>
          <w:r>
            <w:rPr>
              <w:rFonts w:hint="eastAsia"/>
              <w:szCs w:val="30"/>
              <w:lang w:val="en-US" w:eastAsia="zh-CN"/>
            </w:rPr>
            <w:fldChar w:fldCharType="separate"/>
          </w:r>
          <w:r>
            <w:rPr>
              <w:rFonts w:hint="eastAsia"/>
              <w:szCs w:val="30"/>
              <w:lang w:val="en-US" w:eastAsia="zh-CN"/>
            </w:rPr>
            <w:t>一、文档概述</w:t>
          </w:r>
          <w:r>
            <w:tab/>
          </w:r>
          <w:r>
            <w:fldChar w:fldCharType="begin"/>
          </w:r>
          <w:r>
            <w:instrText xml:space="preserve"> PAGEREF _Toc25151 \h </w:instrText>
          </w:r>
          <w:r>
            <w:fldChar w:fldCharType="separate"/>
          </w:r>
          <w:r>
            <w:t>2</w:t>
          </w:r>
          <w:r>
            <w:fldChar w:fldCharType="end"/>
          </w:r>
          <w:r>
            <w:rPr>
              <w:rFonts w:hint="eastAsia"/>
              <w:szCs w:val="30"/>
              <w:lang w:val="en-US" w:eastAsia="zh-CN"/>
            </w:rPr>
            <w:fldChar w:fldCharType="end"/>
          </w:r>
        </w:p>
        <w:p w14:paraId="5A312B7E">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_Toc19423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1.1编制说明</w:t>
          </w:r>
          <w:r>
            <w:tab/>
          </w:r>
          <w:r>
            <w:fldChar w:fldCharType="begin"/>
          </w:r>
          <w:r>
            <w:instrText xml:space="preserve"> PAGEREF _Toc19423 \h </w:instrText>
          </w:r>
          <w:r>
            <w:fldChar w:fldCharType="separate"/>
          </w:r>
          <w:r>
            <w:t>2</w:t>
          </w:r>
          <w:r>
            <w:fldChar w:fldCharType="end"/>
          </w:r>
          <w:r>
            <w:rPr>
              <w:rFonts w:hint="eastAsia"/>
              <w:szCs w:val="30"/>
              <w:lang w:val="en-US" w:eastAsia="zh-CN"/>
            </w:rPr>
            <w:fldChar w:fldCharType="end"/>
          </w:r>
        </w:p>
        <w:p w14:paraId="5DC4078D">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_Toc18617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1.2项目目标</w:t>
          </w:r>
          <w:r>
            <w:tab/>
          </w:r>
          <w:r>
            <w:fldChar w:fldCharType="begin"/>
          </w:r>
          <w:r>
            <w:instrText xml:space="preserve"> PAGEREF _Toc18617 \h </w:instrText>
          </w:r>
          <w:r>
            <w:fldChar w:fldCharType="separate"/>
          </w:r>
          <w:r>
            <w:t>3</w:t>
          </w:r>
          <w:r>
            <w:fldChar w:fldCharType="end"/>
          </w:r>
          <w:r>
            <w:rPr>
              <w:rFonts w:hint="eastAsia"/>
              <w:szCs w:val="30"/>
              <w:lang w:val="en-US" w:eastAsia="zh-CN"/>
            </w:rPr>
            <w:fldChar w:fldCharType="end"/>
          </w:r>
        </w:p>
        <w:p w14:paraId="09BF30BC">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_Toc31406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1.3政策依据清单</w:t>
          </w:r>
          <w:r>
            <w:tab/>
          </w:r>
          <w:r>
            <w:fldChar w:fldCharType="begin"/>
          </w:r>
          <w:r>
            <w:instrText xml:space="preserve"> PAGEREF _Toc31406 \h </w:instrText>
          </w:r>
          <w:r>
            <w:fldChar w:fldCharType="separate"/>
          </w:r>
          <w:r>
            <w:t>3</w:t>
          </w:r>
          <w:r>
            <w:fldChar w:fldCharType="end"/>
          </w:r>
          <w:r>
            <w:rPr>
              <w:rFonts w:hint="eastAsia"/>
              <w:szCs w:val="30"/>
              <w:lang w:val="en-US" w:eastAsia="zh-CN"/>
            </w:rPr>
            <w:fldChar w:fldCharType="end"/>
          </w:r>
        </w:p>
        <w:p w14:paraId="58F70534">
          <w:pPr>
            <w:pStyle w:val="9"/>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_Toc10805 </w:instrText>
          </w:r>
          <w:r>
            <w:rPr>
              <w:rFonts w:hint="eastAsia"/>
              <w:szCs w:val="30"/>
              <w:lang w:val="en-US" w:eastAsia="zh-CN"/>
            </w:rPr>
            <w:fldChar w:fldCharType="separate"/>
          </w:r>
          <w:r>
            <w:rPr>
              <w:rFonts w:hint="eastAsia"/>
              <w:szCs w:val="30"/>
              <w:lang w:val="en-US" w:eastAsia="zh-CN"/>
            </w:rPr>
            <w:t>二、业务现状与问题分析</w:t>
          </w:r>
          <w:r>
            <w:tab/>
          </w:r>
          <w:r>
            <w:fldChar w:fldCharType="begin"/>
          </w:r>
          <w:r>
            <w:instrText xml:space="preserve"> PAGEREF _Toc10805 \h </w:instrText>
          </w:r>
          <w:r>
            <w:fldChar w:fldCharType="separate"/>
          </w:r>
          <w:r>
            <w:t>5</w:t>
          </w:r>
          <w:r>
            <w:fldChar w:fldCharType="end"/>
          </w:r>
          <w:r>
            <w:rPr>
              <w:rFonts w:hint="eastAsia"/>
              <w:szCs w:val="30"/>
              <w:lang w:val="en-US" w:eastAsia="zh-CN"/>
            </w:rPr>
            <w:fldChar w:fldCharType="end"/>
          </w:r>
        </w:p>
        <w:p w14:paraId="3E054CAC">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_Toc20122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2.1当前管理模式</w:t>
          </w:r>
          <w:r>
            <w:tab/>
          </w:r>
          <w:r>
            <w:fldChar w:fldCharType="begin"/>
          </w:r>
          <w:r>
            <w:instrText xml:space="preserve"> PAGEREF _Toc20122 \h </w:instrText>
          </w:r>
          <w:r>
            <w:fldChar w:fldCharType="separate"/>
          </w:r>
          <w:r>
            <w:t>5</w:t>
          </w:r>
          <w:r>
            <w:fldChar w:fldCharType="end"/>
          </w:r>
          <w:r>
            <w:rPr>
              <w:rFonts w:hint="eastAsia"/>
              <w:szCs w:val="30"/>
              <w:lang w:val="en-US" w:eastAsia="zh-CN"/>
            </w:rPr>
            <w:fldChar w:fldCharType="end"/>
          </w:r>
        </w:p>
        <w:p w14:paraId="1204731C">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_Toc32491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2.2 核心痛点</w:t>
          </w:r>
          <w:r>
            <w:tab/>
          </w:r>
          <w:r>
            <w:fldChar w:fldCharType="begin"/>
          </w:r>
          <w:r>
            <w:instrText xml:space="preserve"> PAGEREF _Toc32491 \h </w:instrText>
          </w:r>
          <w:r>
            <w:fldChar w:fldCharType="separate"/>
          </w:r>
          <w:r>
            <w:t>6</w:t>
          </w:r>
          <w:r>
            <w:fldChar w:fldCharType="end"/>
          </w:r>
          <w:r>
            <w:rPr>
              <w:rFonts w:hint="eastAsia"/>
              <w:szCs w:val="30"/>
              <w:lang w:val="en-US" w:eastAsia="zh-CN"/>
            </w:rPr>
            <w:fldChar w:fldCharType="end"/>
          </w:r>
        </w:p>
        <w:p w14:paraId="602893C7">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_Toc12841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2.3 管理提升目标</w:t>
          </w:r>
          <w:r>
            <w:tab/>
          </w:r>
          <w:r>
            <w:fldChar w:fldCharType="begin"/>
          </w:r>
          <w:r>
            <w:instrText xml:space="preserve"> PAGEREF _Toc12841 \h </w:instrText>
          </w:r>
          <w:r>
            <w:fldChar w:fldCharType="separate"/>
          </w:r>
          <w:r>
            <w:t>6</w:t>
          </w:r>
          <w:r>
            <w:fldChar w:fldCharType="end"/>
          </w:r>
          <w:r>
            <w:rPr>
              <w:rFonts w:hint="eastAsia"/>
              <w:szCs w:val="30"/>
              <w:lang w:val="en-US" w:eastAsia="zh-CN"/>
            </w:rPr>
            <w:fldChar w:fldCharType="end"/>
          </w:r>
        </w:p>
        <w:p w14:paraId="4EF81CCF">
          <w:pPr>
            <w:pStyle w:val="9"/>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_Toc13772 </w:instrText>
          </w:r>
          <w:r>
            <w:rPr>
              <w:rFonts w:hint="eastAsia"/>
              <w:szCs w:val="30"/>
              <w:lang w:val="en-US" w:eastAsia="zh-CN"/>
            </w:rPr>
            <w:fldChar w:fldCharType="separate"/>
          </w:r>
          <w:r>
            <w:rPr>
              <w:rFonts w:hint="eastAsia"/>
              <w:szCs w:val="30"/>
              <w:lang w:val="en-US" w:eastAsia="zh-CN"/>
            </w:rPr>
            <w:t>三、业务范围</w:t>
          </w:r>
          <w:r>
            <w:tab/>
          </w:r>
          <w:r>
            <w:fldChar w:fldCharType="begin"/>
          </w:r>
          <w:r>
            <w:instrText xml:space="preserve"> PAGEREF _Toc13772 \h </w:instrText>
          </w:r>
          <w:r>
            <w:fldChar w:fldCharType="separate"/>
          </w:r>
          <w:r>
            <w:t>7</w:t>
          </w:r>
          <w:r>
            <w:fldChar w:fldCharType="end"/>
          </w:r>
          <w:r>
            <w:rPr>
              <w:rFonts w:hint="eastAsia"/>
              <w:szCs w:val="30"/>
              <w:lang w:val="en-US" w:eastAsia="zh-CN"/>
            </w:rPr>
            <w:fldChar w:fldCharType="end"/>
          </w:r>
        </w:p>
        <w:p w14:paraId="4ED7A258">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_Toc21761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3.1适用研发类型</w:t>
          </w:r>
          <w:r>
            <w:tab/>
          </w:r>
          <w:r>
            <w:fldChar w:fldCharType="begin"/>
          </w:r>
          <w:r>
            <w:instrText xml:space="preserve"> PAGEREF _Toc21761 \h </w:instrText>
          </w:r>
          <w:r>
            <w:fldChar w:fldCharType="separate"/>
          </w:r>
          <w:r>
            <w:t>7</w:t>
          </w:r>
          <w:r>
            <w:fldChar w:fldCharType="end"/>
          </w:r>
          <w:r>
            <w:rPr>
              <w:rFonts w:hint="eastAsia"/>
              <w:szCs w:val="30"/>
              <w:lang w:val="en-US" w:eastAsia="zh-CN"/>
            </w:rPr>
            <w:fldChar w:fldCharType="end"/>
          </w:r>
        </w:p>
        <w:p w14:paraId="257C514A">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_Toc12915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3.2适用费用范围</w:t>
          </w:r>
          <w:r>
            <w:tab/>
          </w:r>
          <w:r>
            <w:fldChar w:fldCharType="begin"/>
          </w:r>
          <w:r>
            <w:instrText xml:space="preserve"> PAGEREF _Toc12915 \h </w:instrText>
          </w:r>
          <w:r>
            <w:fldChar w:fldCharType="separate"/>
          </w:r>
          <w:r>
            <w:t>7</w:t>
          </w:r>
          <w:r>
            <w:fldChar w:fldCharType="end"/>
          </w:r>
          <w:r>
            <w:rPr>
              <w:rFonts w:hint="eastAsia"/>
              <w:szCs w:val="30"/>
              <w:lang w:val="en-US" w:eastAsia="zh-CN"/>
            </w:rPr>
            <w:fldChar w:fldCharType="end"/>
          </w:r>
        </w:p>
        <w:p w14:paraId="41E3E8EA">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_Toc31900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3.3适用主体范围</w:t>
          </w:r>
          <w:r>
            <w:tab/>
          </w:r>
          <w:r>
            <w:fldChar w:fldCharType="begin"/>
          </w:r>
          <w:r>
            <w:instrText xml:space="preserve"> PAGEREF _Toc31900 \h </w:instrText>
          </w:r>
          <w:r>
            <w:fldChar w:fldCharType="separate"/>
          </w:r>
          <w:r>
            <w:t>7</w:t>
          </w:r>
          <w:r>
            <w:fldChar w:fldCharType="end"/>
          </w:r>
          <w:r>
            <w:rPr>
              <w:rFonts w:hint="eastAsia"/>
              <w:szCs w:val="30"/>
              <w:lang w:val="en-US" w:eastAsia="zh-CN"/>
            </w:rPr>
            <w:fldChar w:fldCharType="end"/>
          </w:r>
        </w:p>
        <w:p w14:paraId="5E030CF0">
          <w:pPr>
            <w:pStyle w:val="9"/>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_Toc31643 </w:instrText>
          </w:r>
          <w:r>
            <w:rPr>
              <w:rFonts w:hint="eastAsia"/>
              <w:szCs w:val="30"/>
              <w:lang w:val="en-US" w:eastAsia="zh-CN"/>
            </w:rPr>
            <w:fldChar w:fldCharType="separate"/>
          </w:r>
          <w:r>
            <w:rPr>
              <w:rFonts w:hint="eastAsia"/>
              <w:szCs w:val="30"/>
              <w:lang w:val="en-US" w:eastAsia="zh-CN"/>
            </w:rPr>
            <w:t>四、业务规则与合规要求</w:t>
          </w:r>
          <w:r>
            <w:tab/>
          </w:r>
          <w:r>
            <w:fldChar w:fldCharType="begin"/>
          </w:r>
          <w:r>
            <w:instrText xml:space="preserve"> PAGEREF _Toc31643 \h </w:instrText>
          </w:r>
          <w:r>
            <w:fldChar w:fldCharType="separate"/>
          </w:r>
          <w:r>
            <w:t>8</w:t>
          </w:r>
          <w:r>
            <w:fldChar w:fldCharType="end"/>
          </w:r>
          <w:r>
            <w:rPr>
              <w:rFonts w:hint="eastAsia"/>
              <w:szCs w:val="30"/>
              <w:lang w:val="en-US" w:eastAsia="zh-CN"/>
            </w:rPr>
            <w:fldChar w:fldCharType="end"/>
          </w:r>
        </w:p>
        <w:p w14:paraId="2DE9B34D">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_Toc5982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4.1 研发活动判定规则</w:t>
          </w:r>
          <w:r>
            <w:tab/>
          </w:r>
          <w:r>
            <w:fldChar w:fldCharType="begin"/>
          </w:r>
          <w:r>
            <w:instrText xml:space="preserve"> PAGEREF _Toc5982 \h </w:instrText>
          </w:r>
          <w:r>
            <w:fldChar w:fldCharType="separate"/>
          </w:r>
          <w:r>
            <w:t>8</w:t>
          </w:r>
          <w:r>
            <w:fldChar w:fldCharType="end"/>
          </w:r>
          <w:r>
            <w:rPr>
              <w:rFonts w:hint="eastAsia"/>
              <w:szCs w:val="30"/>
              <w:lang w:val="en-US" w:eastAsia="zh-CN"/>
            </w:rPr>
            <w:fldChar w:fldCharType="end"/>
          </w:r>
        </w:p>
        <w:p w14:paraId="72207A3E">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_Toc9796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4.2 费用归集与分摊规则</w:t>
          </w:r>
          <w:r>
            <w:tab/>
          </w:r>
          <w:r>
            <w:fldChar w:fldCharType="begin"/>
          </w:r>
          <w:r>
            <w:instrText xml:space="preserve"> PAGEREF _Toc9796 \h </w:instrText>
          </w:r>
          <w:r>
            <w:fldChar w:fldCharType="separate"/>
          </w:r>
          <w:r>
            <w:t>9</w:t>
          </w:r>
          <w:r>
            <w:fldChar w:fldCharType="end"/>
          </w:r>
          <w:r>
            <w:rPr>
              <w:rFonts w:hint="eastAsia"/>
              <w:szCs w:val="30"/>
              <w:lang w:val="en-US" w:eastAsia="zh-CN"/>
            </w:rPr>
            <w:fldChar w:fldCharType="end"/>
          </w:r>
        </w:p>
        <w:p w14:paraId="213E019A">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_Toc3509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4.3 辅助账编制规则</w:t>
          </w:r>
          <w:r>
            <w:tab/>
          </w:r>
          <w:r>
            <w:fldChar w:fldCharType="begin"/>
          </w:r>
          <w:r>
            <w:instrText xml:space="preserve"> PAGEREF _Toc3509 \h </w:instrText>
          </w:r>
          <w:r>
            <w:fldChar w:fldCharType="separate"/>
          </w:r>
          <w:r>
            <w:t>15</w:t>
          </w:r>
          <w:r>
            <w:fldChar w:fldCharType="end"/>
          </w:r>
          <w:r>
            <w:rPr>
              <w:rFonts w:hint="eastAsia"/>
              <w:szCs w:val="30"/>
              <w:lang w:val="en-US" w:eastAsia="zh-CN"/>
            </w:rPr>
            <w:fldChar w:fldCharType="end"/>
          </w:r>
        </w:p>
        <w:p w14:paraId="7EAC2049">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_Toc10983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4.4 加计扣除规则</w:t>
          </w:r>
          <w:r>
            <w:tab/>
          </w:r>
          <w:r>
            <w:fldChar w:fldCharType="begin"/>
          </w:r>
          <w:r>
            <w:instrText xml:space="preserve"> PAGEREF _Toc10983 \h </w:instrText>
          </w:r>
          <w:r>
            <w:fldChar w:fldCharType="separate"/>
          </w:r>
          <w:r>
            <w:t>17</w:t>
          </w:r>
          <w:r>
            <w:fldChar w:fldCharType="end"/>
          </w:r>
          <w:r>
            <w:rPr>
              <w:rFonts w:hint="eastAsia"/>
              <w:szCs w:val="30"/>
              <w:lang w:val="en-US" w:eastAsia="zh-CN"/>
            </w:rPr>
            <w:fldChar w:fldCharType="end"/>
          </w:r>
        </w:p>
        <w:p w14:paraId="73AAD849">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_Toc26864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4.5 申报填报规则</w:t>
          </w:r>
          <w:r>
            <w:tab/>
          </w:r>
          <w:r>
            <w:fldChar w:fldCharType="begin"/>
          </w:r>
          <w:r>
            <w:instrText xml:space="preserve"> PAGEREF _Toc26864 \h </w:instrText>
          </w:r>
          <w:r>
            <w:fldChar w:fldCharType="separate"/>
          </w:r>
          <w:r>
            <w:t>19</w:t>
          </w:r>
          <w:r>
            <w:fldChar w:fldCharType="end"/>
          </w:r>
          <w:r>
            <w:rPr>
              <w:rFonts w:hint="eastAsia"/>
              <w:szCs w:val="30"/>
              <w:lang w:val="en-US" w:eastAsia="zh-CN"/>
            </w:rPr>
            <w:fldChar w:fldCharType="end"/>
          </w:r>
        </w:p>
        <w:p w14:paraId="0FEB9764">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_Toc32108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4.6 备查资料管理规则</w:t>
          </w:r>
          <w:r>
            <w:tab/>
          </w:r>
          <w:r>
            <w:fldChar w:fldCharType="begin"/>
          </w:r>
          <w:r>
            <w:instrText xml:space="preserve"> PAGEREF _Toc32108 \h </w:instrText>
          </w:r>
          <w:r>
            <w:fldChar w:fldCharType="separate"/>
          </w:r>
          <w:r>
            <w:t>21</w:t>
          </w:r>
          <w:r>
            <w:fldChar w:fldCharType="end"/>
          </w:r>
          <w:r>
            <w:rPr>
              <w:rFonts w:hint="eastAsia"/>
              <w:szCs w:val="30"/>
              <w:lang w:val="en-US" w:eastAsia="zh-CN"/>
            </w:rPr>
            <w:fldChar w:fldCharType="end"/>
          </w:r>
        </w:p>
        <w:p w14:paraId="0E9E4026">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_Toc26078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4.7 后续管理</w:t>
          </w:r>
          <w:r>
            <w:tab/>
          </w:r>
          <w:r>
            <w:fldChar w:fldCharType="begin"/>
          </w:r>
          <w:r>
            <w:instrText xml:space="preserve"> PAGEREF _Toc26078 \h </w:instrText>
          </w:r>
          <w:r>
            <w:fldChar w:fldCharType="separate"/>
          </w:r>
          <w:r>
            <w:t>23</w:t>
          </w:r>
          <w:r>
            <w:fldChar w:fldCharType="end"/>
          </w:r>
          <w:r>
            <w:rPr>
              <w:rFonts w:hint="eastAsia"/>
              <w:szCs w:val="30"/>
              <w:lang w:val="en-US" w:eastAsia="zh-CN"/>
            </w:rPr>
            <w:fldChar w:fldCharType="end"/>
          </w:r>
        </w:p>
        <w:p w14:paraId="130787ED">
          <w:pPr>
            <w:pStyle w:val="9"/>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_Toc17862 </w:instrText>
          </w:r>
          <w:r>
            <w:rPr>
              <w:rFonts w:hint="eastAsia"/>
              <w:szCs w:val="30"/>
              <w:lang w:val="en-US" w:eastAsia="zh-CN"/>
            </w:rPr>
            <w:fldChar w:fldCharType="separate"/>
          </w:r>
          <w:r>
            <w:rPr>
              <w:rFonts w:hint="eastAsia"/>
              <w:szCs w:val="30"/>
              <w:lang w:val="en-US" w:eastAsia="zh-CN"/>
            </w:rPr>
            <w:t>五、业务流程需求</w:t>
          </w:r>
          <w:r>
            <w:tab/>
          </w:r>
          <w:r>
            <w:fldChar w:fldCharType="begin"/>
          </w:r>
          <w:r>
            <w:instrText xml:space="preserve"> PAGEREF _Toc17862 \h </w:instrText>
          </w:r>
          <w:r>
            <w:fldChar w:fldCharType="separate"/>
          </w:r>
          <w:r>
            <w:t>26</w:t>
          </w:r>
          <w:r>
            <w:fldChar w:fldCharType="end"/>
          </w:r>
          <w:r>
            <w:rPr>
              <w:rFonts w:hint="eastAsia"/>
              <w:szCs w:val="30"/>
              <w:lang w:val="en-US" w:eastAsia="zh-CN"/>
            </w:rPr>
            <w:fldChar w:fldCharType="end"/>
          </w:r>
        </w:p>
        <w:p w14:paraId="53CD6F54">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_Toc31110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5.1 整体业务流程</w:t>
          </w:r>
          <w:r>
            <w:tab/>
          </w:r>
          <w:r>
            <w:fldChar w:fldCharType="begin"/>
          </w:r>
          <w:r>
            <w:instrText xml:space="preserve"> PAGEREF _Toc31110 \h </w:instrText>
          </w:r>
          <w:r>
            <w:fldChar w:fldCharType="separate"/>
          </w:r>
          <w:r>
            <w:t>26</w:t>
          </w:r>
          <w:r>
            <w:fldChar w:fldCharType="end"/>
          </w:r>
          <w:r>
            <w:rPr>
              <w:rFonts w:hint="eastAsia"/>
              <w:szCs w:val="30"/>
              <w:lang w:val="en-US" w:eastAsia="zh-CN"/>
            </w:rPr>
            <w:fldChar w:fldCharType="end"/>
          </w:r>
        </w:p>
        <w:p w14:paraId="71A8322A">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_Toc18004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5.2分项业务流程</w:t>
          </w:r>
          <w:r>
            <w:tab/>
          </w:r>
          <w:r>
            <w:fldChar w:fldCharType="begin"/>
          </w:r>
          <w:r>
            <w:instrText xml:space="preserve"> PAGEREF _Toc18004 \h </w:instrText>
          </w:r>
          <w:r>
            <w:fldChar w:fldCharType="separate"/>
          </w:r>
          <w:r>
            <w:t>26</w:t>
          </w:r>
          <w:r>
            <w:fldChar w:fldCharType="end"/>
          </w:r>
          <w:r>
            <w:rPr>
              <w:rFonts w:hint="eastAsia"/>
              <w:szCs w:val="30"/>
              <w:lang w:val="en-US" w:eastAsia="zh-CN"/>
            </w:rPr>
            <w:fldChar w:fldCharType="end"/>
          </w:r>
        </w:p>
        <w:p w14:paraId="6A65CD5B">
          <w:pPr>
            <w:pStyle w:val="9"/>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_Toc16493 </w:instrText>
          </w:r>
          <w:r>
            <w:rPr>
              <w:rFonts w:hint="eastAsia"/>
              <w:szCs w:val="30"/>
              <w:lang w:val="en-US" w:eastAsia="zh-CN"/>
            </w:rPr>
            <w:fldChar w:fldCharType="separate"/>
          </w:r>
          <w:r>
            <w:rPr>
              <w:rFonts w:hint="eastAsia"/>
              <w:szCs w:val="30"/>
              <w:lang w:val="en-US" w:eastAsia="zh-CN"/>
            </w:rPr>
            <w:t>六、报表与信息输出需求</w:t>
          </w:r>
          <w:r>
            <w:tab/>
          </w:r>
          <w:r>
            <w:fldChar w:fldCharType="begin"/>
          </w:r>
          <w:r>
            <w:instrText xml:space="preserve"> PAGEREF _Toc16493 \h </w:instrText>
          </w:r>
          <w:r>
            <w:fldChar w:fldCharType="separate"/>
          </w:r>
          <w:r>
            <w:t>27</w:t>
          </w:r>
          <w:r>
            <w:fldChar w:fldCharType="end"/>
          </w:r>
          <w:r>
            <w:rPr>
              <w:rFonts w:hint="eastAsia"/>
              <w:szCs w:val="30"/>
              <w:lang w:val="en-US" w:eastAsia="zh-CN"/>
            </w:rPr>
            <w:fldChar w:fldCharType="end"/>
          </w:r>
        </w:p>
        <w:p w14:paraId="10048964">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_Toc9859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6.1法定报表</w:t>
          </w:r>
          <w:r>
            <w:tab/>
          </w:r>
          <w:r>
            <w:fldChar w:fldCharType="begin"/>
          </w:r>
          <w:r>
            <w:instrText xml:space="preserve"> PAGEREF _Toc9859 \h </w:instrText>
          </w:r>
          <w:r>
            <w:fldChar w:fldCharType="separate"/>
          </w:r>
          <w:r>
            <w:t>27</w:t>
          </w:r>
          <w:r>
            <w:fldChar w:fldCharType="end"/>
          </w:r>
          <w:r>
            <w:rPr>
              <w:rFonts w:hint="eastAsia"/>
              <w:szCs w:val="30"/>
              <w:lang w:val="en-US" w:eastAsia="zh-CN"/>
            </w:rPr>
            <w:fldChar w:fldCharType="end"/>
          </w:r>
        </w:p>
        <w:p w14:paraId="41B13FFC">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_Toc21836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6.2管理分析报表</w:t>
          </w:r>
          <w:r>
            <w:tab/>
          </w:r>
          <w:r>
            <w:fldChar w:fldCharType="begin"/>
          </w:r>
          <w:r>
            <w:instrText xml:space="preserve"> PAGEREF _Toc21836 \h </w:instrText>
          </w:r>
          <w:r>
            <w:fldChar w:fldCharType="separate"/>
          </w:r>
          <w:r>
            <w:t>27</w:t>
          </w:r>
          <w:r>
            <w:fldChar w:fldCharType="end"/>
          </w:r>
          <w:r>
            <w:rPr>
              <w:rFonts w:hint="eastAsia"/>
              <w:szCs w:val="30"/>
              <w:lang w:val="en-US" w:eastAsia="zh-CN"/>
            </w:rPr>
            <w:fldChar w:fldCharType="end"/>
          </w:r>
        </w:p>
        <w:p w14:paraId="04F39FB5">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_Toc19267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6.3风险监控报表</w:t>
          </w:r>
          <w:r>
            <w:tab/>
          </w:r>
          <w:r>
            <w:fldChar w:fldCharType="begin"/>
          </w:r>
          <w:r>
            <w:instrText xml:space="preserve"> PAGEREF _Toc19267 \h </w:instrText>
          </w:r>
          <w:r>
            <w:fldChar w:fldCharType="separate"/>
          </w:r>
          <w:r>
            <w:t>27</w:t>
          </w:r>
          <w:r>
            <w:fldChar w:fldCharType="end"/>
          </w:r>
          <w:r>
            <w:rPr>
              <w:rFonts w:hint="eastAsia"/>
              <w:szCs w:val="30"/>
              <w:lang w:val="en-US" w:eastAsia="zh-CN"/>
            </w:rPr>
            <w:fldChar w:fldCharType="end"/>
          </w:r>
        </w:p>
        <w:p w14:paraId="2FACF2EF">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_Toc12827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6.4稽查应对支持</w:t>
          </w:r>
          <w:r>
            <w:tab/>
          </w:r>
          <w:r>
            <w:fldChar w:fldCharType="begin"/>
          </w:r>
          <w:r>
            <w:instrText xml:space="preserve"> PAGEREF _Toc12827 \h </w:instrText>
          </w:r>
          <w:r>
            <w:fldChar w:fldCharType="separate"/>
          </w:r>
          <w:r>
            <w:t>27</w:t>
          </w:r>
          <w:r>
            <w:fldChar w:fldCharType="end"/>
          </w:r>
          <w:r>
            <w:rPr>
              <w:rFonts w:hint="eastAsia"/>
              <w:szCs w:val="30"/>
              <w:lang w:val="en-US" w:eastAsia="zh-CN"/>
            </w:rPr>
            <w:fldChar w:fldCharType="end"/>
          </w:r>
        </w:p>
        <w:p w14:paraId="2367292F">
          <w:pPr>
            <w:pStyle w:val="9"/>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_Toc29765 </w:instrText>
          </w:r>
          <w:r>
            <w:rPr>
              <w:rFonts w:hint="eastAsia"/>
              <w:szCs w:val="30"/>
              <w:lang w:val="en-US" w:eastAsia="zh-CN"/>
            </w:rPr>
            <w:fldChar w:fldCharType="separate"/>
          </w:r>
          <w:r>
            <w:rPr>
              <w:rFonts w:hint="eastAsia"/>
              <w:szCs w:val="30"/>
              <w:lang w:val="en-US" w:eastAsia="zh-CN"/>
            </w:rPr>
            <w:t>七、系统集成需求</w:t>
          </w:r>
          <w:r>
            <w:tab/>
          </w:r>
          <w:r>
            <w:fldChar w:fldCharType="begin"/>
          </w:r>
          <w:r>
            <w:instrText xml:space="preserve"> PAGEREF _Toc29765 \h </w:instrText>
          </w:r>
          <w:r>
            <w:fldChar w:fldCharType="separate"/>
          </w:r>
          <w:r>
            <w:t>27</w:t>
          </w:r>
          <w:r>
            <w:fldChar w:fldCharType="end"/>
          </w:r>
          <w:r>
            <w:rPr>
              <w:rFonts w:hint="eastAsia"/>
              <w:szCs w:val="30"/>
              <w:lang w:val="en-US" w:eastAsia="zh-CN"/>
            </w:rPr>
            <w:fldChar w:fldCharType="end"/>
          </w:r>
        </w:p>
        <w:p w14:paraId="4491FE2A">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_Toc5860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7.1上游系统</w:t>
          </w:r>
          <w:r>
            <w:tab/>
          </w:r>
          <w:r>
            <w:fldChar w:fldCharType="begin"/>
          </w:r>
          <w:r>
            <w:instrText xml:space="preserve"> PAGEREF _Toc5860 \h </w:instrText>
          </w:r>
          <w:r>
            <w:fldChar w:fldCharType="separate"/>
          </w:r>
          <w:r>
            <w:t>27</w:t>
          </w:r>
          <w:r>
            <w:fldChar w:fldCharType="end"/>
          </w:r>
          <w:r>
            <w:rPr>
              <w:rFonts w:hint="eastAsia"/>
              <w:szCs w:val="30"/>
              <w:lang w:val="en-US" w:eastAsia="zh-CN"/>
            </w:rPr>
            <w:fldChar w:fldCharType="end"/>
          </w:r>
        </w:p>
        <w:p w14:paraId="06CF9823">
          <w:pPr>
            <w:pStyle w:val="10"/>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_Toc19493 </w:instrText>
          </w:r>
          <w:r>
            <w:rPr>
              <w:rFonts w:hint="eastAsia"/>
              <w:szCs w:val="30"/>
              <w:lang w:val="en-US" w:eastAsia="zh-CN"/>
            </w:rPr>
            <w:fldChar w:fldCharType="separate"/>
          </w:r>
          <w:r>
            <w:rPr>
              <w:rFonts w:hint="eastAsia" w:asciiTheme="majorEastAsia" w:hAnsiTheme="majorEastAsia" w:eastAsiaTheme="majorEastAsia" w:cstheme="majorEastAsia"/>
              <w:szCs w:val="28"/>
              <w:lang w:val="en-US" w:eastAsia="zh-CN"/>
            </w:rPr>
            <w:t>7.2下游系统</w:t>
          </w:r>
          <w:r>
            <w:tab/>
          </w:r>
          <w:r>
            <w:fldChar w:fldCharType="begin"/>
          </w:r>
          <w:r>
            <w:instrText xml:space="preserve"> PAGEREF _Toc19493 \h </w:instrText>
          </w:r>
          <w:r>
            <w:fldChar w:fldCharType="separate"/>
          </w:r>
          <w:r>
            <w:t>28</w:t>
          </w:r>
          <w:r>
            <w:fldChar w:fldCharType="end"/>
          </w:r>
          <w:r>
            <w:rPr>
              <w:rFonts w:hint="eastAsia"/>
              <w:szCs w:val="30"/>
              <w:lang w:val="en-US" w:eastAsia="zh-CN"/>
            </w:rPr>
            <w:fldChar w:fldCharType="end"/>
          </w:r>
        </w:p>
        <w:p w14:paraId="62F2F7D2">
          <w:pPr>
            <w:pStyle w:val="9"/>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_Toc3000 </w:instrText>
          </w:r>
          <w:r>
            <w:rPr>
              <w:rFonts w:hint="eastAsia"/>
              <w:szCs w:val="30"/>
              <w:lang w:val="en-US" w:eastAsia="zh-CN"/>
            </w:rPr>
            <w:fldChar w:fldCharType="separate"/>
          </w:r>
          <w:r>
            <w:rPr>
              <w:rFonts w:hint="eastAsia"/>
              <w:szCs w:val="30"/>
              <w:lang w:val="en-US" w:eastAsia="zh-CN"/>
            </w:rPr>
            <w:t>八、组织与职责要求</w:t>
          </w:r>
          <w:r>
            <w:tab/>
          </w:r>
          <w:r>
            <w:fldChar w:fldCharType="begin"/>
          </w:r>
          <w:r>
            <w:instrText xml:space="preserve"> PAGEREF _Toc3000 \h </w:instrText>
          </w:r>
          <w:r>
            <w:fldChar w:fldCharType="separate"/>
          </w:r>
          <w:r>
            <w:t>28</w:t>
          </w:r>
          <w:r>
            <w:fldChar w:fldCharType="end"/>
          </w:r>
          <w:r>
            <w:rPr>
              <w:rFonts w:hint="eastAsia"/>
              <w:szCs w:val="30"/>
              <w:lang w:val="en-US" w:eastAsia="zh-CN"/>
            </w:rPr>
            <w:fldChar w:fldCharType="end"/>
          </w:r>
        </w:p>
        <w:p w14:paraId="00E27658">
          <w:pPr>
            <w:pStyle w:val="9"/>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_Toc19180 </w:instrText>
          </w:r>
          <w:r>
            <w:rPr>
              <w:rFonts w:hint="eastAsia"/>
              <w:szCs w:val="30"/>
              <w:lang w:val="en-US" w:eastAsia="zh-CN"/>
            </w:rPr>
            <w:fldChar w:fldCharType="separate"/>
          </w:r>
          <w:r>
            <w:rPr>
              <w:rFonts w:hint="eastAsia"/>
              <w:szCs w:val="30"/>
              <w:lang w:val="en-US" w:eastAsia="zh-CN"/>
            </w:rPr>
            <w:t>九、业务需求展望</w:t>
          </w:r>
          <w:r>
            <w:tab/>
          </w:r>
          <w:r>
            <w:fldChar w:fldCharType="begin"/>
          </w:r>
          <w:r>
            <w:instrText xml:space="preserve"> PAGEREF _Toc19180 \h </w:instrText>
          </w:r>
          <w:r>
            <w:fldChar w:fldCharType="separate"/>
          </w:r>
          <w:r>
            <w:t>28</w:t>
          </w:r>
          <w:r>
            <w:fldChar w:fldCharType="end"/>
          </w:r>
          <w:r>
            <w:rPr>
              <w:rFonts w:hint="eastAsia"/>
              <w:szCs w:val="30"/>
              <w:lang w:val="en-US" w:eastAsia="zh-CN"/>
            </w:rPr>
            <w:fldChar w:fldCharType="end"/>
          </w:r>
        </w:p>
        <w:p w14:paraId="196813CF">
          <w:pPr>
            <w:pStyle w:val="9"/>
            <w:tabs>
              <w:tab w:val="right" w:leader="dot" w:pos="8306"/>
            </w:tabs>
          </w:pPr>
          <w:r>
            <w:rPr>
              <w:rFonts w:hint="eastAsia"/>
              <w:szCs w:val="30"/>
              <w:lang w:val="en-US" w:eastAsia="zh-CN"/>
            </w:rPr>
            <w:fldChar w:fldCharType="begin"/>
          </w:r>
          <w:r>
            <w:rPr>
              <w:rFonts w:hint="eastAsia"/>
              <w:szCs w:val="30"/>
              <w:lang w:val="en-US" w:eastAsia="zh-CN"/>
            </w:rPr>
            <w:instrText xml:space="preserve"> HYPERLINK \l _Toc32696 </w:instrText>
          </w:r>
          <w:r>
            <w:rPr>
              <w:rFonts w:hint="eastAsia"/>
              <w:szCs w:val="30"/>
              <w:lang w:val="en-US" w:eastAsia="zh-CN"/>
            </w:rPr>
            <w:fldChar w:fldCharType="separate"/>
          </w:r>
          <w:r>
            <w:rPr>
              <w:rFonts w:hint="default"/>
              <w:szCs w:val="30"/>
              <w:lang w:val="en-US" w:eastAsia="zh-CN"/>
            </w:rPr>
            <w:t>十、附录</w:t>
          </w:r>
          <w:r>
            <w:tab/>
          </w:r>
          <w:r>
            <w:fldChar w:fldCharType="begin"/>
          </w:r>
          <w:r>
            <w:instrText xml:space="preserve"> PAGEREF _Toc32696 \h </w:instrText>
          </w:r>
          <w:r>
            <w:fldChar w:fldCharType="separate"/>
          </w:r>
          <w:r>
            <w:t>28</w:t>
          </w:r>
          <w:r>
            <w:fldChar w:fldCharType="end"/>
          </w:r>
          <w:r>
            <w:rPr>
              <w:rFonts w:hint="eastAsia"/>
              <w:szCs w:val="30"/>
              <w:lang w:val="en-US" w:eastAsia="zh-CN"/>
            </w:rPr>
            <w:fldChar w:fldCharType="end"/>
          </w:r>
        </w:p>
        <w:p w14:paraId="0FF58FD3">
          <w:pPr>
            <w:jc w:val="center"/>
            <w:outlineLvl w:val="0"/>
            <w:rPr>
              <w:rFonts w:hint="eastAsia" w:asciiTheme="minorHAnsi" w:hAnsiTheme="minorHAnsi" w:eastAsiaTheme="minorEastAsia" w:cstheme="minorBidi"/>
              <w:kern w:val="2"/>
              <w:sz w:val="21"/>
              <w:szCs w:val="30"/>
              <w:lang w:val="en-US" w:eastAsia="zh-CN" w:bidi="ar-SA"/>
            </w:rPr>
          </w:pPr>
          <w:r>
            <w:rPr>
              <w:rFonts w:hint="eastAsia"/>
              <w:szCs w:val="30"/>
              <w:lang w:val="en-US" w:eastAsia="zh-CN"/>
            </w:rPr>
            <w:fldChar w:fldCharType="end"/>
          </w:r>
        </w:p>
      </w:sdtContent>
    </w:sdt>
    <w:p w14:paraId="7B366E9E">
      <w:pPr>
        <w:jc w:val="center"/>
        <w:outlineLvl w:val="0"/>
        <w:rPr>
          <w:rFonts w:hint="eastAsia" w:asciiTheme="minorHAnsi" w:hAnsiTheme="minorHAnsi" w:eastAsiaTheme="minorEastAsia" w:cstheme="minorBidi"/>
          <w:kern w:val="2"/>
          <w:sz w:val="21"/>
          <w:szCs w:val="30"/>
          <w:lang w:val="en-US" w:eastAsia="zh-CN" w:bidi="ar-SA"/>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129BE2BF">
      <w:pPr>
        <w:jc w:val="center"/>
        <w:outlineLvl w:val="0"/>
        <w:rPr>
          <w:rFonts w:hint="eastAsia" w:asciiTheme="minorHAnsi" w:hAnsiTheme="minorHAnsi" w:eastAsiaTheme="minorEastAsia" w:cstheme="minorBidi"/>
          <w:kern w:val="2"/>
          <w:sz w:val="21"/>
          <w:szCs w:val="30"/>
          <w:lang w:val="en-US" w:eastAsia="zh-CN" w:bidi="ar-SA"/>
        </w:rPr>
      </w:pPr>
    </w:p>
    <w:p w14:paraId="66B43D63">
      <w:pPr>
        <w:jc w:val="center"/>
        <w:outlineLvl w:val="0"/>
        <w:rPr>
          <w:rFonts w:hint="eastAsia"/>
          <w:sz w:val="30"/>
          <w:szCs w:val="30"/>
          <w:lang w:val="en-US" w:eastAsia="zh-CN"/>
        </w:rPr>
      </w:pPr>
      <w:bookmarkStart w:id="4" w:name="_Toc23875"/>
      <w:r>
        <w:rPr>
          <w:rFonts w:hint="eastAsia"/>
          <w:sz w:val="30"/>
          <w:szCs w:val="30"/>
          <w:lang w:val="en-US" w:eastAsia="zh-CN"/>
        </w:rPr>
        <w:t>修订记录</w:t>
      </w:r>
      <w:bookmarkEnd w:id="1"/>
      <w:bookmarkEnd w:id="2"/>
      <w:bookmarkEnd w:id="3"/>
      <w:bookmarkEnd w:id="4"/>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7"/>
        <w:gridCol w:w="4992"/>
        <w:gridCol w:w="1333"/>
        <w:gridCol w:w="1192"/>
      </w:tblGrid>
      <w:tr w14:paraId="6CDFE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tcPr>
          <w:p w14:paraId="470DDB57">
            <w:pPr>
              <w:numPr>
                <w:ilvl w:val="0"/>
                <w:numId w:val="0"/>
              </w:numPr>
              <w:jc w:val="center"/>
              <w:rPr>
                <w:rFonts w:hint="default"/>
                <w:vertAlign w:val="baseline"/>
                <w:lang w:val="en-US" w:eastAsia="zh-CN"/>
              </w:rPr>
            </w:pPr>
            <w:r>
              <w:rPr>
                <w:rFonts w:hint="eastAsia"/>
                <w:vertAlign w:val="baseline"/>
                <w:lang w:val="en-US" w:eastAsia="zh-CN"/>
              </w:rPr>
              <w:t>版本</w:t>
            </w:r>
          </w:p>
        </w:tc>
        <w:tc>
          <w:tcPr>
            <w:tcW w:w="4992" w:type="dxa"/>
          </w:tcPr>
          <w:p w14:paraId="22FCDB31">
            <w:pPr>
              <w:numPr>
                <w:ilvl w:val="0"/>
                <w:numId w:val="0"/>
              </w:numPr>
              <w:jc w:val="center"/>
              <w:rPr>
                <w:rFonts w:hint="default"/>
                <w:vertAlign w:val="baseline"/>
                <w:lang w:val="en-US" w:eastAsia="zh-CN"/>
              </w:rPr>
            </w:pPr>
            <w:r>
              <w:rPr>
                <w:rFonts w:hint="eastAsia"/>
                <w:vertAlign w:val="baseline"/>
                <w:lang w:val="en-US" w:eastAsia="zh-CN"/>
              </w:rPr>
              <w:t>修订内容</w:t>
            </w:r>
          </w:p>
        </w:tc>
        <w:tc>
          <w:tcPr>
            <w:tcW w:w="1333" w:type="dxa"/>
            <w:vAlign w:val="top"/>
          </w:tcPr>
          <w:p w14:paraId="6414A82E">
            <w:pPr>
              <w:numPr>
                <w:ilvl w:val="0"/>
                <w:numId w:val="0"/>
              </w:numPr>
              <w:ind w:left="0" w:leftChars="0" w:firstLine="0" w:firstLineChars="0"/>
              <w:jc w:val="center"/>
              <w:rPr>
                <w:rFonts w:hint="default"/>
                <w:vertAlign w:val="baseline"/>
                <w:lang w:val="en-US" w:eastAsia="zh-CN"/>
              </w:rPr>
            </w:pPr>
            <w:r>
              <w:rPr>
                <w:rFonts w:hint="eastAsia"/>
                <w:vertAlign w:val="baseline"/>
                <w:lang w:val="en-US" w:eastAsia="zh-CN"/>
              </w:rPr>
              <w:t>修订日期</w:t>
            </w:r>
          </w:p>
        </w:tc>
        <w:tc>
          <w:tcPr>
            <w:tcW w:w="1192" w:type="dxa"/>
            <w:vAlign w:val="top"/>
          </w:tcPr>
          <w:p w14:paraId="39762ACD">
            <w:pPr>
              <w:numPr>
                <w:ilvl w:val="0"/>
                <w:numId w:val="0"/>
              </w:numPr>
              <w:ind w:left="0" w:leftChars="0" w:firstLine="0" w:firstLineChars="0"/>
              <w:jc w:val="center"/>
              <w:rPr>
                <w:rFonts w:hint="default"/>
                <w:vertAlign w:val="baseline"/>
                <w:lang w:val="en-US" w:eastAsia="zh-CN"/>
              </w:rPr>
            </w:pPr>
            <w:r>
              <w:rPr>
                <w:rFonts w:hint="eastAsia"/>
                <w:vertAlign w:val="baseline"/>
                <w:lang w:val="en-US" w:eastAsia="zh-CN"/>
              </w:rPr>
              <w:t>修订人</w:t>
            </w:r>
          </w:p>
        </w:tc>
      </w:tr>
      <w:tr w14:paraId="1D28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877" w:type="dxa"/>
          </w:tcPr>
          <w:p w14:paraId="71244BC2">
            <w:pPr>
              <w:numPr>
                <w:ilvl w:val="0"/>
                <w:numId w:val="0"/>
              </w:numPr>
              <w:rPr>
                <w:rFonts w:hint="default"/>
                <w:vertAlign w:val="baseline"/>
                <w:lang w:val="en-US" w:eastAsia="zh-CN"/>
              </w:rPr>
            </w:pPr>
            <w:r>
              <w:rPr>
                <w:rFonts w:hint="eastAsia"/>
                <w:vertAlign w:val="baseline"/>
                <w:lang w:val="en-US" w:eastAsia="zh-CN"/>
              </w:rPr>
              <w:t>V1.0</w:t>
            </w:r>
          </w:p>
        </w:tc>
        <w:tc>
          <w:tcPr>
            <w:tcW w:w="4992" w:type="dxa"/>
          </w:tcPr>
          <w:p w14:paraId="42C21B90">
            <w:pPr>
              <w:numPr>
                <w:ilvl w:val="0"/>
                <w:numId w:val="0"/>
              </w:numPr>
              <w:rPr>
                <w:rFonts w:hint="default"/>
                <w:vertAlign w:val="baseline"/>
                <w:lang w:val="en-US" w:eastAsia="zh-CN"/>
              </w:rPr>
            </w:pPr>
            <w:r>
              <w:rPr>
                <w:rFonts w:hint="eastAsia"/>
                <w:vertAlign w:val="baseline"/>
                <w:lang w:val="en-US" w:eastAsia="zh-CN"/>
              </w:rPr>
              <w:t>新起草</w:t>
            </w:r>
          </w:p>
        </w:tc>
        <w:tc>
          <w:tcPr>
            <w:tcW w:w="1333" w:type="dxa"/>
          </w:tcPr>
          <w:p w14:paraId="1BFD0286">
            <w:pPr>
              <w:numPr>
                <w:ilvl w:val="0"/>
                <w:numId w:val="0"/>
              </w:numPr>
              <w:rPr>
                <w:rFonts w:hint="default"/>
                <w:vertAlign w:val="baseline"/>
                <w:lang w:val="en-US" w:eastAsia="zh-CN"/>
              </w:rPr>
            </w:pPr>
            <w:r>
              <w:rPr>
                <w:rFonts w:hint="eastAsia"/>
                <w:vertAlign w:val="baseline"/>
                <w:lang w:val="en-US" w:eastAsia="zh-CN"/>
              </w:rPr>
              <w:t>2026.05.26</w:t>
            </w:r>
          </w:p>
        </w:tc>
        <w:tc>
          <w:tcPr>
            <w:tcW w:w="1192" w:type="dxa"/>
          </w:tcPr>
          <w:p w14:paraId="51C8F6F5">
            <w:pPr>
              <w:numPr>
                <w:ilvl w:val="0"/>
                <w:numId w:val="0"/>
              </w:numPr>
              <w:rPr>
                <w:rFonts w:hint="default"/>
                <w:vertAlign w:val="baseline"/>
                <w:lang w:val="en-US" w:eastAsia="zh-CN"/>
              </w:rPr>
            </w:pPr>
            <w:r>
              <w:rPr>
                <w:rFonts w:hint="eastAsia"/>
                <w:vertAlign w:val="baseline"/>
                <w:lang w:val="en-US" w:eastAsia="zh-CN"/>
              </w:rPr>
              <w:t>王新锋</w:t>
            </w:r>
          </w:p>
        </w:tc>
      </w:tr>
      <w:tr w14:paraId="1DCF1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877" w:type="dxa"/>
          </w:tcPr>
          <w:p w14:paraId="1E6A5D92">
            <w:pPr>
              <w:numPr>
                <w:ilvl w:val="0"/>
                <w:numId w:val="0"/>
              </w:numPr>
              <w:rPr>
                <w:rFonts w:hint="default"/>
                <w:vertAlign w:val="baseline"/>
                <w:lang w:val="en-US" w:eastAsia="zh-CN"/>
              </w:rPr>
            </w:pPr>
          </w:p>
        </w:tc>
        <w:tc>
          <w:tcPr>
            <w:tcW w:w="4992" w:type="dxa"/>
          </w:tcPr>
          <w:p w14:paraId="0258DB67">
            <w:pPr>
              <w:numPr>
                <w:ilvl w:val="0"/>
                <w:numId w:val="0"/>
              </w:numPr>
              <w:rPr>
                <w:rFonts w:hint="default"/>
                <w:vertAlign w:val="baseline"/>
                <w:lang w:val="en-US" w:eastAsia="zh-CN"/>
              </w:rPr>
            </w:pPr>
          </w:p>
        </w:tc>
        <w:tc>
          <w:tcPr>
            <w:tcW w:w="1333" w:type="dxa"/>
          </w:tcPr>
          <w:p w14:paraId="50B4F563">
            <w:pPr>
              <w:numPr>
                <w:ilvl w:val="0"/>
                <w:numId w:val="0"/>
              </w:numPr>
              <w:rPr>
                <w:rFonts w:hint="default"/>
                <w:vertAlign w:val="baseline"/>
                <w:lang w:val="en-US" w:eastAsia="zh-CN"/>
              </w:rPr>
            </w:pPr>
          </w:p>
        </w:tc>
        <w:tc>
          <w:tcPr>
            <w:tcW w:w="1192" w:type="dxa"/>
          </w:tcPr>
          <w:p w14:paraId="3B4586C4">
            <w:pPr>
              <w:numPr>
                <w:ilvl w:val="0"/>
                <w:numId w:val="0"/>
              </w:numPr>
              <w:rPr>
                <w:rFonts w:hint="default"/>
                <w:vertAlign w:val="baseline"/>
                <w:lang w:val="en-US" w:eastAsia="zh-CN"/>
              </w:rPr>
            </w:pPr>
          </w:p>
        </w:tc>
      </w:tr>
      <w:tr w14:paraId="6268C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tcPr>
          <w:p w14:paraId="483AD50E">
            <w:pPr>
              <w:numPr>
                <w:ilvl w:val="0"/>
                <w:numId w:val="0"/>
              </w:numPr>
              <w:rPr>
                <w:rFonts w:hint="default"/>
                <w:vertAlign w:val="baseline"/>
                <w:lang w:val="en-US" w:eastAsia="zh-CN"/>
              </w:rPr>
            </w:pPr>
          </w:p>
        </w:tc>
        <w:tc>
          <w:tcPr>
            <w:tcW w:w="4992" w:type="dxa"/>
          </w:tcPr>
          <w:p w14:paraId="0D22DFDC">
            <w:pPr>
              <w:numPr>
                <w:ilvl w:val="0"/>
                <w:numId w:val="0"/>
              </w:numPr>
              <w:rPr>
                <w:rFonts w:hint="default"/>
                <w:vertAlign w:val="baseline"/>
                <w:lang w:val="en-US" w:eastAsia="zh-CN"/>
              </w:rPr>
            </w:pPr>
          </w:p>
        </w:tc>
        <w:tc>
          <w:tcPr>
            <w:tcW w:w="1333" w:type="dxa"/>
          </w:tcPr>
          <w:p w14:paraId="76C39D15">
            <w:pPr>
              <w:numPr>
                <w:ilvl w:val="0"/>
                <w:numId w:val="0"/>
              </w:numPr>
              <w:rPr>
                <w:rFonts w:hint="default"/>
                <w:vertAlign w:val="baseline"/>
                <w:lang w:val="en-US" w:eastAsia="zh-CN"/>
              </w:rPr>
            </w:pPr>
          </w:p>
        </w:tc>
        <w:tc>
          <w:tcPr>
            <w:tcW w:w="1192" w:type="dxa"/>
          </w:tcPr>
          <w:p w14:paraId="6128F6C8">
            <w:pPr>
              <w:numPr>
                <w:ilvl w:val="0"/>
                <w:numId w:val="0"/>
              </w:numPr>
              <w:rPr>
                <w:rFonts w:hint="default"/>
                <w:vertAlign w:val="baseline"/>
                <w:lang w:val="en-US" w:eastAsia="zh-CN"/>
              </w:rPr>
            </w:pPr>
          </w:p>
        </w:tc>
      </w:tr>
      <w:tr w14:paraId="290F5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tcPr>
          <w:p w14:paraId="75FC104C">
            <w:pPr>
              <w:numPr>
                <w:ilvl w:val="0"/>
                <w:numId w:val="0"/>
              </w:numPr>
              <w:rPr>
                <w:rFonts w:hint="default"/>
                <w:vertAlign w:val="baseline"/>
                <w:lang w:val="en-US" w:eastAsia="zh-CN"/>
              </w:rPr>
            </w:pPr>
          </w:p>
        </w:tc>
        <w:tc>
          <w:tcPr>
            <w:tcW w:w="4992" w:type="dxa"/>
          </w:tcPr>
          <w:p w14:paraId="45DD5FB6">
            <w:pPr>
              <w:numPr>
                <w:ilvl w:val="0"/>
                <w:numId w:val="0"/>
              </w:numPr>
              <w:rPr>
                <w:rFonts w:hint="default"/>
                <w:vertAlign w:val="baseline"/>
                <w:lang w:val="en-US" w:eastAsia="zh-CN"/>
              </w:rPr>
            </w:pPr>
          </w:p>
        </w:tc>
        <w:tc>
          <w:tcPr>
            <w:tcW w:w="1333" w:type="dxa"/>
          </w:tcPr>
          <w:p w14:paraId="260BF61B">
            <w:pPr>
              <w:numPr>
                <w:ilvl w:val="0"/>
                <w:numId w:val="0"/>
              </w:numPr>
              <w:rPr>
                <w:rFonts w:hint="default"/>
                <w:vertAlign w:val="baseline"/>
                <w:lang w:val="en-US" w:eastAsia="zh-CN"/>
              </w:rPr>
            </w:pPr>
          </w:p>
        </w:tc>
        <w:tc>
          <w:tcPr>
            <w:tcW w:w="1192" w:type="dxa"/>
          </w:tcPr>
          <w:p w14:paraId="1DDE54C4">
            <w:pPr>
              <w:numPr>
                <w:ilvl w:val="0"/>
                <w:numId w:val="0"/>
              </w:numPr>
              <w:rPr>
                <w:rFonts w:hint="default"/>
                <w:vertAlign w:val="baseline"/>
                <w:lang w:val="en-US" w:eastAsia="zh-CN"/>
              </w:rPr>
            </w:pPr>
          </w:p>
        </w:tc>
      </w:tr>
      <w:tr w14:paraId="7AA4C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tcPr>
          <w:p w14:paraId="4868F876">
            <w:pPr>
              <w:numPr>
                <w:ilvl w:val="0"/>
                <w:numId w:val="0"/>
              </w:numPr>
              <w:rPr>
                <w:rFonts w:hint="default"/>
                <w:vertAlign w:val="baseline"/>
                <w:lang w:val="en-US" w:eastAsia="zh-CN"/>
              </w:rPr>
            </w:pPr>
          </w:p>
        </w:tc>
        <w:tc>
          <w:tcPr>
            <w:tcW w:w="4992" w:type="dxa"/>
          </w:tcPr>
          <w:p w14:paraId="03ED13A7">
            <w:pPr>
              <w:numPr>
                <w:ilvl w:val="0"/>
                <w:numId w:val="0"/>
              </w:numPr>
              <w:rPr>
                <w:rFonts w:hint="default"/>
                <w:vertAlign w:val="baseline"/>
                <w:lang w:val="en-US" w:eastAsia="zh-CN"/>
              </w:rPr>
            </w:pPr>
          </w:p>
        </w:tc>
        <w:tc>
          <w:tcPr>
            <w:tcW w:w="1333" w:type="dxa"/>
          </w:tcPr>
          <w:p w14:paraId="0CAD7C22">
            <w:pPr>
              <w:numPr>
                <w:ilvl w:val="0"/>
                <w:numId w:val="0"/>
              </w:numPr>
              <w:rPr>
                <w:rFonts w:hint="default"/>
                <w:vertAlign w:val="baseline"/>
                <w:lang w:val="en-US" w:eastAsia="zh-CN"/>
              </w:rPr>
            </w:pPr>
          </w:p>
        </w:tc>
        <w:tc>
          <w:tcPr>
            <w:tcW w:w="1192" w:type="dxa"/>
          </w:tcPr>
          <w:p w14:paraId="225EB72E">
            <w:pPr>
              <w:numPr>
                <w:ilvl w:val="0"/>
                <w:numId w:val="0"/>
              </w:numPr>
              <w:rPr>
                <w:rFonts w:hint="default"/>
                <w:vertAlign w:val="baseline"/>
                <w:lang w:val="en-US" w:eastAsia="zh-CN"/>
              </w:rPr>
            </w:pPr>
          </w:p>
        </w:tc>
      </w:tr>
      <w:tr w14:paraId="5E7EC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7" w:type="dxa"/>
          </w:tcPr>
          <w:p w14:paraId="007D3751">
            <w:pPr>
              <w:numPr>
                <w:ilvl w:val="0"/>
                <w:numId w:val="0"/>
              </w:numPr>
              <w:rPr>
                <w:rFonts w:hint="default"/>
                <w:vertAlign w:val="baseline"/>
                <w:lang w:val="en-US" w:eastAsia="zh-CN"/>
              </w:rPr>
            </w:pPr>
          </w:p>
        </w:tc>
        <w:tc>
          <w:tcPr>
            <w:tcW w:w="4992" w:type="dxa"/>
          </w:tcPr>
          <w:p w14:paraId="2929763D">
            <w:pPr>
              <w:numPr>
                <w:ilvl w:val="0"/>
                <w:numId w:val="0"/>
              </w:numPr>
              <w:rPr>
                <w:rFonts w:hint="default"/>
                <w:vertAlign w:val="baseline"/>
                <w:lang w:val="en-US" w:eastAsia="zh-CN"/>
              </w:rPr>
            </w:pPr>
          </w:p>
        </w:tc>
        <w:tc>
          <w:tcPr>
            <w:tcW w:w="1333" w:type="dxa"/>
          </w:tcPr>
          <w:p w14:paraId="7460A631">
            <w:pPr>
              <w:numPr>
                <w:ilvl w:val="0"/>
                <w:numId w:val="0"/>
              </w:numPr>
              <w:rPr>
                <w:rFonts w:hint="default"/>
                <w:vertAlign w:val="baseline"/>
                <w:lang w:val="en-US" w:eastAsia="zh-CN"/>
              </w:rPr>
            </w:pPr>
          </w:p>
        </w:tc>
        <w:tc>
          <w:tcPr>
            <w:tcW w:w="1192" w:type="dxa"/>
          </w:tcPr>
          <w:p w14:paraId="55CC6CA4">
            <w:pPr>
              <w:numPr>
                <w:ilvl w:val="0"/>
                <w:numId w:val="0"/>
              </w:numPr>
              <w:rPr>
                <w:rFonts w:hint="default"/>
                <w:vertAlign w:val="baseline"/>
                <w:lang w:val="en-US" w:eastAsia="zh-CN"/>
              </w:rPr>
            </w:pPr>
          </w:p>
        </w:tc>
      </w:tr>
    </w:tbl>
    <w:p w14:paraId="192BE559">
      <w:pPr>
        <w:numPr>
          <w:ilvl w:val="0"/>
          <w:numId w:val="0"/>
        </w:numPr>
        <w:rPr>
          <w:rFonts w:hint="default"/>
          <w:lang w:val="en-US" w:eastAsia="zh-CN"/>
        </w:rPr>
      </w:pPr>
    </w:p>
    <w:p w14:paraId="015DCB80">
      <w:pPr>
        <w:numPr>
          <w:ilvl w:val="0"/>
          <w:numId w:val="0"/>
        </w:numPr>
        <w:rPr>
          <w:rFonts w:hint="default"/>
          <w:lang w:val="en-US" w:eastAsia="zh-CN"/>
        </w:rPr>
      </w:pPr>
    </w:p>
    <w:p w14:paraId="31432984">
      <w:pPr>
        <w:numPr>
          <w:ilvl w:val="0"/>
          <w:numId w:val="0"/>
        </w:numPr>
        <w:rPr>
          <w:rFonts w:hint="default"/>
          <w:lang w:val="en-US" w:eastAsia="zh-CN"/>
        </w:rPr>
      </w:pPr>
    </w:p>
    <w:p w14:paraId="7327A547">
      <w:pPr>
        <w:numPr>
          <w:ilvl w:val="0"/>
          <w:numId w:val="0"/>
        </w:numPr>
        <w:rPr>
          <w:rFonts w:hint="default"/>
          <w:lang w:val="en-US" w:eastAsia="zh-CN"/>
        </w:rPr>
      </w:pPr>
    </w:p>
    <w:p w14:paraId="71DED256">
      <w:pPr>
        <w:numPr>
          <w:ilvl w:val="0"/>
          <w:numId w:val="0"/>
        </w:numPr>
        <w:rPr>
          <w:rFonts w:hint="default"/>
          <w:lang w:val="en-US" w:eastAsia="zh-CN"/>
        </w:rPr>
      </w:pPr>
    </w:p>
    <w:p w14:paraId="1CB2E9A5">
      <w:pPr>
        <w:numPr>
          <w:ilvl w:val="0"/>
          <w:numId w:val="0"/>
        </w:numPr>
        <w:rPr>
          <w:rFonts w:hint="default"/>
          <w:lang w:val="en-US" w:eastAsia="zh-CN"/>
        </w:rPr>
      </w:pPr>
    </w:p>
    <w:p w14:paraId="7C0D1C07">
      <w:pPr>
        <w:numPr>
          <w:ilvl w:val="0"/>
          <w:numId w:val="0"/>
        </w:numPr>
        <w:rPr>
          <w:rFonts w:hint="default"/>
          <w:lang w:val="en-US" w:eastAsia="zh-CN"/>
        </w:rPr>
      </w:pPr>
    </w:p>
    <w:p w14:paraId="4AD5BBD4">
      <w:pPr>
        <w:numPr>
          <w:ilvl w:val="0"/>
          <w:numId w:val="0"/>
        </w:numPr>
        <w:rPr>
          <w:rFonts w:hint="default"/>
          <w:lang w:val="en-US" w:eastAsia="zh-CN"/>
        </w:rPr>
      </w:pPr>
    </w:p>
    <w:p w14:paraId="7057147E">
      <w:pPr>
        <w:numPr>
          <w:ilvl w:val="0"/>
          <w:numId w:val="0"/>
        </w:numPr>
        <w:rPr>
          <w:rFonts w:hint="default"/>
          <w:lang w:val="en-US" w:eastAsia="zh-CN"/>
        </w:rPr>
      </w:pPr>
    </w:p>
    <w:p w14:paraId="3865B230">
      <w:pPr>
        <w:numPr>
          <w:ilvl w:val="0"/>
          <w:numId w:val="0"/>
        </w:numPr>
        <w:rPr>
          <w:rFonts w:hint="default"/>
          <w:lang w:val="en-US" w:eastAsia="zh-CN"/>
        </w:rPr>
      </w:pPr>
    </w:p>
    <w:p w14:paraId="5D31AFF9">
      <w:pPr>
        <w:numPr>
          <w:ilvl w:val="0"/>
          <w:numId w:val="0"/>
        </w:numPr>
        <w:rPr>
          <w:rFonts w:hint="default"/>
          <w:lang w:val="en-US" w:eastAsia="zh-CN"/>
        </w:rPr>
      </w:pPr>
    </w:p>
    <w:p w14:paraId="524734AD">
      <w:pPr>
        <w:numPr>
          <w:ilvl w:val="0"/>
          <w:numId w:val="0"/>
        </w:numPr>
        <w:rPr>
          <w:rFonts w:hint="default"/>
          <w:lang w:val="en-US" w:eastAsia="zh-CN"/>
        </w:rPr>
      </w:pPr>
    </w:p>
    <w:p w14:paraId="318EEA03">
      <w:pPr>
        <w:numPr>
          <w:ilvl w:val="0"/>
          <w:numId w:val="0"/>
        </w:numPr>
        <w:rPr>
          <w:rFonts w:hint="default"/>
          <w:lang w:val="en-US" w:eastAsia="zh-CN"/>
        </w:rPr>
      </w:pPr>
    </w:p>
    <w:p w14:paraId="4A8E684A">
      <w:pPr>
        <w:numPr>
          <w:ilvl w:val="0"/>
          <w:numId w:val="0"/>
        </w:numPr>
        <w:rPr>
          <w:rFonts w:hint="default"/>
          <w:lang w:val="en-US" w:eastAsia="zh-CN"/>
        </w:rPr>
      </w:pPr>
    </w:p>
    <w:p w14:paraId="0FE493C3">
      <w:pPr>
        <w:numPr>
          <w:ilvl w:val="0"/>
          <w:numId w:val="0"/>
        </w:numPr>
        <w:rPr>
          <w:rFonts w:hint="default"/>
          <w:lang w:val="en-US" w:eastAsia="zh-CN"/>
        </w:rPr>
      </w:pPr>
    </w:p>
    <w:p w14:paraId="6C9EAA97">
      <w:pPr>
        <w:numPr>
          <w:ilvl w:val="0"/>
          <w:numId w:val="0"/>
        </w:numPr>
        <w:rPr>
          <w:rFonts w:hint="default"/>
          <w:lang w:val="en-US" w:eastAsia="zh-CN"/>
        </w:rPr>
      </w:pPr>
    </w:p>
    <w:p w14:paraId="47E482BA">
      <w:pPr>
        <w:numPr>
          <w:ilvl w:val="0"/>
          <w:numId w:val="0"/>
        </w:numPr>
        <w:rPr>
          <w:rFonts w:hint="default"/>
          <w:lang w:val="en-US" w:eastAsia="zh-CN"/>
        </w:rPr>
      </w:pPr>
    </w:p>
    <w:p w14:paraId="26E30BF3">
      <w:pPr>
        <w:numPr>
          <w:ilvl w:val="0"/>
          <w:numId w:val="0"/>
        </w:numPr>
        <w:rPr>
          <w:rFonts w:hint="default"/>
          <w:lang w:val="en-US" w:eastAsia="zh-CN"/>
        </w:rPr>
      </w:pPr>
    </w:p>
    <w:p w14:paraId="2E4C1072">
      <w:pPr>
        <w:numPr>
          <w:ilvl w:val="0"/>
          <w:numId w:val="0"/>
        </w:numPr>
        <w:rPr>
          <w:rFonts w:hint="default"/>
          <w:lang w:val="en-US" w:eastAsia="zh-CN"/>
        </w:rPr>
      </w:pPr>
    </w:p>
    <w:p w14:paraId="6A6EBA21">
      <w:pPr>
        <w:numPr>
          <w:ilvl w:val="0"/>
          <w:numId w:val="0"/>
        </w:numPr>
        <w:rPr>
          <w:rFonts w:hint="default"/>
          <w:lang w:val="en-US" w:eastAsia="zh-CN"/>
        </w:rPr>
      </w:pPr>
    </w:p>
    <w:p w14:paraId="35BF374F">
      <w:pPr>
        <w:numPr>
          <w:ilvl w:val="0"/>
          <w:numId w:val="0"/>
        </w:numPr>
        <w:rPr>
          <w:rFonts w:hint="default"/>
          <w:lang w:val="en-US" w:eastAsia="zh-CN"/>
        </w:rPr>
      </w:pPr>
    </w:p>
    <w:p w14:paraId="46A9DFDC">
      <w:pPr>
        <w:numPr>
          <w:ilvl w:val="0"/>
          <w:numId w:val="0"/>
        </w:numPr>
        <w:rPr>
          <w:rFonts w:hint="default"/>
          <w:lang w:val="en-US" w:eastAsia="zh-CN"/>
        </w:rPr>
      </w:pPr>
    </w:p>
    <w:p w14:paraId="48179304">
      <w:pPr>
        <w:numPr>
          <w:ilvl w:val="0"/>
          <w:numId w:val="0"/>
        </w:numPr>
        <w:rPr>
          <w:rFonts w:hint="default"/>
          <w:lang w:val="en-US" w:eastAsia="zh-CN"/>
        </w:rPr>
      </w:pPr>
    </w:p>
    <w:p w14:paraId="0B2D1533">
      <w:pPr>
        <w:numPr>
          <w:ilvl w:val="0"/>
          <w:numId w:val="0"/>
        </w:numPr>
        <w:rPr>
          <w:rFonts w:hint="default"/>
          <w:lang w:val="en-US" w:eastAsia="zh-CN"/>
        </w:rPr>
      </w:pPr>
    </w:p>
    <w:p w14:paraId="6CEF24AE">
      <w:pPr>
        <w:numPr>
          <w:ilvl w:val="0"/>
          <w:numId w:val="0"/>
        </w:numPr>
        <w:rPr>
          <w:rFonts w:hint="default"/>
          <w:lang w:val="en-US" w:eastAsia="zh-CN"/>
        </w:rPr>
      </w:pPr>
    </w:p>
    <w:p w14:paraId="57214FAF">
      <w:pPr>
        <w:numPr>
          <w:ilvl w:val="0"/>
          <w:numId w:val="0"/>
        </w:numPr>
        <w:rPr>
          <w:rFonts w:hint="default"/>
          <w:lang w:val="en-US" w:eastAsia="zh-CN"/>
        </w:rPr>
      </w:pPr>
    </w:p>
    <w:p w14:paraId="58BE16EF">
      <w:pPr>
        <w:numPr>
          <w:ilvl w:val="0"/>
          <w:numId w:val="0"/>
        </w:numPr>
        <w:rPr>
          <w:rFonts w:hint="default"/>
          <w:lang w:val="en-US" w:eastAsia="zh-CN"/>
        </w:rPr>
      </w:pPr>
    </w:p>
    <w:p w14:paraId="5A193BCC">
      <w:pPr>
        <w:numPr>
          <w:ilvl w:val="0"/>
          <w:numId w:val="0"/>
        </w:numPr>
        <w:rPr>
          <w:rFonts w:hint="default"/>
          <w:lang w:val="en-US" w:eastAsia="zh-CN"/>
        </w:rPr>
      </w:pPr>
    </w:p>
    <w:p w14:paraId="6302CECA">
      <w:pPr>
        <w:numPr>
          <w:ilvl w:val="0"/>
          <w:numId w:val="0"/>
        </w:numPr>
        <w:rPr>
          <w:rFonts w:hint="default"/>
          <w:lang w:val="en-US" w:eastAsia="zh-CN"/>
        </w:rPr>
      </w:pPr>
    </w:p>
    <w:p w14:paraId="65BF3C21">
      <w:pPr>
        <w:pStyle w:val="2"/>
        <w:keepNext/>
        <w:keepLines/>
        <w:pageBreakBefore w:val="0"/>
        <w:widowControl w:val="0"/>
        <w:kinsoku/>
        <w:wordWrap/>
        <w:overflowPunct/>
        <w:topLinePunct w:val="0"/>
        <w:autoSpaceDE/>
        <w:autoSpaceDN/>
        <w:bidi w:val="0"/>
        <w:adjustRightInd/>
        <w:snapToGrid/>
        <w:spacing w:before="200" w:after="200" w:line="240" w:lineRule="auto"/>
        <w:textAlignment w:val="auto"/>
        <w:rPr>
          <w:rFonts w:hint="default"/>
          <w:b/>
          <w:sz w:val="30"/>
          <w:szCs w:val="30"/>
          <w:lang w:val="en-US" w:eastAsia="zh-CN"/>
        </w:rPr>
      </w:pPr>
      <w:bookmarkStart w:id="5" w:name="_Toc1703"/>
      <w:bookmarkStart w:id="6" w:name="_Toc14790"/>
      <w:bookmarkStart w:id="7" w:name="_Toc25151"/>
      <w:bookmarkStart w:id="8" w:name="_Toc10787"/>
      <w:bookmarkStart w:id="9" w:name="_Toc11634"/>
      <w:r>
        <w:rPr>
          <w:rFonts w:hint="eastAsia"/>
          <w:b/>
          <w:sz w:val="30"/>
          <w:szCs w:val="30"/>
          <w:lang w:val="en-US" w:eastAsia="zh-CN"/>
        </w:rPr>
        <w:t>一</w:t>
      </w:r>
      <w:bookmarkEnd w:id="5"/>
      <w:bookmarkEnd w:id="6"/>
      <w:r>
        <w:rPr>
          <w:rFonts w:hint="eastAsia"/>
          <w:b/>
          <w:sz w:val="30"/>
          <w:szCs w:val="30"/>
          <w:lang w:val="en-US" w:eastAsia="zh-CN"/>
        </w:rPr>
        <w:t>、文档概述</w:t>
      </w:r>
      <w:bookmarkEnd w:id="7"/>
    </w:p>
    <w:p w14:paraId="7CBCAC1D">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b/>
          <w:bCs/>
          <w:szCs w:val="28"/>
          <w:lang w:val="en-US" w:eastAsia="zh-CN"/>
        </w:rPr>
      </w:pPr>
      <w:bookmarkStart w:id="10" w:name="_Toc19423"/>
      <w:r>
        <w:rPr>
          <w:rFonts w:hint="eastAsia" w:asciiTheme="majorEastAsia" w:hAnsiTheme="majorEastAsia" w:eastAsiaTheme="majorEastAsia" w:cstheme="majorEastAsia"/>
          <w:sz w:val="28"/>
          <w:szCs w:val="28"/>
          <w:lang w:val="en-US" w:eastAsia="zh-CN"/>
        </w:rPr>
        <w:t>1.1编制说明</w:t>
      </w:r>
      <w:bookmarkEnd w:id="10"/>
    </w:p>
    <w:p w14:paraId="44A05D7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b/>
          <w:bCs/>
          <w:i w:val="0"/>
          <w:iCs w:val="0"/>
          <w:kern w:val="2"/>
          <w:sz w:val="24"/>
          <w:szCs w:val="24"/>
          <w:lang w:val="en-US" w:eastAsia="zh-CN" w:bidi="ar-SA"/>
        </w:rPr>
      </w:pPr>
      <w:r>
        <w:rPr>
          <w:rFonts w:hint="eastAsia" w:asciiTheme="minorEastAsia" w:hAnsiTheme="minorEastAsia" w:eastAsiaTheme="minorEastAsia" w:cstheme="minorEastAsia"/>
          <w:b/>
          <w:bCs/>
          <w:i w:val="0"/>
          <w:iCs w:val="0"/>
          <w:kern w:val="2"/>
          <w:sz w:val="24"/>
          <w:szCs w:val="24"/>
          <w:lang w:val="en-US" w:eastAsia="zh-CN" w:bidi="ar-SA"/>
        </w:rPr>
        <w:t>编制目的：</w:t>
      </w:r>
    </w:p>
    <w:p w14:paraId="30BFF6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b w:val="0"/>
          <w:i w:val="0"/>
          <w:iCs w:val="0"/>
          <w:kern w:val="2"/>
          <w:sz w:val="24"/>
          <w:szCs w:val="24"/>
          <w:lang w:val="en-US" w:eastAsia="zh-CN" w:bidi="ar-SA"/>
        </w:rPr>
      </w:pPr>
      <w:r>
        <w:rPr>
          <w:rFonts w:hint="eastAsia" w:asciiTheme="minorEastAsia" w:hAnsiTheme="minorEastAsia" w:cstheme="minorEastAsia"/>
          <w:b w:val="0"/>
          <w:i w:val="0"/>
          <w:iCs w:val="0"/>
          <w:kern w:val="2"/>
          <w:sz w:val="24"/>
          <w:szCs w:val="24"/>
          <w:lang w:val="en-US" w:eastAsia="zh-CN" w:bidi="ar-SA"/>
        </w:rPr>
        <w:t>为“研发费用加计扣除”专项应用建设提供业务层面的需求依据，明确业务规则、管理标准与合规要求。</w:t>
      </w:r>
    </w:p>
    <w:p w14:paraId="59E5060C">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b/>
          <w:bCs/>
          <w:i w:val="0"/>
          <w:iCs w:val="0"/>
          <w:kern w:val="2"/>
          <w:sz w:val="24"/>
          <w:szCs w:val="24"/>
          <w:lang w:val="en-US" w:eastAsia="zh-CN" w:bidi="ar-SA"/>
        </w:rPr>
      </w:pPr>
      <w:r>
        <w:rPr>
          <w:rFonts w:hint="eastAsia" w:asciiTheme="minorEastAsia" w:hAnsiTheme="minorEastAsia" w:eastAsiaTheme="minorEastAsia" w:cstheme="minorEastAsia"/>
          <w:b/>
          <w:bCs/>
          <w:i w:val="0"/>
          <w:iCs w:val="0"/>
          <w:kern w:val="2"/>
          <w:sz w:val="24"/>
          <w:szCs w:val="24"/>
          <w:lang w:val="en-US" w:eastAsia="zh-CN" w:bidi="ar-SA"/>
        </w:rPr>
        <w:t>编制依据：</w:t>
      </w:r>
    </w:p>
    <w:p w14:paraId="71F0D3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b w:val="0"/>
          <w:i w:val="0"/>
          <w:iCs w:val="0"/>
          <w:kern w:val="2"/>
          <w:sz w:val="24"/>
          <w:szCs w:val="24"/>
          <w:lang w:val="en-US" w:eastAsia="zh-CN" w:bidi="ar-SA"/>
        </w:rPr>
      </w:pPr>
      <w:r>
        <w:rPr>
          <w:rFonts w:hint="eastAsia" w:asciiTheme="minorEastAsia" w:hAnsiTheme="minorEastAsia" w:cstheme="minorEastAsia"/>
          <w:b w:val="0"/>
          <w:i w:val="0"/>
          <w:iCs w:val="0"/>
          <w:kern w:val="2"/>
          <w:sz w:val="24"/>
          <w:szCs w:val="24"/>
          <w:lang w:val="en-US" w:eastAsia="zh-CN" w:bidi="ar-SA"/>
        </w:rPr>
        <w:t>相关税收法规、政策指引、企业会计制度等</w:t>
      </w:r>
    </w:p>
    <w:p w14:paraId="2634FDB4">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b/>
          <w:bCs/>
          <w:i w:val="0"/>
          <w:iCs w:val="0"/>
          <w:kern w:val="2"/>
          <w:sz w:val="24"/>
          <w:szCs w:val="24"/>
          <w:lang w:val="en-US" w:eastAsia="zh-CN" w:bidi="ar-SA"/>
        </w:rPr>
      </w:pPr>
      <w:r>
        <w:rPr>
          <w:rFonts w:hint="eastAsia" w:asciiTheme="minorEastAsia" w:hAnsiTheme="minorEastAsia" w:eastAsiaTheme="minorEastAsia" w:cstheme="minorEastAsia"/>
          <w:b/>
          <w:bCs/>
          <w:i w:val="0"/>
          <w:iCs w:val="0"/>
          <w:kern w:val="2"/>
          <w:sz w:val="24"/>
          <w:szCs w:val="24"/>
          <w:lang w:val="en-US" w:eastAsia="zh-CN" w:bidi="ar-SA"/>
        </w:rPr>
        <w:t>适用范围：</w:t>
      </w:r>
    </w:p>
    <w:p w14:paraId="14158C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eastAsiaTheme="minorEastAsia" w:cstheme="minorEastAsia"/>
          <w:b/>
          <w:bCs/>
          <w:i w:val="0"/>
          <w:iCs w:val="0"/>
          <w:kern w:val="2"/>
          <w:sz w:val="24"/>
          <w:szCs w:val="24"/>
          <w:lang w:val="en-US" w:eastAsia="zh-CN" w:bidi="ar-SA"/>
        </w:rPr>
      </w:pPr>
      <w:r>
        <w:rPr>
          <w:rFonts w:hint="eastAsia" w:asciiTheme="minorEastAsia" w:hAnsiTheme="minorEastAsia" w:cstheme="minorEastAsia"/>
          <w:b w:val="0"/>
          <w:i w:val="0"/>
          <w:iCs w:val="0"/>
          <w:kern w:val="2"/>
          <w:sz w:val="24"/>
          <w:szCs w:val="24"/>
          <w:lang w:val="en-US" w:eastAsia="zh-CN" w:bidi="ar-SA"/>
        </w:rPr>
        <w:t>适用于与</w:t>
      </w:r>
      <w:r>
        <w:rPr>
          <w:rFonts w:hint="eastAsia" w:asciiTheme="minorEastAsia" w:hAnsiTheme="minorEastAsia" w:eastAsiaTheme="minorEastAsia" w:cstheme="minorEastAsia"/>
          <w:b w:val="0"/>
          <w:i w:val="0"/>
          <w:iCs w:val="0"/>
          <w:kern w:val="2"/>
          <w:sz w:val="24"/>
          <w:szCs w:val="24"/>
          <w:lang w:val="en-US" w:eastAsia="zh-CN" w:bidi="ar-SA"/>
        </w:rPr>
        <w:t>研发费用加计扣除优惠、高新技术企业认定业务</w:t>
      </w:r>
      <w:r>
        <w:rPr>
          <w:rFonts w:hint="eastAsia" w:asciiTheme="minorEastAsia" w:hAnsiTheme="minorEastAsia" w:cstheme="minorEastAsia"/>
          <w:b w:val="0"/>
          <w:i w:val="0"/>
          <w:iCs w:val="0"/>
          <w:kern w:val="2"/>
          <w:sz w:val="24"/>
          <w:szCs w:val="24"/>
          <w:lang w:val="en-US" w:eastAsia="zh-CN" w:bidi="ar-SA"/>
        </w:rPr>
        <w:t>有关</w:t>
      </w:r>
      <w:r>
        <w:rPr>
          <w:rFonts w:hint="eastAsia" w:asciiTheme="minorEastAsia" w:hAnsiTheme="minorEastAsia" w:eastAsiaTheme="minorEastAsia" w:cstheme="minorEastAsia"/>
          <w:b w:val="0"/>
          <w:i w:val="0"/>
          <w:iCs w:val="0"/>
          <w:kern w:val="2"/>
          <w:sz w:val="24"/>
          <w:szCs w:val="24"/>
          <w:lang w:val="en-US" w:eastAsia="zh-CN" w:bidi="ar-SA"/>
        </w:rPr>
        <w:t>的</w:t>
      </w:r>
      <w:r>
        <w:rPr>
          <w:rFonts w:hint="eastAsia" w:asciiTheme="minorEastAsia" w:hAnsiTheme="minorEastAsia" w:cstheme="minorEastAsia"/>
          <w:b w:val="0"/>
          <w:i w:val="0"/>
          <w:iCs w:val="0"/>
          <w:kern w:val="2"/>
          <w:sz w:val="24"/>
          <w:szCs w:val="24"/>
          <w:lang w:val="en-US" w:eastAsia="zh-CN" w:bidi="ar-SA"/>
        </w:rPr>
        <w:t>各类境内</w:t>
      </w:r>
      <w:r>
        <w:rPr>
          <w:rFonts w:hint="eastAsia" w:asciiTheme="minorEastAsia" w:hAnsiTheme="minorEastAsia" w:eastAsiaTheme="minorEastAsia" w:cstheme="minorEastAsia"/>
          <w:b w:val="0"/>
          <w:i w:val="0"/>
          <w:iCs w:val="0"/>
          <w:kern w:val="2"/>
          <w:sz w:val="24"/>
          <w:szCs w:val="24"/>
          <w:lang w:val="en-US" w:eastAsia="zh-CN" w:bidi="ar-SA"/>
        </w:rPr>
        <w:t>企业所得税纳税义务人。</w:t>
      </w:r>
    </w:p>
    <w:p w14:paraId="16F2D205">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heme="minorEastAsia" w:hAnsiTheme="minorEastAsia" w:eastAsiaTheme="minorEastAsia" w:cstheme="minorEastAsia"/>
          <w:b/>
          <w:bCs/>
          <w:i w:val="0"/>
          <w:iCs w:val="0"/>
          <w:kern w:val="2"/>
          <w:sz w:val="24"/>
          <w:szCs w:val="24"/>
          <w:lang w:val="en-US" w:eastAsia="zh-CN" w:bidi="ar-SA"/>
        </w:rPr>
      </w:pPr>
      <w:r>
        <w:rPr>
          <w:rFonts w:hint="eastAsia" w:asciiTheme="minorEastAsia" w:hAnsiTheme="minorEastAsia" w:eastAsiaTheme="minorEastAsia" w:cstheme="minorEastAsia"/>
          <w:b/>
          <w:bCs/>
          <w:i w:val="0"/>
          <w:iCs w:val="0"/>
          <w:kern w:val="2"/>
          <w:sz w:val="24"/>
          <w:szCs w:val="24"/>
          <w:lang w:val="en-US" w:eastAsia="zh-CN" w:bidi="ar-SA"/>
        </w:rPr>
        <w:t>术语定义：</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6"/>
        <w:gridCol w:w="7126"/>
      </w:tblGrid>
      <w:tr w14:paraId="42304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1396" w:type="dxa"/>
            <w:vAlign w:val="center"/>
          </w:tcPr>
          <w:p w14:paraId="30CEF1AA">
            <w:pPr>
              <w:jc w:val="center"/>
              <w:rPr>
                <w:rFonts w:hint="default"/>
                <w:b/>
                <w:bCs/>
                <w:lang w:val="en-US" w:eastAsia="zh-CN"/>
              </w:rPr>
            </w:pPr>
            <w:r>
              <w:rPr>
                <w:rFonts w:hint="eastAsia"/>
                <w:b/>
                <w:bCs/>
                <w:lang w:val="en-US" w:eastAsia="zh-CN"/>
              </w:rPr>
              <w:t>术语名词</w:t>
            </w:r>
          </w:p>
        </w:tc>
        <w:tc>
          <w:tcPr>
            <w:tcW w:w="7126" w:type="dxa"/>
            <w:vAlign w:val="center"/>
          </w:tcPr>
          <w:p w14:paraId="73ABD88E">
            <w:pPr>
              <w:jc w:val="center"/>
              <w:rPr>
                <w:rFonts w:hint="default"/>
                <w:b/>
                <w:bCs/>
                <w:lang w:val="en-US" w:eastAsia="zh-CN"/>
              </w:rPr>
            </w:pPr>
            <w:r>
              <w:rPr>
                <w:rFonts w:hint="eastAsia"/>
                <w:b/>
                <w:bCs/>
                <w:lang w:val="en-US" w:eastAsia="zh-CN"/>
              </w:rPr>
              <w:t>定义</w:t>
            </w:r>
          </w:p>
        </w:tc>
      </w:tr>
      <w:tr w14:paraId="1A8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atLeast"/>
        </w:trPr>
        <w:tc>
          <w:tcPr>
            <w:tcW w:w="1396" w:type="dxa"/>
            <w:vAlign w:val="center"/>
          </w:tcPr>
          <w:p w14:paraId="4BF43528">
            <w:pPr>
              <w:jc w:val="center"/>
              <w:rPr>
                <w:rFonts w:hint="default"/>
                <w:lang w:val="en-US" w:eastAsia="zh-CN"/>
              </w:rPr>
            </w:pPr>
            <w:r>
              <w:rPr>
                <w:rFonts w:hint="eastAsia"/>
                <w:lang w:val="en-US" w:eastAsia="zh-CN"/>
              </w:rPr>
              <w:t>研发活动</w:t>
            </w:r>
          </w:p>
        </w:tc>
        <w:tc>
          <w:tcPr>
            <w:tcW w:w="7126" w:type="dxa"/>
            <w:vAlign w:val="center"/>
          </w:tcPr>
          <w:p w14:paraId="24BEEFE3">
            <w:pPr>
              <w:jc w:val="both"/>
              <w:rPr>
                <w:rFonts w:hint="eastAsia"/>
                <w:lang w:val="en-US" w:eastAsia="zh-CN"/>
              </w:rPr>
            </w:pPr>
            <w:r>
              <w:rPr>
                <w:rFonts w:hint="eastAsia"/>
                <w:lang w:val="en-US" w:eastAsia="zh-CN"/>
              </w:rPr>
              <w:t>为获得科学与技术新知识，创造性运用科学技术新知识，或实质性改进技术、产品（服务）、工艺而持续进行的具有明确目标的系统性活动。</w:t>
            </w:r>
          </w:p>
        </w:tc>
      </w:tr>
      <w:tr w14:paraId="3C317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3" w:hRule="atLeast"/>
        </w:trPr>
        <w:tc>
          <w:tcPr>
            <w:tcW w:w="1396" w:type="dxa"/>
            <w:vAlign w:val="center"/>
          </w:tcPr>
          <w:p w14:paraId="0C2933BB">
            <w:pPr>
              <w:jc w:val="center"/>
              <w:rPr>
                <w:rFonts w:hint="default"/>
                <w:lang w:val="en-US" w:eastAsia="zh-CN"/>
              </w:rPr>
            </w:pPr>
            <w:r>
              <w:rPr>
                <w:rFonts w:hint="eastAsia"/>
                <w:lang w:val="en-US" w:eastAsia="zh-CN"/>
              </w:rPr>
              <w:t>研发费用</w:t>
            </w:r>
          </w:p>
        </w:tc>
        <w:tc>
          <w:tcPr>
            <w:tcW w:w="7126" w:type="dxa"/>
            <w:vAlign w:val="center"/>
          </w:tcPr>
          <w:p w14:paraId="4485D756">
            <w:pPr>
              <w:jc w:val="both"/>
              <w:rPr>
                <w:rFonts w:hint="default" w:eastAsiaTheme="minorEastAsia"/>
                <w:lang w:val="en-US" w:eastAsia="zh-CN"/>
              </w:rPr>
            </w:pPr>
            <w:r>
              <w:rPr>
                <w:rFonts w:hint="eastAsia"/>
                <w:lang w:val="en-US" w:eastAsia="zh-CN"/>
              </w:rPr>
              <w:t>企业在研发活动过程中发生的各项支出，主要包括人员人工、直接投入、折旧费用、无形资产摊销、设计试验费、其他相关费用等。可简称“研发费”。</w:t>
            </w:r>
          </w:p>
        </w:tc>
      </w:tr>
      <w:tr w14:paraId="7C3E7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trPr>
        <w:tc>
          <w:tcPr>
            <w:tcW w:w="1396" w:type="dxa"/>
            <w:vAlign w:val="center"/>
          </w:tcPr>
          <w:p w14:paraId="41FBC93C">
            <w:pPr>
              <w:jc w:val="center"/>
              <w:rPr>
                <w:rFonts w:hint="eastAsia"/>
                <w:lang w:val="en-US" w:eastAsia="zh-CN"/>
              </w:rPr>
            </w:pPr>
            <w:r>
              <w:rPr>
                <w:rFonts w:hint="eastAsia"/>
                <w:lang w:val="en-US" w:eastAsia="zh-CN"/>
              </w:rPr>
              <w:t>研发费用</w:t>
            </w:r>
          </w:p>
          <w:p w14:paraId="510B3AF6">
            <w:pPr>
              <w:jc w:val="center"/>
              <w:rPr>
                <w:rFonts w:hint="default"/>
                <w:lang w:val="en-US" w:eastAsia="zh-CN"/>
              </w:rPr>
            </w:pPr>
            <w:r>
              <w:rPr>
                <w:rFonts w:hint="eastAsia"/>
                <w:lang w:val="en-US" w:eastAsia="zh-CN"/>
              </w:rPr>
              <w:t>资本化</w:t>
            </w:r>
          </w:p>
        </w:tc>
        <w:tc>
          <w:tcPr>
            <w:tcW w:w="7126" w:type="dxa"/>
            <w:vAlign w:val="center"/>
          </w:tcPr>
          <w:p w14:paraId="782548A1">
            <w:pPr>
              <w:jc w:val="both"/>
              <w:rPr>
                <w:rFonts w:hint="eastAsia" w:eastAsiaTheme="minorEastAsia"/>
                <w:lang w:val="en-US" w:eastAsia="zh-CN"/>
              </w:rPr>
            </w:pPr>
            <w:r>
              <w:rPr>
                <w:rFonts w:hint="eastAsia"/>
                <w:lang w:eastAsia="zh-CN"/>
              </w:rPr>
              <w:t>企业将研发支出计入资产负债表中的资产项目，而非</w:t>
            </w:r>
            <w:r>
              <w:rPr>
                <w:rFonts w:hint="eastAsia"/>
                <w:lang w:val="en-US" w:eastAsia="zh-CN"/>
              </w:rPr>
              <w:t>利润表中的损益项目</w:t>
            </w:r>
            <w:r>
              <w:rPr>
                <w:rFonts w:hint="eastAsia"/>
                <w:lang w:eastAsia="zh-CN"/>
              </w:rPr>
              <w:t>，后续分期摊销。</w:t>
            </w:r>
            <w:r>
              <w:rPr>
                <w:rFonts w:hint="eastAsia"/>
                <w:lang w:val="en-US" w:eastAsia="zh-CN"/>
              </w:rPr>
              <w:t>其</w:t>
            </w:r>
            <w:r>
              <w:rPr>
                <w:rFonts w:hint="eastAsia"/>
                <w:lang w:eastAsia="zh-CN"/>
              </w:rPr>
              <w:t>不影响当期利润，当期</w:t>
            </w:r>
            <w:r>
              <w:rPr>
                <w:rFonts w:hint="eastAsia"/>
                <w:lang w:val="en-US" w:eastAsia="zh-CN"/>
              </w:rPr>
              <w:t>税前</w:t>
            </w:r>
            <w:r>
              <w:rPr>
                <w:rFonts w:hint="eastAsia"/>
                <w:lang w:eastAsia="zh-CN"/>
              </w:rPr>
              <w:t>不扣除，</w:t>
            </w:r>
            <w:r>
              <w:rPr>
                <w:rFonts w:hint="eastAsia"/>
                <w:lang w:val="en-US" w:eastAsia="zh-CN"/>
              </w:rPr>
              <w:t>后续</w:t>
            </w:r>
            <w:r>
              <w:rPr>
                <w:rFonts w:hint="eastAsia"/>
                <w:lang w:eastAsia="zh-CN"/>
              </w:rPr>
              <w:t>摊销期间扣除。</w:t>
            </w:r>
          </w:p>
        </w:tc>
      </w:tr>
      <w:tr w14:paraId="1F8AB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96" w:type="dxa"/>
            <w:vAlign w:val="center"/>
          </w:tcPr>
          <w:p w14:paraId="54C4A62E">
            <w:pPr>
              <w:jc w:val="center"/>
              <w:rPr>
                <w:rFonts w:hint="eastAsia"/>
                <w:lang w:val="en-US" w:eastAsia="zh-CN"/>
              </w:rPr>
            </w:pPr>
            <w:r>
              <w:rPr>
                <w:rFonts w:hint="eastAsia"/>
                <w:lang w:val="en-US" w:eastAsia="zh-CN"/>
              </w:rPr>
              <w:t>研发费用</w:t>
            </w:r>
          </w:p>
          <w:p w14:paraId="41020218">
            <w:pPr>
              <w:jc w:val="center"/>
              <w:rPr>
                <w:rFonts w:hint="default"/>
                <w:lang w:val="en-US" w:eastAsia="zh-CN"/>
              </w:rPr>
            </w:pPr>
            <w:r>
              <w:rPr>
                <w:rFonts w:hint="eastAsia"/>
                <w:lang w:val="en-US" w:eastAsia="zh-CN"/>
              </w:rPr>
              <w:t>费用化</w:t>
            </w:r>
          </w:p>
        </w:tc>
        <w:tc>
          <w:tcPr>
            <w:tcW w:w="7126" w:type="dxa"/>
            <w:vAlign w:val="center"/>
          </w:tcPr>
          <w:p w14:paraId="71B5FA7C">
            <w:pPr>
              <w:jc w:val="both"/>
              <w:rPr>
                <w:rFonts w:hint="eastAsia" w:eastAsiaTheme="minorEastAsia"/>
                <w:lang w:val="en-US" w:eastAsia="zh-CN"/>
              </w:rPr>
            </w:pPr>
            <w:r>
              <w:rPr>
                <w:rFonts w:hint="eastAsia"/>
                <w:lang w:eastAsia="zh-CN"/>
              </w:rPr>
              <w:t>企业将研发支出计入</w:t>
            </w:r>
            <w:r>
              <w:rPr>
                <w:rFonts w:hint="eastAsia"/>
                <w:lang w:val="en-US" w:eastAsia="zh-CN"/>
              </w:rPr>
              <w:t>利润</w:t>
            </w:r>
            <w:r>
              <w:rPr>
                <w:rFonts w:hint="eastAsia"/>
                <w:lang w:eastAsia="zh-CN"/>
              </w:rPr>
              <w:t>表中的</w:t>
            </w:r>
            <w:r>
              <w:rPr>
                <w:rFonts w:hint="eastAsia"/>
                <w:lang w:val="en-US" w:eastAsia="zh-CN"/>
              </w:rPr>
              <w:t>损益</w:t>
            </w:r>
            <w:r>
              <w:rPr>
                <w:rFonts w:hint="eastAsia"/>
                <w:lang w:eastAsia="zh-CN"/>
              </w:rPr>
              <w:t>项目，</w:t>
            </w:r>
            <w:r>
              <w:rPr>
                <w:rFonts w:hint="eastAsia"/>
                <w:lang w:val="en-US" w:eastAsia="zh-CN"/>
              </w:rPr>
              <w:t>增加当期费用，减少当期利润，作为</w:t>
            </w:r>
            <w:r>
              <w:rPr>
                <w:rFonts w:hint="eastAsia"/>
                <w:lang w:eastAsia="zh-CN"/>
              </w:rPr>
              <w:t>当期费用</w:t>
            </w:r>
            <w:r>
              <w:rPr>
                <w:rFonts w:hint="eastAsia"/>
                <w:lang w:val="en-US" w:eastAsia="zh-CN"/>
              </w:rPr>
              <w:t>在税前</w:t>
            </w:r>
            <w:r>
              <w:rPr>
                <w:rFonts w:hint="eastAsia"/>
                <w:lang w:eastAsia="zh-CN"/>
              </w:rPr>
              <w:t>扣除。</w:t>
            </w:r>
          </w:p>
        </w:tc>
      </w:tr>
      <w:tr w14:paraId="3CB55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trPr>
        <w:tc>
          <w:tcPr>
            <w:tcW w:w="1396" w:type="dxa"/>
            <w:vAlign w:val="center"/>
          </w:tcPr>
          <w:p w14:paraId="59062C59">
            <w:pPr>
              <w:jc w:val="center"/>
              <w:rPr>
                <w:rFonts w:hint="eastAsia"/>
                <w:lang w:val="en-US" w:eastAsia="zh-CN"/>
              </w:rPr>
            </w:pPr>
            <w:r>
              <w:rPr>
                <w:rFonts w:hint="eastAsia"/>
                <w:lang w:val="en-US" w:eastAsia="zh-CN"/>
              </w:rPr>
              <w:t>自主研发</w:t>
            </w:r>
          </w:p>
        </w:tc>
        <w:tc>
          <w:tcPr>
            <w:tcW w:w="7126" w:type="dxa"/>
            <w:vAlign w:val="center"/>
          </w:tcPr>
          <w:p w14:paraId="74AC45CB">
            <w:pPr>
              <w:jc w:val="both"/>
              <w:rPr>
                <w:rFonts w:hint="eastAsia"/>
                <w:lang w:eastAsia="zh-CN"/>
              </w:rPr>
            </w:pPr>
            <w:r>
              <w:rPr>
                <w:rFonts w:hint="eastAsia"/>
                <w:lang w:eastAsia="zh-CN"/>
              </w:rPr>
              <w:t>企业依靠自身资源，独立进行研发，并对研发成果拥有完全独立的知识产权。</w:t>
            </w:r>
          </w:p>
        </w:tc>
      </w:tr>
      <w:tr w14:paraId="3BB39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trPr>
        <w:tc>
          <w:tcPr>
            <w:tcW w:w="1396" w:type="dxa"/>
            <w:vAlign w:val="center"/>
          </w:tcPr>
          <w:p w14:paraId="0425DA69">
            <w:pPr>
              <w:jc w:val="center"/>
              <w:rPr>
                <w:rFonts w:hint="default"/>
                <w:lang w:val="en-US" w:eastAsia="zh-CN"/>
              </w:rPr>
            </w:pPr>
            <w:r>
              <w:rPr>
                <w:rFonts w:hint="eastAsia"/>
                <w:lang w:val="en-US" w:eastAsia="zh-CN"/>
              </w:rPr>
              <w:t>委托研发</w:t>
            </w:r>
          </w:p>
        </w:tc>
        <w:tc>
          <w:tcPr>
            <w:tcW w:w="7126" w:type="dxa"/>
            <w:vAlign w:val="center"/>
          </w:tcPr>
          <w:p w14:paraId="5FC73960">
            <w:pPr>
              <w:jc w:val="both"/>
              <w:rPr>
                <w:rFonts w:hint="eastAsia" w:eastAsiaTheme="minorEastAsia"/>
                <w:lang w:val="en-US" w:eastAsia="zh-CN"/>
              </w:rPr>
            </w:pPr>
            <w:r>
              <w:rPr>
                <w:rFonts w:hint="eastAsia"/>
                <w:lang w:eastAsia="zh-CN"/>
              </w:rPr>
              <w:t>企业委托外部机构或个人基于企业研发需求而开展的研发项目，企业以支付报酬的形式获得受托方的研发成果所有权。</w:t>
            </w:r>
          </w:p>
        </w:tc>
      </w:tr>
      <w:tr w14:paraId="6DBB6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7" w:hRule="atLeast"/>
        </w:trPr>
        <w:tc>
          <w:tcPr>
            <w:tcW w:w="1396" w:type="dxa"/>
            <w:vAlign w:val="center"/>
          </w:tcPr>
          <w:p w14:paraId="3DC0C2EB">
            <w:pPr>
              <w:jc w:val="center"/>
              <w:rPr>
                <w:rFonts w:hint="default"/>
                <w:lang w:val="en-US" w:eastAsia="zh-CN"/>
              </w:rPr>
            </w:pPr>
            <w:r>
              <w:rPr>
                <w:rFonts w:hint="eastAsia"/>
                <w:lang w:val="en-US" w:eastAsia="zh-CN"/>
              </w:rPr>
              <w:t>合作研发</w:t>
            </w:r>
          </w:p>
        </w:tc>
        <w:tc>
          <w:tcPr>
            <w:tcW w:w="7126" w:type="dxa"/>
            <w:vAlign w:val="center"/>
          </w:tcPr>
          <w:p w14:paraId="6C8F18BA">
            <w:pPr>
              <w:jc w:val="both"/>
            </w:pPr>
            <w:r>
              <w:rPr>
                <w:rFonts w:hint="eastAsia"/>
              </w:rPr>
              <w:t>立项企业通过契约形式与其他企业共同投入资金、技术、人力等资源的研发项目。合作研发共同完成的知识产权，其归属由合同约定，如果合同没有约定的，由合作各方共同所有。</w:t>
            </w:r>
          </w:p>
        </w:tc>
      </w:tr>
      <w:tr w14:paraId="524EF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396" w:type="dxa"/>
            <w:vAlign w:val="center"/>
          </w:tcPr>
          <w:p w14:paraId="415EB807">
            <w:pPr>
              <w:jc w:val="center"/>
              <w:rPr>
                <w:rFonts w:hint="default"/>
                <w:lang w:val="en-US" w:eastAsia="zh-CN"/>
              </w:rPr>
            </w:pPr>
            <w:r>
              <w:rPr>
                <w:rFonts w:hint="eastAsia"/>
                <w:lang w:val="en-US" w:eastAsia="zh-CN"/>
              </w:rPr>
              <w:t>集中研发</w:t>
            </w:r>
          </w:p>
        </w:tc>
        <w:tc>
          <w:tcPr>
            <w:tcW w:w="7126" w:type="dxa"/>
            <w:vAlign w:val="center"/>
          </w:tcPr>
          <w:p w14:paraId="1DD2BA1B">
            <w:pPr>
              <w:jc w:val="both"/>
            </w:pPr>
            <w:r>
              <w:rPr>
                <w:rFonts w:hint="eastAsia"/>
              </w:rPr>
              <w:t>企业集团根据生产经营和科技开发的实际情况，对技术要求高、投资数额大、单个企业难以独立承担的项目进行集中开发。</w:t>
            </w:r>
          </w:p>
        </w:tc>
      </w:tr>
      <w:tr w14:paraId="136DD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dxa"/>
            <w:vAlign w:val="center"/>
          </w:tcPr>
          <w:p w14:paraId="377DB833">
            <w:pPr>
              <w:jc w:val="center"/>
              <w:rPr>
                <w:rFonts w:hint="eastAsia"/>
                <w:lang w:val="en-US" w:eastAsia="zh-CN"/>
              </w:rPr>
            </w:pPr>
            <w:r>
              <w:rPr>
                <w:rFonts w:hint="eastAsia"/>
                <w:lang w:val="en-US" w:eastAsia="zh-CN"/>
              </w:rPr>
              <w:t>研发费用</w:t>
            </w:r>
          </w:p>
          <w:p w14:paraId="75D2F647">
            <w:pPr>
              <w:jc w:val="center"/>
              <w:rPr>
                <w:rFonts w:hint="default"/>
                <w:lang w:val="en-US" w:eastAsia="zh-CN"/>
              </w:rPr>
            </w:pPr>
            <w:r>
              <w:rPr>
                <w:rFonts w:hint="eastAsia"/>
                <w:lang w:val="en-US" w:eastAsia="zh-CN"/>
              </w:rPr>
              <w:t>加计扣除</w:t>
            </w:r>
          </w:p>
        </w:tc>
        <w:tc>
          <w:tcPr>
            <w:tcW w:w="7126" w:type="dxa"/>
            <w:vAlign w:val="center"/>
          </w:tcPr>
          <w:p w14:paraId="4E4D578A">
            <w:pPr>
              <w:jc w:val="both"/>
              <w:rPr>
                <w:rFonts w:hint="eastAsia" w:eastAsiaTheme="minorEastAsia"/>
                <w:lang w:eastAsia="zh-CN"/>
              </w:rPr>
            </w:pPr>
            <w:r>
              <w:rPr>
                <w:rFonts w:hint="eastAsia"/>
                <w:lang w:val="en-US" w:eastAsia="zh-CN"/>
              </w:rPr>
              <w:t>企业为开发新技术、新产品、新工艺发生的研究开发费用，</w:t>
            </w:r>
            <w:r>
              <w:rPr>
                <w:rFonts w:hint="eastAsia"/>
              </w:rPr>
              <w:t>在据实扣除的基础上，再加</w:t>
            </w:r>
            <w:r>
              <w:rPr>
                <w:rFonts w:hint="eastAsia"/>
                <w:lang w:val="en-US" w:eastAsia="zh-CN"/>
              </w:rPr>
              <w:t>成</w:t>
            </w:r>
            <w:r>
              <w:rPr>
                <w:rFonts w:hint="eastAsia"/>
              </w:rPr>
              <w:t>一定比例，作为计算应纳税所得额时的扣除额</w:t>
            </w:r>
            <w:r>
              <w:rPr>
                <w:rFonts w:hint="eastAsia"/>
                <w:lang w:eastAsia="zh-CN"/>
              </w:rPr>
              <w:t>，</w:t>
            </w:r>
            <w:r>
              <w:rPr>
                <w:rFonts w:hint="eastAsia"/>
                <w:lang w:val="en-US" w:eastAsia="zh-CN"/>
              </w:rPr>
              <w:t>是企业所得税的一种税基式优惠方式。</w:t>
            </w:r>
          </w:p>
        </w:tc>
      </w:tr>
    </w:tbl>
    <w:p w14:paraId="1B9CB84A">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b/>
          <w:bCs/>
          <w:szCs w:val="28"/>
          <w:lang w:val="en-US" w:eastAsia="zh-CN"/>
        </w:rPr>
      </w:pPr>
      <w:bookmarkStart w:id="11" w:name="_Toc18617"/>
      <w:r>
        <w:rPr>
          <w:rFonts w:hint="eastAsia" w:asciiTheme="majorEastAsia" w:hAnsiTheme="majorEastAsia" w:eastAsiaTheme="majorEastAsia" w:cstheme="majorEastAsia"/>
          <w:sz w:val="28"/>
          <w:szCs w:val="28"/>
          <w:lang w:val="en-US" w:eastAsia="zh-CN"/>
        </w:rPr>
        <w:t>1.2项目目标</w:t>
      </w:r>
      <w:bookmarkEnd w:id="11"/>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6"/>
        <w:gridCol w:w="7126"/>
      </w:tblGrid>
      <w:tr w14:paraId="5F3E1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1396" w:type="dxa"/>
            <w:vAlign w:val="center"/>
          </w:tcPr>
          <w:p w14:paraId="5FDE4269">
            <w:pPr>
              <w:jc w:val="center"/>
              <w:rPr>
                <w:rFonts w:hint="default"/>
                <w:b/>
                <w:bCs/>
                <w:lang w:val="en-US" w:eastAsia="zh-CN"/>
              </w:rPr>
            </w:pPr>
            <w:r>
              <w:rPr>
                <w:rFonts w:hint="eastAsia"/>
                <w:b/>
                <w:bCs/>
                <w:lang w:val="en-US" w:eastAsia="zh-CN"/>
              </w:rPr>
              <w:t>目标维度</w:t>
            </w:r>
          </w:p>
        </w:tc>
        <w:tc>
          <w:tcPr>
            <w:tcW w:w="7126" w:type="dxa"/>
            <w:vAlign w:val="center"/>
          </w:tcPr>
          <w:p w14:paraId="1A2ED73F">
            <w:pPr>
              <w:jc w:val="center"/>
              <w:rPr>
                <w:rFonts w:hint="default"/>
                <w:b/>
                <w:bCs/>
                <w:lang w:val="en-US" w:eastAsia="zh-CN"/>
              </w:rPr>
            </w:pPr>
            <w:r>
              <w:rPr>
                <w:rFonts w:hint="eastAsia"/>
                <w:b/>
                <w:bCs/>
                <w:lang w:val="en-US" w:eastAsia="zh-CN"/>
              </w:rPr>
              <w:t>目标内容</w:t>
            </w:r>
          </w:p>
        </w:tc>
      </w:tr>
      <w:tr w14:paraId="33A8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dxa"/>
            <w:vAlign w:val="center"/>
          </w:tcPr>
          <w:p w14:paraId="3539DB3C">
            <w:pPr>
              <w:jc w:val="center"/>
              <w:rPr>
                <w:rFonts w:hint="default"/>
                <w:lang w:val="en-US" w:eastAsia="zh-CN"/>
              </w:rPr>
            </w:pPr>
            <w:r>
              <w:rPr>
                <w:rFonts w:hint="eastAsia"/>
                <w:lang w:val="en-US" w:eastAsia="zh-CN"/>
              </w:rPr>
              <w:t>合规目标</w:t>
            </w:r>
          </w:p>
        </w:tc>
        <w:tc>
          <w:tcPr>
            <w:tcW w:w="7126" w:type="dxa"/>
            <w:vAlign w:val="center"/>
          </w:tcPr>
          <w:p w14:paraId="1A92FFE7">
            <w:pPr>
              <w:jc w:val="both"/>
              <w:rPr>
                <w:rFonts w:hint="eastAsia"/>
                <w:lang w:val="en-US" w:eastAsia="zh-CN"/>
              </w:rPr>
            </w:pPr>
            <w:r>
              <w:rPr>
                <w:rFonts w:hint="eastAsia"/>
                <w:lang w:val="en-US" w:eastAsia="zh-CN"/>
              </w:rPr>
              <w:t>建立标准化、流程化的研发费用加计扣除管理体系，确保研发活动判定、费用归集、辅助账编制、申报全流程符合税收法规要求，降低税务稽查风险。</w:t>
            </w:r>
          </w:p>
        </w:tc>
      </w:tr>
      <w:tr w14:paraId="58E16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dxa"/>
            <w:vAlign w:val="center"/>
          </w:tcPr>
          <w:p w14:paraId="0EA1F442">
            <w:pPr>
              <w:jc w:val="center"/>
              <w:rPr>
                <w:rFonts w:hint="default"/>
                <w:lang w:val="en-US" w:eastAsia="zh-CN"/>
              </w:rPr>
            </w:pPr>
            <w:r>
              <w:rPr>
                <w:rFonts w:hint="eastAsia"/>
                <w:lang w:val="en-US" w:eastAsia="zh-CN"/>
              </w:rPr>
              <w:t>效率目标</w:t>
            </w:r>
          </w:p>
        </w:tc>
        <w:tc>
          <w:tcPr>
            <w:tcW w:w="7126" w:type="dxa"/>
            <w:vAlign w:val="center"/>
          </w:tcPr>
          <w:p w14:paraId="18A895F9">
            <w:pPr>
              <w:jc w:val="both"/>
              <w:rPr>
                <w:rFonts w:hint="default" w:eastAsiaTheme="minorEastAsia"/>
                <w:lang w:val="en-US" w:eastAsia="zh-CN"/>
              </w:rPr>
            </w:pPr>
            <w:r>
              <w:t>实现研发费用</w:t>
            </w:r>
            <w:r>
              <w:rPr>
                <w:rFonts w:hint="eastAsia"/>
                <w:lang w:val="en-US" w:eastAsia="zh-CN"/>
              </w:rPr>
              <w:t>基于规则的</w:t>
            </w:r>
            <w:r>
              <w:t>自动归集与分摊，辅助账自动生成，申报数据一键输出，将申报准备周期缩短</w:t>
            </w:r>
            <w:r>
              <w:rPr>
                <w:rFonts w:hint="eastAsia"/>
                <w:lang w:val="en-US" w:eastAsia="zh-CN"/>
              </w:rPr>
              <w:t>至3天</w:t>
            </w:r>
            <w:r>
              <w:t>，人工编制工作量</w:t>
            </w:r>
            <w:r>
              <w:rPr>
                <w:rFonts w:hint="eastAsia"/>
                <w:lang w:val="en-US" w:eastAsia="zh-CN"/>
              </w:rPr>
              <w:t>控制在20%。</w:t>
            </w:r>
          </w:p>
        </w:tc>
      </w:tr>
      <w:tr w14:paraId="20043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dxa"/>
            <w:vAlign w:val="center"/>
          </w:tcPr>
          <w:p w14:paraId="78FA8536">
            <w:pPr>
              <w:jc w:val="center"/>
              <w:rPr>
                <w:rFonts w:hint="default"/>
                <w:lang w:val="en-US" w:eastAsia="zh-CN"/>
              </w:rPr>
            </w:pPr>
            <w:r>
              <w:rPr>
                <w:rFonts w:hint="eastAsia"/>
                <w:lang w:val="en-US" w:eastAsia="zh-CN"/>
              </w:rPr>
              <w:t>质量目标</w:t>
            </w:r>
          </w:p>
        </w:tc>
        <w:tc>
          <w:tcPr>
            <w:tcW w:w="7126" w:type="dxa"/>
            <w:vAlign w:val="center"/>
          </w:tcPr>
          <w:p w14:paraId="1D2F1528">
            <w:pPr>
              <w:jc w:val="both"/>
              <w:rPr>
                <w:rFonts w:hint="eastAsia" w:eastAsiaTheme="minorEastAsia"/>
                <w:lang w:val="en-US" w:eastAsia="zh-CN"/>
              </w:rPr>
            </w:pPr>
            <w:r>
              <w:t>确保业财税三方数据一致，</w:t>
            </w:r>
            <w:r>
              <w:rPr>
                <w:rFonts w:hint="eastAsia"/>
                <w:lang w:val="en-US" w:eastAsia="zh-CN"/>
              </w:rPr>
              <w:t>研发费</w:t>
            </w:r>
            <w:r>
              <w:t>辅助账准确率100%，备查资料完整率100%，申报表准确率100%</w:t>
            </w:r>
            <w:r>
              <w:rPr>
                <w:rFonts w:hint="eastAsia"/>
                <w:lang w:eastAsia="zh-CN"/>
              </w:rPr>
              <w:t>。</w:t>
            </w:r>
          </w:p>
        </w:tc>
      </w:tr>
      <w:tr w14:paraId="49BDD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dxa"/>
            <w:vAlign w:val="center"/>
          </w:tcPr>
          <w:p w14:paraId="12302B72">
            <w:pPr>
              <w:jc w:val="center"/>
              <w:rPr>
                <w:rFonts w:hint="default"/>
                <w:lang w:val="en-US" w:eastAsia="zh-CN"/>
              </w:rPr>
            </w:pPr>
            <w:r>
              <w:rPr>
                <w:rFonts w:hint="eastAsia"/>
                <w:lang w:val="en-US" w:eastAsia="zh-CN"/>
              </w:rPr>
              <w:t>风控目标</w:t>
            </w:r>
          </w:p>
        </w:tc>
        <w:tc>
          <w:tcPr>
            <w:tcW w:w="7126" w:type="dxa"/>
            <w:vAlign w:val="center"/>
          </w:tcPr>
          <w:p w14:paraId="021E54AE">
            <w:pPr>
              <w:jc w:val="both"/>
              <w:rPr>
                <w:rFonts w:hint="eastAsia" w:eastAsiaTheme="minorEastAsia"/>
                <w:lang w:val="en-US" w:eastAsia="zh-CN"/>
              </w:rPr>
            </w:pPr>
            <w:r>
              <w:t>建立负面清单自动筛查、异常指标预警机制，实现政策适用事前审核、事中监控、事后追溯，杜绝因合规问题导致的补税及滞纳金风险</w:t>
            </w:r>
            <w:r>
              <w:rPr>
                <w:rFonts w:hint="eastAsia"/>
                <w:lang w:eastAsia="zh-CN"/>
              </w:rPr>
              <w:t>。</w:t>
            </w:r>
          </w:p>
        </w:tc>
      </w:tr>
      <w:tr w14:paraId="43DCD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6" w:type="dxa"/>
            <w:vAlign w:val="center"/>
          </w:tcPr>
          <w:p w14:paraId="04C11608">
            <w:pPr>
              <w:jc w:val="center"/>
              <w:rPr>
                <w:rFonts w:hint="default"/>
                <w:lang w:val="en-US" w:eastAsia="zh-CN"/>
              </w:rPr>
            </w:pPr>
            <w:r>
              <w:rPr>
                <w:rFonts w:hint="eastAsia"/>
                <w:lang w:val="en-US" w:eastAsia="zh-CN"/>
              </w:rPr>
              <w:t>管理目标</w:t>
            </w:r>
          </w:p>
        </w:tc>
        <w:tc>
          <w:tcPr>
            <w:tcW w:w="7126" w:type="dxa"/>
            <w:vAlign w:val="center"/>
          </w:tcPr>
          <w:p w14:paraId="5520E981">
            <w:pPr>
              <w:jc w:val="both"/>
              <w:rPr>
                <w:rFonts w:hint="eastAsia" w:eastAsiaTheme="minorEastAsia"/>
                <w:lang w:val="en-US" w:eastAsia="zh-CN"/>
              </w:rPr>
            </w:pPr>
            <w:r>
              <w:t>实现研发费用投入的可视化分析，支持管理层决策；</w:t>
            </w:r>
            <w:r>
              <w:rPr>
                <w:rFonts w:hint="eastAsia"/>
                <w:lang w:val="en-US" w:eastAsia="zh-CN"/>
              </w:rPr>
              <w:t>优化</w:t>
            </w:r>
            <w:r>
              <w:t>跨部门协同机制，明确职责分工，形成长效管理机制</w:t>
            </w:r>
            <w:r>
              <w:rPr>
                <w:rFonts w:hint="eastAsia"/>
                <w:lang w:eastAsia="zh-CN"/>
              </w:rPr>
              <w:t>。</w:t>
            </w:r>
          </w:p>
        </w:tc>
      </w:tr>
    </w:tbl>
    <w:p w14:paraId="3E1D97F2">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heme="majorEastAsia" w:hAnsiTheme="majorEastAsia" w:eastAsiaTheme="majorEastAsia" w:cstheme="majorEastAsia"/>
          <w:sz w:val="28"/>
          <w:szCs w:val="28"/>
          <w:lang w:val="en-US" w:eastAsia="zh-CN"/>
        </w:rPr>
      </w:pPr>
      <w:bookmarkStart w:id="12" w:name="_Toc31406"/>
      <w:r>
        <w:rPr>
          <w:rFonts w:hint="eastAsia" w:asciiTheme="majorEastAsia" w:hAnsiTheme="majorEastAsia" w:eastAsiaTheme="majorEastAsia" w:cstheme="majorEastAsia"/>
          <w:sz w:val="28"/>
          <w:szCs w:val="28"/>
          <w:lang w:val="en-US" w:eastAsia="zh-CN"/>
        </w:rPr>
        <w:t>1.3政策依据清单</w:t>
      </w:r>
      <w:bookmarkEnd w:id="12"/>
    </w:p>
    <w:p w14:paraId="29A2C9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国家政策：</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1"/>
        <w:gridCol w:w="3081"/>
        <w:gridCol w:w="3970"/>
      </w:tblGrid>
      <w:tr w14:paraId="1C495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471" w:type="dxa"/>
            <w:vAlign w:val="center"/>
          </w:tcPr>
          <w:p w14:paraId="590B826E">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时间</w:t>
            </w:r>
          </w:p>
        </w:tc>
        <w:tc>
          <w:tcPr>
            <w:tcW w:w="3081" w:type="dxa"/>
            <w:vAlign w:val="center"/>
          </w:tcPr>
          <w:p w14:paraId="3E39D78D">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政策名称</w:t>
            </w:r>
          </w:p>
        </w:tc>
        <w:tc>
          <w:tcPr>
            <w:tcW w:w="3970" w:type="dxa"/>
            <w:vAlign w:val="center"/>
          </w:tcPr>
          <w:p w14:paraId="69527FAB">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b/>
                <w:bCs/>
                <w:i w:val="0"/>
                <w:iCs w:val="0"/>
                <w:color w:val="000000"/>
                <w:kern w:val="0"/>
                <w:sz w:val="24"/>
                <w:szCs w:val="24"/>
                <w:u w:val="none"/>
                <w:lang w:val="en-US" w:eastAsia="zh-CN" w:bidi="ar"/>
              </w:rPr>
              <w:t>主要内容</w:t>
            </w:r>
          </w:p>
        </w:tc>
      </w:tr>
      <w:tr w14:paraId="2E0F7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1" w:type="dxa"/>
            <w:vAlign w:val="center"/>
          </w:tcPr>
          <w:p w14:paraId="29AEB162">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i w:val="0"/>
                <w:iCs w:val="0"/>
                <w:color w:val="000000"/>
                <w:kern w:val="0"/>
                <w:sz w:val="20"/>
                <w:szCs w:val="20"/>
                <w:u w:val="none"/>
                <w:lang w:val="en-US" w:eastAsia="zh-CN" w:bidi="ar"/>
              </w:rPr>
              <w:t>2008年实施</w:t>
            </w:r>
          </w:p>
        </w:tc>
        <w:tc>
          <w:tcPr>
            <w:tcW w:w="3081" w:type="dxa"/>
            <w:vAlign w:val="center"/>
          </w:tcPr>
          <w:p w14:paraId="386B8050">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i w:val="0"/>
                <w:iCs w:val="0"/>
                <w:color w:val="000000"/>
                <w:kern w:val="0"/>
                <w:sz w:val="20"/>
                <w:szCs w:val="20"/>
                <w:u w:val="none"/>
                <w:lang w:val="en-US" w:eastAsia="zh-CN" w:bidi="ar"/>
              </w:rPr>
              <w:t>《中华人民共和国企业所得税法》及其实施条例</w:t>
            </w:r>
          </w:p>
        </w:tc>
        <w:tc>
          <w:tcPr>
            <w:tcW w:w="3970" w:type="dxa"/>
            <w:vAlign w:val="center"/>
          </w:tcPr>
          <w:p w14:paraId="2637FD12">
            <w:pPr>
              <w:keepNext/>
              <w:keepLines w:val="0"/>
              <w:widowControl/>
              <w:suppressLineNumbers w:val="0"/>
              <w:snapToGrid w:val="0"/>
              <w:ind w:left="0" w:leftChars="0" w:right="0" w:rightChars="0" w:firstLine="0" w:firstLineChars="0"/>
              <w:jc w:val="left"/>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i w:val="0"/>
                <w:iCs w:val="0"/>
                <w:color w:val="000000"/>
                <w:kern w:val="0"/>
                <w:sz w:val="20"/>
                <w:szCs w:val="20"/>
                <w:u w:val="none"/>
                <w:lang w:val="en-US" w:eastAsia="zh-CN" w:bidi="ar"/>
              </w:rPr>
              <w:t>以法律形式确认研发费用加计扣除政策。</w:t>
            </w:r>
          </w:p>
        </w:tc>
      </w:tr>
      <w:tr w14:paraId="40514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1" w:type="dxa"/>
            <w:vAlign w:val="center"/>
          </w:tcPr>
          <w:p w14:paraId="404F1A2D">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i w:val="0"/>
                <w:iCs w:val="0"/>
                <w:color w:val="000000"/>
                <w:kern w:val="0"/>
                <w:sz w:val="20"/>
                <w:szCs w:val="20"/>
                <w:u w:val="none"/>
                <w:lang w:val="en-US" w:eastAsia="zh-CN" w:bidi="ar"/>
              </w:rPr>
              <w:t>2008年12月</w:t>
            </w:r>
          </w:p>
        </w:tc>
        <w:tc>
          <w:tcPr>
            <w:tcW w:w="3081" w:type="dxa"/>
            <w:vAlign w:val="center"/>
          </w:tcPr>
          <w:p w14:paraId="723C842C">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i w:val="0"/>
                <w:iCs w:val="0"/>
                <w:color w:val="000000"/>
                <w:kern w:val="0"/>
                <w:sz w:val="20"/>
                <w:szCs w:val="20"/>
                <w:u w:val="none"/>
                <w:lang w:val="en-US" w:eastAsia="zh-CN" w:bidi="ar"/>
              </w:rPr>
              <w:t>《国家税务总局关于印发〈企业研究开发费用税前扣除管理办法（试行）〉的通知》（国税发〔2008〕116号）</w:t>
            </w:r>
          </w:p>
        </w:tc>
        <w:tc>
          <w:tcPr>
            <w:tcW w:w="3970" w:type="dxa"/>
            <w:vAlign w:val="center"/>
          </w:tcPr>
          <w:p w14:paraId="27917FBF">
            <w:pPr>
              <w:keepNext/>
              <w:keepLines w:val="0"/>
              <w:widowControl/>
              <w:suppressLineNumbers w:val="0"/>
              <w:snapToGrid w:val="0"/>
              <w:ind w:left="0" w:leftChars="0" w:right="0" w:rightChars="0" w:firstLine="0" w:firstLineChars="0"/>
              <w:jc w:val="left"/>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i w:val="0"/>
                <w:iCs w:val="0"/>
                <w:color w:val="000000"/>
                <w:kern w:val="0"/>
                <w:sz w:val="20"/>
                <w:szCs w:val="20"/>
                <w:u w:val="none"/>
                <w:lang w:val="en-US" w:eastAsia="zh-CN" w:bidi="ar"/>
              </w:rPr>
              <w:t>对研发费用加计扣除政策作出系统、详细规定。</w:t>
            </w:r>
          </w:p>
        </w:tc>
      </w:tr>
      <w:tr w14:paraId="7F297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1" w:type="dxa"/>
            <w:vMerge w:val="restart"/>
            <w:vAlign w:val="center"/>
          </w:tcPr>
          <w:p w14:paraId="5B1216E8">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i w:val="0"/>
                <w:iCs w:val="0"/>
                <w:color w:val="000000"/>
                <w:kern w:val="0"/>
                <w:sz w:val="20"/>
                <w:szCs w:val="20"/>
                <w:u w:val="none"/>
                <w:lang w:val="en-US" w:eastAsia="zh-CN" w:bidi="ar"/>
              </w:rPr>
              <w:t>2015年11月</w:t>
            </w:r>
          </w:p>
        </w:tc>
        <w:tc>
          <w:tcPr>
            <w:tcW w:w="3081" w:type="dxa"/>
            <w:vAlign w:val="center"/>
          </w:tcPr>
          <w:p w14:paraId="2B70C08C">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i w:val="0"/>
                <w:iCs w:val="0"/>
                <w:color w:val="000000"/>
                <w:kern w:val="0"/>
                <w:sz w:val="20"/>
                <w:szCs w:val="20"/>
                <w:u w:val="none"/>
                <w:lang w:val="en-US" w:eastAsia="zh-CN" w:bidi="ar"/>
              </w:rPr>
              <w:t>《财政部 国家税务总局 科技部关于完善研究开发费用税前加计扣除政策的通知》（财税〔2015〕119号）</w:t>
            </w:r>
          </w:p>
        </w:tc>
        <w:tc>
          <w:tcPr>
            <w:tcW w:w="3970" w:type="dxa"/>
            <w:vAlign w:val="center"/>
          </w:tcPr>
          <w:p w14:paraId="37954180">
            <w:pPr>
              <w:keepNext/>
              <w:keepLines w:val="0"/>
              <w:widowControl/>
              <w:suppressLineNumbers w:val="0"/>
              <w:snapToGrid w:val="0"/>
              <w:ind w:left="0" w:leftChars="0" w:right="0" w:rightChars="0" w:firstLine="0" w:firstLineChars="0"/>
              <w:jc w:val="left"/>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i w:val="0"/>
                <w:iCs w:val="0"/>
                <w:color w:val="000000"/>
                <w:kern w:val="0"/>
                <w:sz w:val="20"/>
                <w:szCs w:val="20"/>
                <w:u w:val="none"/>
                <w:lang w:val="en-US" w:eastAsia="zh-CN" w:bidi="ar"/>
              </w:rPr>
              <w:t>放宽了享受优惠的企业研发活动及研发费用的范围，大幅减少了研发费用加计扣除口径与高新技术企业认定研发费用归集口径的差异。</w:t>
            </w:r>
          </w:p>
        </w:tc>
      </w:tr>
      <w:tr w14:paraId="759E6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1" w:type="dxa"/>
            <w:vMerge w:val="continue"/>
            <w:vAlign w:val="center"/>
          </w:tcPr>
          <w:p w14:paraId="09FE1F8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heme="minorEastAsia" w:hAnsiTheme="minorEastAsia" w:cstheme="minorEastAsia"/>
                <w:b w:val="0"/>
                <w:bCs w:val="0"/>
                <w:i w:val="0"/>
                <w:iCs w:val="0"/>
                <w:sz w:val="24"/>
                <w:szCs w:val="24"/>
                <w:vertAlign w:val="baseline"/>
                <w:lang w:val="en-US" w:eastAsia="zh-CN"/>
              </w:rPr>
            </w:pPr>
          </w:p>
        </w:tc>
        <w:tc>
          <w:tcPr>
            <w:tcW w:w="3081" w:type="dxa"/>
            <w:vAlign w:val="center"/>
          </w:tcPr>
          <w:p w14:paraId="1C70569C">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i w:val="0"/>
                <w:iCs w:val="0"/>
                <w:color w:val="000000"/>
                <w:kern w:val="0"/>
                <w:sz w:val="20"/>
                <w:szCs w:val="20"/>
                <w:u w:val="none"/>
                <w:lang w:val="en-US" w:eastAsia="zh-CN" w:bidi="ar"/>
              </w:rPr>
              <w:t>《国家税务总局关于企业研究开发费用税前加计扣除政策有关问题的公告》（2015年第97号）</w:t>
            </w:r>
          </w:p>
        </w:tc>
        <w:tc>
          <w:tcPr>
            <w:tcW w:w="3970" w:type="dxa"/>
            <w:vAlign w:val="center"/>
          </w:tcPr>
          <w:p w14:paraId="64F09512">
            <w:pPr>
              <w:keepNext/>
              <w:keepLines w:val="0"/>
              <w:widowControl/>
              <w:suppressLineNumbers w:val="0"/>
              <w:snapToGrid w:val="0"/>
              <w:ind w:left="0" w:leftChars="0" w:right="0" w:rightChars="0" w:firstLine="0" w:firstLineChars="0"/>
              <w:jc w:val="left"/>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i w:val="0"/>
                <w:iCs w:val="0"/>
                <w:color w:val="000000"/>
                <w:kern w:val="0"/>
                <w:sz w:val="20"/>
                <w:szCs w:val="20"/>
                <w:u w:val="none"/>
                <w:lang w:val="en-US" w:eastAsia="zh-CN" w:bidi="ar"/>
              </w:rPr>
              <w:t>细化研发费用加计扣除政策口径及管理要求，提高政策可操作性。</w:t>
            </w:r>
          </w:p>
        </w:tc>
      </w:tr>
      <w:tr w14:paraId="273D5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1" w:type="dxa"/>
            <w:vMerge w:val="restart"/>
            <w:vAlign w:val="center"/>
          </w:tcPr>
          <w:p w14:paraId="057CD234">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2017年5月</w:t>
            </w:r>
          </w:p>
        </w:tc>
        <w:tc>
          <w:tcPr>
            <w:tcW w:w="3081" w:type="dxa"/>
            <w:vAlign w:val="center"/>
          </w:tcPr>
          <w:p w14:paraId="241217FD">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i w:val="0"/>
                <w:iCs w:val="0"/>
                <w:color w:val="000000"/>
                <w:kern w:val="0"/>
                <w:sz w:val="20"/>
                <w:szCs w:val="20"/>
                <w:u w:val="none"/>
                <w:lang w:val="en-US" w:eastAsia="zh-CN" w:bidi="ar"/>
              </w:rPr>
              <w:t>《财政部 税务总局 科技部关于提高科技型中小企业研究开发费用税前加计扣除比例的通知》（财税〔2017〕34号）</w:t>
            </w:r>
          </w:p>
        </w:tc>
        <w:tc>
          <w:tcPr>
            <w:tcW w:w="3970" w:type="dxa"/>
            <w:vAlign w:val="center"/>
          </w:tcPr>
          <w:p w14:paraId="4A12047F">
            <w:pPr>
              <w:keepNext/>
              <w:keepLines w:val="0"/>
              <w:widowControl/>
              <w:suppressLineNumbers w:val="0"/>
              <w:snapToGrid w:val="0"/>
              <w:ind w:left="0" w:leftChars="0" w:right="0" w:rightChars="0" w:firstLine="0" w:firstLineChars="0"/>
              <w:jc w:val="left"/>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i w:val="0"/>
                <w:iCs w:val="0"/>
                <w:color w:val="000000"/>
                <w:kern w:val="0"/>
                <w:sz w:val="20"/>
                <w:szCs w:val="20"/>
                <w:u w:val="none"/>
                <w:lang w:val="en-US" w:eastAsia="zh-CN" w:bidi="ar"/>
              </w:rPr>
              <w:t>将科技型中小企业享受研发费用加计扣除比例由50%提高到75%。</w:t>
            </w:r>
          </w:p>
        </w:tc>
      </w:tr>
      <w:tr w14:paraId="0E333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1" w:type="dxa"/>
            <w:vMerge w:val="continue"/>
          </w:tcPr>
          <w:p w14:paraId="2D890039">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kern w:val="0"/>
                <w:sz w:val="20"/>
                <w:szCs w:val="20"/>
                <w:u w:val="none"/>
                <w:lang w:val="en-US" w:eastAsia="zh-CN" w:bidi="ar"/>
              </w:rPr>
            </w:pPr>
          </w:p>
        </w:tc>
        <w:tc>
          <w:tcPr>
            <w:tcW w:w="3081" w:type="dxa"/>
            <w:vAlign w:val="center"/>
          </w:tcPr>
          <w:p w14:paraId="3FD69D31">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i w:val="0"/>
                <w:iCs w:val="0"/>
                <w:color w:val="000000"/>
                <w:kern w:val="0"/>
                <w:sz w:val="20"/>
                <w:szCs w:val="20"/>
                <w:u w:val="none"/>
                <w:lang w:val="en-US" w:eastAsia="zh-CN" w:bidi="ar"/>
              </w:rPr>
              <w:t>《国家税务总局关于提高科技型中小企业研究开发费用税前加计扣除比例有关问题的公告》（2017年第18号）</w:t>
            </w:r>
          </w:p>
        </w:tc>
        <w:tc>
          <w:tcPr>
            <w:tcW w:w="3970" w:type="dxa"/>
            <w:vAlign w:val="center"/>
          </w:tcPr>
          <w:p w14:paraId="7F3E26C8">
            <w:pPr>
              <w:keepNext/>
              <w:keepLines w:val="0"/>
              <w:widowControl/>
              <w:suppressLineNumbers w:val="0"/>
              <w:snapToGrid w:val="0"/>
              <w:ind w:left="0" w:leftChars="0" w:right="0" w:rightChars="0" w:firstLine="0" w:firstLineChars="0"/>
              <w:jc w:val="left"/>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i w:val="0"/>
                <w:iCs w:val="0"/>
                <w:color w:val="000000"/>
                <w:kern w:val="0"/>
                <w:sz w:val="20"/>
                <w:szCs w:val="20"/>
                <w:u w:val="none"/>
                <w:lang w:val="en-US" w:eastAsia="zh-CN" w:bidi="ar"/>
              </w:rPr>
              <w:t>进一步明确科技型中小企业研发费用加计扣除政策执行口径，保证优惠政策的贯彻实施。</w:t>
            </w:r>
          </w:p>
        </w:tc>
      </w:tr>
      <w:tr w14:paraId="076EB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1" w:type="dxa"/>
            <w:vAlign w:val="center"/>
          </w:tcPr>
          <w:p w14:paraId="32494B44">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2017年11月</w:t>
            </w:r>
          </w:p>
        </w:tc>
        <w:tc>
          <w:tcPr>
            <w:tcW w:w="3081" w:type="dxa"/>
            <w:vAlign w:val="center"/>
          </w:tcPr>
          <w:p w14:paraId="3620A81E">
            <w:pPr>
              <w:keepNext/>
              <w:keepLines w:val="0"/>
              <w:widowControl/>
              <w:suppressLineNumbers w:val="0"/>
              <w:snapToGrid w:val="0"/>
              <w:ind w:left="0" w:leftChars="0" w:right="0" w:rightChars="0" w:firstLine="0" w:firstLineChars="0"/>
              <w:jc w:val="center"/>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i w:val="0"/>
                <w:iCs w:val="0"/>
                <w:color w:val="000000"/>
                <w:kern w:val="0"/>
                <w:sz w:val="20"/>
                <w:szCs w:val="20"/>
                <w:u w:val="none"/>
                <w:lang w:val="en-US" w:eastAsia="zh-CN" w:bidi="ar"/>
              </w:rPr>
              <w:t>《国家税务总局关于研发费用税前加计扣除归集范围有关问题的公告》（2017年第40号）</w:t>
            </w:r>
          </w:p>
        </w:tc>
        <w:tc>
          <w:tcPr>
            <w:tcW w:w="3970" w:type="dxa"/>
            <w:vAlign w:val="center"/>
          </w:tcPr>
          <w:p w14:paraId="21435637">
            <w:pPr>
              <w:keepNext/>
              <w:keepLines w:val="0"/>
              <w:widowControl/>
              <w:suppressLineNumbers w:val="0"/>
              <w:snapToGrid w:val="0"/>
              <w:ind w:left="0" w:leftChars="0" w:right="0" w:rightChars="0" w:firstLine="0" w:firstLineChars="0"/>
              <w:jc w:val="left"/>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i w:val="0"/>
                <w:iCs w:val="0"/>
                <w:color w:val="000000"/>
                <w:kern w:val="0"/>
                <w:sz w:val="20"/>
                <w:szCs w:val="20"/>
                <w:u w:val="none"/>
                <w:lang w:val="en-US" w:eastAsia="zh-CN" w:bidi="ar"/>
              </w:rPr>
              <w:t>进一步完善和明确了部分研发费用范围和归集口径。</w:t>
            </w:r>
          </w:p>
        </w:tc>
      </w:tr>
      <w:tr w14:paraId="5EB6E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1" w:type="dxa"/>
            <w:vAlign w:val="center"/>
          </w:tcPr>
          <w:p w14:paraId="184C723E">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2018年6月</w:t>
            </w:r>
          </w:p>
        </w:tc>
        <w:tc>
          <w:tcPr>
            <w:tcW w:w="3081" w:type="dxa"/>
          </w:tcPr>
          <w:p w14:paraId="54C34D1D">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《财政部 税务总局 科技部关于企业委托境外研究开发费用税前加计扣除有关政策问题的通知》（财税〔2018〕64号）</w:t>
            </w:r>
          </w:p>
        </w:tc>
        <w:tc>
          <w:tcPr>
            <w:tcW w:w="3970" w:type="dxa"/>
            <w:vAlign w:val="center"/>
          </w:tcPr>
          <w:p w14:paraId="5A89E8F3">
            <w:pPr>
              <w:keepNext/>
              <w:keepLines w:val="0"/>
              <w:widowControl/>
              <w:suppressLineNumbers w:val="0"/>
              <w:snapToGrid w:val="0"/>
              <w:ind w:left="0" w:leftChars="0" w:right="0" w:rightChars="0" w:firstLine="0" w:firstLineChars="0"/>
              <w:jc w:val="left"/>
              <w:textAlignment w:val="center"/>
              <w:rPr>
                <w:rFonts w:hint="eastAsia" w:asciiTheme="minorEastAsia" w:hAnsiTheme="minorEastAsia" w:cstheme="minorEastAsia"/>
                <w:b w:val="0"/>
                <w:bCs w:val="0"/>
                <w:i w:val="0"/>
                <w:iCs w:val="0"/>
                <w:sz w:val="24"/>
                <w:szCs w:val="24"/>
                <w:vertAlign w:val="baseline"/>
                <w:lang w:val="en-US" w:eastAsia="zh-CN"/>
              </w:rPr>
            </w:pPr>
            <w:r>
              <w:rPr>
                <w:rFonts w:hint="eastAsia" w:ascii="宋体" w:hAnsi="宋体" w:eastAsia="宋体" w:cs="宋体"/>
                <w:i w:val="0"/>
                <w:iCs w:val="0"/>
                <w:color w:val="000000"/>
                <w:kern w:val="0"/>
                <w:sz w:val="20"/>
                <w:szCs w:val="20"/>
                <w:u w:val="none"/>
                <w:lang w:val="en-US" w:eastAsia="zh-CN" w:bidi="ar"/>
              </w:rPr>
              <w:t>允许委托境外研发费用加计扣除。</w:t>
            </w:r>
          </w:p>
        </w:tc>
      </w:tr>
    </w:tbl>
    <w:p w14:paraId="3FEE2F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b w:val="0"/>
          <w:bCs w:val="0"/>
          <w:i w:val="0"/>
          <w:iCs w:val="0"/>
          <w:sz w:val="24"/>
          <w:szCs w:val="24"/>
          <w:lang w:val="en-US" w:eastAsia="zh-CN"/>
        </w:rPr>
      </w:pPr>
    </w:p>
    <w:tbl>
      <w:tblPr>
        <w:tblStyle w:val="1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66"/>
        <w:gridCol w:w="3303"/>
        <w:gridCol w:w="3853"/>
      </w:tblGrid>
      <w:tr w14:paraId="5C3CF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4" w:hRule="atLeast"/>
          <w:tblHeader/>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3D6B4">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时间</w:t>
            </w:r>
          </w:p>
        </w:tc>
        <w:tc>
          <w:tcPr>
            <w:tcW w:w="33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756967">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政策名称</w:t>
            </w:r>
          </w:p>
        </w:tc>
        <w:tc>
          <w:tcPr>
            <w:tcW w:w="38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A62FBE">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主要内容</w:t>
            </w:r>
          </w:p>
        </w:tc>
      </w:tr>
      <w:tr w14:paraId="3A995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00611D">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2018年9月</w:t>
            </w:r>
          </w:p>
        </w:tc>
        <w:tc>
          <w:tcPr>
            <w:tcW w:w="33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B8478A">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《财政部 税务总局 科技部关于提高研究开发费用税前加计扣除比例的通知》（财税〔2018〕99号）</w:t>
            </w:r>
          </w:p>
        </w:tc>
        <w:tc>
          <w:tcPr>
            <w:tcW w:w="38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E9C66">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将全部研发费用加计扣除比例由50%提高到75%。</w:t>
            </w:r>
          </w:p>
        </w:tc>
      </w:tr>
      <w:tr w14:paraId="181E3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B95E79">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2021年3月</w:t>
            </w:r>
          </w:p>
        </w:tc>
        <w:tc>
          <w:tcPr>
            <w:tcW w:w="33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1D7D1F">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《财政部 税务总局关于进一步完善研发费用税前加计扣除政策的公告》（2021年第13号）</w:t>
            </w:r>
          </w:p>
        </w:tc>
        <w:tc>
          <w:tcPr>
            <w:tcW w:w="38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4C786F">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将制造业企业的研发费用加计扣除比例由75%提高至100%。</w:t>
            </w:r>
          </w:p>
        </w:tc>
      </w:tr>
      <w:tr w14:paraId="6258B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2E1247">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2021年9月</w:t>
            </w:r>
          </w:p>
        </w:tc>
        <w:tc>
          <w:tcPr>
            <w:tcW w:w="33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B73592">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《国家税务总局关于进一步落实研发费用加计扣除政策有关问题的公告》（2021年第28号）</w:t>
            </w:r>
          </w:p>
        </w:tc>
        <w:tc>
          <w:tcPr>
            <w:tcW w:w="38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973B7A">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在2021年10月份预缴申报时，允许企业自主选择享受前三季度研发费用加计扣除，优化研发费用辅助账样式，调整“其他相关费用”限额的计算方法。</w:t>
            </w:r>
          </w:p>
        </w:tc>
      </w:tr>
      <w:tr w14:paraId="6C51D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5FD32">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2022年3月</w:t>
            </w:r>
          </w:p>
        </w:tc>
        <w:tc>
          <w:tcPr>
            <w:tcW w:w="33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C31638">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《财政部 税务总局 科技部关于进一步提高科技型中小企业研发费用税前加计扣除比例的公告》（2022年第16号）</w:t>
            </w:r>
          </w:p>
        </w:tc>
        <w:tc>
          <w:tcPr>
            <w:tcW w:w="38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679C99">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将科技型中小企业的研发费用加计扣除比例由75%提高至100%。</w:t>
            </w:r>
          </w:p>
        </w:tc>
      </w:tr>
      <w:tr w14:paraId="78BBD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91046A">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2022年5月</w:t>
            </w:r>
          </w:p>
        </w:tc>
        <w:tc>
          <w:tcPr>
            <w:tcW w:w="33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665EDD">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《国家税务总局关于企业预缴申报享受研发费用加计扣除优惠政策有关事项的公告》（2022年第10号）</w:t>
            </w:r>
          </w:p>
        </w:tc>
        <w:tc>
          <w:tcPr>
            <w:tcW w:w="38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5B7449">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将企业10月份预缴申报享受研发费用加计扣除政策的举措予以长期化、制度化。</w:t>
            </w:r>
          </w:p>
        </w:tc>
      </w:tr>
      <w:tr w14:paraId="218CA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67F428">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2022年9月</w:t>
            </w:r>
          </w:p>
        </w:tc>
        <w:tc>
          <w:tcPr>
            <w:tcW w:w="33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DC24D4">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《财政部 税务总局 科技部关于加大支持科技创新税前扣除力度的公告》（2022年第28号）</w:t>
            </w:r>
          </w:p>
        </w:tc>
        <w:tc>
          <w:tcPr>
            <w:tcW w:w="38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AE77A">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现行适用研发费用税前加计扣除比例75%的企业，在2022年10月1日至2022年12月31日期间，研发费用税前加计扣除比例提高至100%。</w:t>
            </w:r>
          </w:p>
        </w:tc>
      </w:tr>
      <w:tr w14:paraId="25D23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8"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319912">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2023年3月</w:t>
            </w:r>
          </w:p>
        </w:tc>
        <w:tc>
          <w:tcPr>
            <w:tcW w:w="33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DD0251">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《财政部 税务总局关于进一步完善研发费用税前加计扣除政策的公告》（2023年第7号）</w:t>
            </w:r>
          </w:p>
        </w:tc>
        <w:tc>
          <w:tcPr>
            <w:tcW w:w="38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D0DDC7">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将符合条件行业企业研发费用税前加计扣除比例由75%提高至100%的政策，作为制度性安排长期实施。</w:t>
            </w:r>
          </w:p>
        </w:tc>
      </w:tr>
      <w:tr w14:paraId="3EB71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4F4CAB">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2023年6月</w:t>
            </w:r>
          </w:p>
        </w:tc>
        <w:tc>
          <w:tcPr>
            <w:tcW w:w="33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3A7D79">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《国家税务总局 财政部关于优化预缴申报享受研发费用加计扣除政策有关事项的公告》（2023年第11号）</w:t>
            </w:r>
          </w:p>
        </w:tc>
        <w:tc>
          <w:tcPr>
            <w:tcW w:w="38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6FBE56">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再新增一个享受时点，7月份预缴申报时企业可就当年上半年发生的研发费用享受加计扣除政策。</w:t>
            </w:r>
          </w:p>
        </w:tc>
      </w:tr>
    </w:tbl>
    <w:p w14:paraId="0675680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b w:val="0"/>
          <w:bCs w:val="0"/>
          <w:i w:val="0"/>
          <w:iCs w:val="0"/>
          <w:sz w:val="24"/>
          <w:szCs w:val="24"/>
          <w:lang w:val="en-US" w:eastAsia="zh-CN"/>
        </w:rPr>
      </w:pPr>
    </w:p>
    <w:p w14:paraId="7F6650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地方政策：</w:t>
      </w:r>
    </w:p>
    <w:tbl>
      <w:tblPr>
        <w:tblStyle w:val="1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97"/>
        <w:gridCol w:w="3269"/>
        <w:gridCol w:w="3753"/>
      </w:tblGrid>
      <w:tr w14:paraId="1A103E81">
        <w:tblPrEx>
          <w:tblCellMar>
            <w:top w:w="0" w:type="dxa"/>
            <w:left w:w="108" w:type="dxa"/>
            <w:bottom w:w="0" w:type="dxa"/>
            <w:right w:w="108" w:type="dxa"/>
          </w:tblCellMar>
        </w:tblPrEx>
        <w:trPr>
          <w:trHeight w:val="446" w:hRule="atLeast"/>
          <w:jc w:val="center"/>
        </w:trPr>
        <w:tc>
          <w:tcPr>
            <w:tcW w:w="14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23D9F4">
            <w:pPr>
              <w:keepNext/>
              <w:keepLines w:val="0"/>
              <w:widowControl/>
              <w:suppressLineNumbers w:val="0"/>
              <w:snapToGrid w:val="0"/>
              <w:ind w:left="0" w:leftChars="0" w:right="0" w:rightChars="0" w:firstLine="0" w:firstLineChars="0"/>
              <w:jc w:val="center"/>
              <w:textAlignment w:val="center"/>
              <w:rPr>
                <w:rFonts w:hint="eastAsia" w:ascii="宋体" w:hAnsi="宋体" w:eastAsia="宋体" w:cs="宋体"/>
                <w:b/>
                <w:bCs/>
                <w:i w:val="0"/>
                <w:iCs w:val="0"/>
                <w:color w:val="000000"/>
                <w:sz w:val="20"/>
                <w:szCs w:val="20"/>
                <w:u w:val="none"/>
                <w:lang w:val="en-US" w:eastAsia="zh-CN"/>
              </w:rPr>
            </w:pPr>
            <w:r>
              <w:rPr>
                <w:rFonts w:hint="eastAsia" w:ascii="宋体" w:hAnsi="宋体" w:eastAsia="宋体" w:cs="宋体"/>
                <w:b/>
                <w:bCs/>
                <w:i w:val="0"/>
                <w:iCs w:val="0"/>
                <w:color w:val="000000"/>
                <w:sz w:val="20"/>
                <w:szCs w:val="20"/>
                <w:u w:val="none"/>
                <w:lang w:val="en-US" w:eastAsia="zh-CN"/>
              </w:rPr>
              <w:t>时间</w:t>
            </w:r>
          </w:p>
        </w:tc>
        <w:tc>
          <w:tcPr>
            <w:tcW w:w="32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1311BA">
            <w:pPr>
              <w:keepNext/>
              <w:keepLines w:val="0"/>
              <w:widowControl/>
              <w:suppressLineNumbers w:val="0"/>
              <w:snapToGrid w:val="0"/>
              <w:ind w:left="0" w:leftChars="0" w:right="0" w:rightChars="0" w:firstLine="0" w:firstLineChars="0"/>
              <w:jc w:val="center"/>
              <w:textAlignment w:val="center"/>
              <w:rPr>
                <w:rFonts w:hint="default" w:ascii="宋体" w:hAnsi="宋体" w:eastAsia="宋体" w:cs="宋体"/>
                <w:b/>
                <w:bCs/>
                <w:i w:val="0"/>
                <w:iCs w:val="0"/>
                <w:color w:val="000000"/>
                <w:sz w:val="20"/>
                <w:szCs w:val="20"/>
                <w:u w:val="none"/>
                <w:lang w:val="en-US" w:eastAsia="zh-CN"/>
              </w:rPr>
            </w:pPr>
            <w:r>
              <w:rPr>
                <w:rFonts w:hint="eastAsia" w:ascii="宋体" w:hAnsi="宋体" w:eastAsia="宋体" w:cs="宋体"/>
                <w:b/>
                <w:bCs/>
                <w:i w:val="0"/>
                <w:iCs w:val="0"/>
                <w:color w:val="000000"/>
                <w:sz w:val="20"/>
                <w:szCs w:val="20"/>
                <w:u w:val="none"/>
                <w:lang w:val="en-US" w:eastAsia="zh-CN"/>
              </w:rPr>
              <w:t>政策名称</w:t>
            </w:r>
          </w:p>
        </w:tc>
        <w:tc>
          <w:tcPr>
            <w:tcW w:w="37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0B3666">
            <w:pPr>
              <w:keepNext/>
              <w:keepLines w:val="0"/>
              <w:widowControl/>
              <w:suppressLineNumbers w:val="0"/>
              <w:snapToGrid w:val="0"/>
              <w:ind w:left="0" w:leftChars="0" w:right="0" w:rightChars="0" w:firstLine="0" w:firstLineChars="0"/>
              <w:jc w:val="center"/>
              <w:textAlignment w:val="center"/>
              <w:rPr>
                <w:rFonts w:hint="default" w:ascii="宋体" w:hAnsi="宋体" w:eastAsia="宋体" w:cs="宋体"/>
                <w:b/>
                <w:bCs/>
                <w:i w:val="0"/>
                <w:iCs w:val="0"/>
                <w:color w:val="000000"/>
                <w:sz w:val="20"/>
                <w:szCs w:val="20"/>
                <w:u w:val="none"/>
                <w:lang w:val="en-US" w:eastAsia="zh-CN"/>
              </w:rPr>
            </w:pPr>
            <w:r>
              <w:rPr>
                <w:rFonts w:hint="eastAsia" w:ascii="宋体" w:hAnsi="宋体" w:eastAsia="宋体" w:cs="宋体"/>
                <w:b/>
                <w:bCs/>
                <w:i w:val="0"/>
                <w:iCs w:val="0"/>
                <w:color w:val="000000"/>
                <w:sz w:val="20"/>
                <w:szCs w:val="20"/>
                <w:u w:val="none"/>
                <w:lang w:val="en-US" w:eastAsia="zh-CN"/>
              </w:rPr>
              <w:t>政策内容</w:t>
            </w:r>
          </w:p>
        </w:tc>
      </w:tr>
      <w:tr w14:paraId="63D5C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4" w:hRule="atLeast"/>
          <w:jc w:val="center"/>
        </w:trPr>
        <w:tc>
          <w:tcPr>
            <w:tcW w:w="14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CD0783">
            <w:pPr>
              <w:keepNext/>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sz w:val="20"/>
                <w:szCs w:val="20"/>
                <w:u w:val="none"/>
                <w:lang w:val="en-US" w:eastAsia="zh-CN"/>
              </w:rPr>
              <w:t>2022年12月</w:t>
            </w:r>
          </w:p>
        </w:tc>
        <w:tc>
          <w:tcPr>
            <w:tcW w:w="32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6EAB60">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lang w:eastAsia="zh-CN"/>
              </w:rPr>
            </w:pPr>
            <w:r>
              <w:rPr>
                <w:rFonts w:hint="eastAsia" w:ascii="宋体" w:hAnsi="宋体" w:eastAsia="宋体" w:cs="宋体"/>
                <w:i w:val="0"/>
                <w:iCs w:val="0"/>
                <w:color w:val="000000"/>
                <w:sz w:val="20"/>
                <w:szCs w:val="20"/>
                <w:u w:val="none"/>
                <w:lang w:eastAsia="zh-CN"/>
              </w:rPr>
              <w:t>《关于印发〈河北省企业研发费用加计扣除项目鉴定办法〉的通知》</w:t>
            </w:r>
            <w:r>
              <w:rPr>
                <w:rFonts w:hint="eastAsia" w:ascii="宋体" w:hAnsi="宋体" w:eastAsia="宋体" w:cs="宋体"/>
                <w:i w:val="0"/>
                <w:iCs w:val="0"/>
                <w:color w:val="000000"/>
                <w:kern w:val="0"/>
                <w:sz w:val="20"/>
                <w:szCs w:val="20"/>
                <w:u w:val="none"/>
                <w:lang w:val="en-US" w:eastAsia="zh-CN" w:bidi="ar"/>
              </w:rPr>
              <w:t>（冀科政规〔2022〕3号）</w:t>
            </w:r>
          </w:p>
        </w:tc>
        <w:tc>
          <w:tcPr>
            <w:tcW w:w="37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810CEA">
            <w:pPr>
              <w:keepNext/>
              <w:keepLines w:val="0"/>
              <w:widowControl/>
              <w:suppressLineNumbers w:val="0"/>
              <w:snapToGrid w:val="0"/>
              <w:ind w:left="0" w:leftChars="0" w:right="0" w:rightChars="0" w:firstLine="0" w:firstLineChars="0"/>
              <w:jc w:val="left"/>
              <w:textAlignment w:val="center"/>
              <w:rPr>
                <w:rFonts w:hint="default" w:ascii="宋体" w:hAnsi="宋体" w:eastAsia="宋体" w:cs="宋体"/>
                <w:i w:val="0"/>
                <w:iCs w:val="0"/>
                <w:color w:val="000000"/>
                <w:sz w:val="20"/>
                <w:szCs w:val="20"/>
                <w:u w:val="none"/>
                <w:lang w:val="en-US"/>
              </w:rPr>
            </w:pPr>
            <w:r>
              <w:rPr>
                <w:rFonts w:hint="eastAsia" w:ascii="宋体" w:hAnsi="宋体" w:eastAsia="宋体" w:cs="宋体"/>
                <w:i w:val="0"/>
                <w:iCs w:val="0"/>
                <w:color w:val="000000"/>
                <w:sz w:val="20"/>
                <w:szCs w:val="20"/>
                <w:u w:val="none"/>
                <w:lang w:val="en-US" w:eastAsia="zh-CN"/>
              </w:rPr>
              <w:t>企业研发费用加计扣除项目鉴定范围、内容、程序、提交资料。</w:t>
            </w:r>
          </w:p>
        </w:tc>
      </w:tr>
      <w:tr w14:paraId="6F828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2" w:hRule="atLeast"/>
          <w:jc w:val="center"/>
        </w:trPr>
        <w:tc>
          <w:tcPr>
            <w:tcW w:w="14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3B6ED">
            <w:pPr>
              <w:keepNext/>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2024年10月</w:t>
            </w:r>
          </w:p>
        </w:tc>
        <w:tc>
          <w:tcPr>
            <w:tcW w:w="32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3C2204">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sz w:val="20"/>
                <w:szCs w:val="20"/>
                <w:u w:val="none"/>
                <w:lang w:eastAsia="zh-CN"/>
              </w:rPr>
              <w:t>《关于印发〈海南省企业研发费用加计扣除项目鉴定办法（试行）〉的通知》</w:t>
            </w:r>
            <w:r>
              <w:rPr>
                <w:rFonts w:hint="eastAsia" w:ascii="宋体" w:hAnsi="宋体" w:eastAsia="宋体" w:cs="宋体"/>
                <w:i w:val="0"/>
                <w:iCs w:val="0"/>
                <w:color w:val="000000"/>
                <w:kern w:val="0"/>
                <w:sz w:val="20"/>
                <w:szCs w:val="20"/>
                <w:u w:val="none"/>
                <w:lang w:val="en-US" w:eastAsia="zh-CN" w:bidi="ar"/>
              </w:rPr>
              <w:t>（琼税发〔2024〕62号）</w:t>
            </w:r>
          </w:p>
        </w:tc>
        <w:tc>
          <w:tcPr>
            <w:tcW w:w="37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B89423">
            <w:pPr>
              <w:keepNext/>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sz w:val="20"/>
                <w:szCs w:val="20"/>
                <w:u w:val="none"/>
                <w:lang w:val="en-US" w:eastAsia="zh-CN"/>
              </w:rPr>
              <w:t>企业研发费用加计扣除项目鉴定范围、内容、程序、提交资料。</w:t>
            </w:r>
          </w:p>
        </w:tc>
      </w:tr>
    </w:tbl>
    <w:p w14:paraId="059254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b w:val="0"/>
          <w:bCs w:val="0"/>
          <w:i w:val="0"/>
          <w:iCs w:val="0"/>
          <w:sz w:val="24"/>
          <w:szCs w:val="24"/>
          <w:lang w:val="en-US" w:eastAsia="zh-CN"/>
        </w:rPr>
      </w:pPr>
    </w:p>
    <w:p w14:paraId="0D35BE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政策指引：</w:t>
      </w:r>
    </w:p>
    <w:p w14:paraId="1463F7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《研发费用加计扣除政策执行指引2.0》</w:t>
      </w:r>
    </w:p>
    <w:p w14:paraId="605992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会计准则：</w:t>
      </w:r>
    </w:p>
    <w:p w14:paraId="08EC03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b w:val="0"/>
          <w:bCs w:val="0"/>
          <w:i w:val="0"/>
          <w:iCs w:val="0"/>
          <w:sz w:val="24"/>
          <w:szCs w:val="24"/>
          <w:lang w:val="en-US" w:eastAsia="zh-CN"/>
        </w:rPr>
      </w:pPr>
      <w:r>
        <w:rPr>
          <w:rFonts w:hint="eastAsia" w:asciiTheme="minorEastAsia" w:hAnsiTheme="minorEastAsia" w:cstheme="minorEastAsia"/>
          <w:b w:val="0"/>
          <w:bCs w:val="0"/>
          <w:i w:val="0"/>
          <w:iCs w:val="0"/>
          <w:sz w:val="24"/>
          <w:szCs w:val="24"/>
          <w:lang w:val="en-US" w:eastAsia="zh-CN"/>
        </w:rPr>
        <w:t>《企业会计准则第6号——无形资产》</w:t>
      </w:r>
    </w:p>
    <w:p w14:paraId="3468BF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b w:val="0"/>
          <w:bCs w:val="0"/>
          <w:i w:val="0"/>
          <w:iCs w:val="0"/>
          <w:sz w:val="24"/>
          <w:szCs w:val="24"/>
          <w:lang w:val="en-US" w:eastAsia="zh-CN"/>
        </w:rPr>
      </w:pPr>
    </w:p>
    <w:bookmarkEnd w:id="8"/>
    <w:bookmarkEnd w:id="9"/>
    <w:p w14:paraId="63FAED9C">
      <w:pPr>
        <w:pStyle w:val="2"/>
        <w:keepNext/>
        <w:keepLines/>
        <w:pageBreakBefore w:val="0"/>
        <w:widowControl w:val="0"/>
        <w:kinsoku/>
        <w:wordWrap/>
        <w:overflowPunct/>
        <w:topLinePunct w:val="0"/>
        <w:autoSpaceDE/>
        <w:autoSpaceDN/>
        <w:bidi w:val="0"/>
        <w:adjustRightInd/>
        <w:snapToGrid/>
        <w:spacing w:before="200" w:after="200" w:line="240" w:lineRule="auto"/>
        <w:textAlignment w:val="auto"/>
        <w:rPr>
          <w:rFonts w:hint="default"/>
          <w:b/>
          <w:sz w:val="30"/>
          <w:szCs w:val="30"/>
          <w:lang w:val="en-US" w:eastAsia="zh-CN"/>
        </w:rPr>
      </w:pPr>
      <w:bookmarkStart w:id="13" w:name="_Toc23538"/>
      <w:bookmarkStart w:id="14" w:name="_Toc10805"/>
      <w:r>
        <w:rPr>
          <w:rFonts w:hint="eastAsia"/>
          <w:b/>
          <w:sz w:val="30"/>
          <w:szCs w:val="30"/>
          <w:lang w:val="en-US" w:eastAsia="zh-CN"/>
        </w:rPr>
        <w:t>二、</w:t>
      </w:r>
      <w:bookmarkEnd w:id="13"/>
      <w:r>
        <w:rPr>
          <w:rFonts w:hint="eastAsia"/>
          <w:b/>
          <w:sz w:val="30"/>
          <w:szCs w:val="30"/>
          <w:lang w:val="en-US" w:eastAsia="zh-CN"/>
        </w:rPr>
        <w:t>业务现状与问题分析</w:t>
      </w:r>
      <w:bookmarkEnd w:id="14"/>
    </w:p>
    <w:p w14:paraId="73C3C467">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b/>
          <w:bCs/>
          <w:szCs w:val="28"/>
          <w:lang w:val="en-US" w:eastAsia="zh-CN"/>
        </w:rPr>
      </w:pPr>
      <w:bookmarkStart w:id="15" w:name="_Toc1361"/>
      <w:bookmarkStart w:id="16" w:name="_Toc26264"/>
      <w:bookmarkStart w:id="17" w:name="_Toc10439"/>
      <w:bookmarkStart w:id="18" w:name="_Toc20122"/>
      <w:r>
        <w:rPr>
          <w:rFonts w:hint="eastAsia" w:asciiTheme="majorEastAsia" w:hAnsiTheme="majorEastAsia" w:eastAsiaTheme="majorEastAsia" w:cstheme="majorEastAsia"/>
          <w:sz w:val="28"/>
          <w:szCs w:val="28"/>
          <w:lang w:val="en-US" w:eastAsia="zh-CN"/>
        </w:rPr>
        <w:t>2.1当前管理模式</w:t>
      </w:r>
      <w:bookmarkEnd w:id="15"/>
      <w:bookmarkEnd w:id="16"/>
      <w:bookmarkEnd w:id="17"/>
      <w:bookmarkEnd w:id="18"/>
    </w:p>
    <w:p w14:paraId="4A293929">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eastAsia"/>
          <w:sz w:val="24"/>
          <w:szCs w:val="24"/>
          <w:lang w:val="en-US" w:eastAsia="zh-CN"/>
        </w:rPr>
      </w:pPr>
      <w:r>
        <w:rPr>
          <w:rFonts w:hint="eastAsia"/>
          <w:sz w:val="24"/>
          <w:szCs w:val="24"/>
          <w:lang w:val="en-US" w:eastAsia="zh-CN"/>
        </w:rPr>
        <w:t>2.1.1手工台账/Excel管理现状</w:t>
      </w:r>
    </w:p>
    <w:p w14:paraId="15C372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研发费用加计扣除管理以手工台账+Excel表格为主，尚未建立统一的信息化管理平台。具体表现为：</w:t>
      </w:r>
    </w:p>
    <w:tbl>
      <w:tblPr>
        <w:tblStyle w:val="13"/>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71"/>
        <w:gridCol w:w="3544"/>
        <w:gridCol w:w="3506"/>
      </w:tblGrid>
      <w:tr w14:paraId="49EF0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tblHeader/>
          <w:jc w:val="center"/>
        </w:trPr>
        <w:tc>
          <w:tcPr>
            <w:tcW w:w="1471" w:type="dxa"/>
            <w:tcMar>
              <w:left w:w="108" w:type="dxa"/>
              <w:right w:w="108" w:type="dxa"/>
            </w:tcMar>
            <w:vAlign w:val="center"/>
          </w:tcPr>
          <w:p w14:paraId="7FE75DB9">
            <w:pPr>
              <w:snapToGrid w:val="0"/>
              <w:ind w:left="0" w:leftChars="0" w:right="0" w:rightChars="0" w:firstLine="0" w:firstLineChars="0"/>
              <w:jc w:val="center"/>
              <w:rPr>
                <w:rFonts w:hint="eastAsia" w:ascii="宋体" w:hAnsi="宋体" w:eastAsia="宋体" w:cs="宋体"/>
                <w:b/>
                <w:bCs/>
                <w:sz w:val="20"/>
                <w:szCs w:val="20"/>
                <w:lang w:eastAsia="zh-CN"/>
              </w:rPr>
            </w:pPr>
            <w:r>
              <w:rPr>
                <w:rFonts w:hint="eastAsia" w:ascii="宋体" w:hAnsi="宋体" w:eastAsia="宋体" w:cs="宋体"/>
                <w:b/>
                <w:bCs/>
                <w:sz w:val="20"/>
                <w:szCs w:val="20"/>
              </w:rPr>
              <w:t>管理环节</w:t>
            </w:r>
          </w:p>
        </w:tc>
        <w:tc>
          <w:tcPr>
            <w:tcW w:w="3544" w:type="dxa"/>
            <w:tcMar>
              <w:left w:w="108" w:type="dxa"/>
              <w:right w:w="108" w:type="dxa"/>
            </w:tcMar>
            <w:vAlign w:val="center"/>
          </w:tcPr>
          <w:p w14:paraId="1F7C05F3">
            <w:pPr>
              <w:snapToGrid w:val="0"/>
              <w:ind w:left="0" w:leftChars="0" w:right="0" w:rightChars="0" w:firstLine="0" w:firstLineChars="0"/>
              <w:jc w:val="center"/>
              <w:rPr>
                <w:rFonts w:hint="default" w:ascii="宋体" w:hAnsi="宋体" w:eastAsia="宋体" w:cs="宋体"/>
                <w:b/>
                <w:bCs/>
                <w:sz w:val="20"/>
                <w:szCs w:val="20"/>
                <w:lang w:val="en-US" w:eastAsia="zh-CN"/>
              </w:rPr>
            </w:pPr>
            <w:r>
              <w:rPr>
                <w:rFonts w:hint="eastAsia" w:ascii="宋体" w:hAnsi="宋体" w:eastAsia="宋体" w:cs="宋体"/>
                <w:b/>
                <w:bCs/>
                <w:sz w:val="20"/>
                <w:szCs w:val="20"/>
                <w:lang w:val="en-US" w:eastAsia="zh-CN"/>
              </w:rPr>
              <w:t>规范化管理情形</w:t>
            </w:r>
          </w:p>
        </w:tc>
        <w:tc>
          <w:tcPr>
            <w:tcW w:w="3506" w:type="dxa"/>
            <w:tcMar>
              <w:left w:w="108" w:type="dxa"/>
              <w:right w:w="108" w:type="dxa"/>
            </w:tcMar>
            <w:vAlign w:val="center"/>
          </w:tcPr>
          <w:p w14:paraId="3ABA7E54">
            <w:pPr>
              <w:snapToGrid w:val="0"/>
              <w:ind w:left="0" w:leftChars="0" w:right="0" w:rightChars="0" w:firstLine="0" w:firstLineChars="0"/>
              <w:jc w:val="center"/>
              <w:rPr>
                <w:rFonts w:hint="default" w:ascii="宋体" w:hAnsi="宋体" w:eastAsia="宋体" w:cs="宋体"/>
                <w:b/>
                <w:bCs/>
                <w:sz w:val="20"/>
                <w:szCs w:val="20"/>
                <w:lang w:val="en-US"/>
              </w:rPr>
            </w:pPr>
            <w:r>
              <w:rPr>
                <w:rFonts w:hint="eastAsia" w:ascii="宋体" w:hAnsi="宋体" w:eastAsia="宋体" w:cs="宋体"/>
                <w:b/>
                <w:bCs/>
                <w:sz w:val="20"/>
                <w:szCs w:val="20"/>
                <w:lang w:val="en-US" w:eastAsia="zh-CN"/>
              </w:rPr>
              <w:t>非规范化管理情形</w:t>
            </w:r>
          </w:p>
        </w:tc>
      </w:tr>
      <w:tr w14:paraId="0C6AF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471" w:type="dxa"/>
            <w:tcMar>
              <w:left w:w="108" w:type="dxa"/>
              <w:right w:w="108" w:type="dxa"/>
            </w:tcMar>
            <w:vAlign w:val="center"/>
          </w:tcPr>
          <w:p w14:paraId="36DFD02C">
            <w:pPr>
              <w:snapToGrid w:val="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项目立项</w:t>
            </w:r>
          </w:p>
        </w:tc>
        <w:tc>
          <w:tcPr>
            <w:tcW w:w="3544" w:type="dxa"/>
            <w:tcMar>
              <w:left w:w="108" w:type="dxa"/>
              <w:right w:w="108" w:type="dxa"/>
            </w:tcMar>
            <w:vAlign w:val="center"/>
          </w:tcPr>
          <w:p w14:paraId="27D3DAB4">
            <w:pPr>
              <w:snapToGrid w:val="0"/>
              <w:ind w:left="0" w:leftChars="0" w:right="0" w:rightChars="0" w:firstLine="0" w:firstLineChars="0"/>
              <w:jc w:val="left"/>
              <w:rPr>
                <w:rFonts w:hint="eastAsia" w:ascii="宋体" w:hAnsi="宋体" w:eastAsia="宋体" w:cs="宋体"/>
                <w:sz w:val="20"/>
                <w:szCs w:val="20"/>
                <w:lang w:eastAsia="zh-CN"/>
              </w:rPr>
            </w:pPr>
            <w:r>
              <w:rPr>
                <w:rFonts w:hint="eastAsia" w:ascii="宋体" w:hAnsi="宋体" w:eastAsia="宋体" w:cs="宋体"/>
                <w:sz w:val="20"/>
                <w:szCs w:val="20"/>
              </w:rPr>
              <w:t>研发部门</w:t>
            </w:r>
            <w:r>
              <w:rPr>
                <w:rFonts w:hint="eastAsia" w:ascii="宋体" w:hAnsi="宋体" w:eastAsia="宋体" w:cs="宋体"/>
                <w:sz w:val="20"/>
                <w:szCs w:val="20"/>
                <w:lang w:val="en-US" w:eastAsia="zh-CN"/>
              </w:rPr>
              <w:t>事先</w:t>
            </w:r>
            <w:r>
              <w:rPr>
                <w:rFonts w:hint="eastAsia" w:ascii="宋体" w:hAnsi="宋体" w:eastAsia="宋体" w:cs="宋体"/>
                <w:sz w:val="20"/>
                <w:szCs w:val="20"/>
              </w:rPr>
              <w:t>发起</w:t>
            </w:r>
            <w:r>
              <w:rPr>
                <w:rFonts w:hint="eastAsia" w:ascii="宋体" w:hAnsi="宋体" w:eastAsia="宋体" w:cs="宋体"/>
                <w:sz w:val="20"/>
                <w:szCs w:val="20"/>
                <w:lang w:val="en-US" w:eastAsia="zh-CN"/>
              </w:rPr>
              <w:t>立项</w:t>
            </w:r>
            <w:r>
              <w:rPr>
                <w:rFonts w:hint="eastAsia" w:ascii="宋体" w:hAnsi="宋体" w:eastAsia="宋体" w:cs="宋体"/>
                <w:sz w:val="20"/>
                <w:szCs w:val="20"/>
              </w:rPr>
              <w:t>，OA或邮件审批，有简易编号规则，但缺乏与财务、税务的联动</w:t>
            </w:r>
            <w:r>
              <w:rPr>
                <w:rFonts w:hint="eastAsia" w:ascii="宋体" w:hAnsi="宋体" w:eastAsia="宋体" w:cs="宋体"/>
                <w:sz w:val="20"/>
                <w:szCs w:val="20"/>
                <w:lang w:eastAsia="zh-CN"/>
              </w:rPr>
              <w:t>。</w:t>
            </w:r>
          </w:p>
        </w:tc>
        <w:tc>
          <w:tcPr>
            <w:tcW w:w="3506" w:type="dxa"/>
            <w:tcMar>
              <w:left w:w="108" w:type="dxa"/>
              <w:right w:w="108" w:type="dxa"/>
            </w:tcMar>
            <w:vAlign w:val="center"/>
          </w:tcPr>
          <w:p w14:paraId="63275BFE">
            <w:pPr>
              <w:snapToGrid w:val="0"/>
              <w:ind w:left="0" w:leftChars="0" w:right="0" w:rightChars="0" w:firstLine="0" w:firstLineChars="0"/>
              <w:jc w:val="left"/>
              <w:rPr>
                <w:rFonts w:hint="eastAsia" w:ascii="宋体" w:hAnsi="宋体" w:eastAsia="宋体" w:cs="宋体"/>
                <w:sz w:val="20"/>
                <w:szCs w:val="20"/>
                <w:lang w:eastAsia="zh-CN"/>
              </w:rPr>
            </w:pPr>
            <w:r>
              <w:rPr>
                <w:rFonts w:hint="eastAsia" w:ascii="宋体" w:hAnsi="宋体" w:eastAsia="宋体" w:cs="宋体"/>
                <w:sz w:val="20"/>
                <w:szCs w:val="20"/>
              </w:rPr>
              <w:t>研发部门口头或邮件发起</w:t>
            </w:r>
            <w:r>
              <w:rPr>
                <w:rFonts w:hint="eastAsia" w:ascii="宋体" w:hAnsi="宋体" w:eastAsia="宋体" w:cs="宋体"/>
                <w:sz w:val="20"/>
                <w:szCs w:val="20"/>
                <w:lang w:val="en-US" w:eastAsia="zh-CN"/>
              </w:rPr>
              <w:t>立项</w:t>
            </w:r>
            <w:r>
              <w:rPr>
                <w:rFonts w:hint="eastAsia" w:ascii="宋体" w:hAnsi="宋体" w:eastAsia="宋体" w:cs="宋体"/>
                <w:sz w:val="20"/>
                <w:szCs w:val="20"/>
              </w:rPr>
              <w:t>，无正式审批流程；项目边界模糊，研发与生产活动混同</w:t>
            </w:r>
            <w:r>
              <w:rPr>
                <w:rFonts w:hint="eastAsia" w:ascii="宋体" w:hAnsi="宋体" w:eastAsia="宋体" w:cs="宋体"/>
                <w:sz w:val="20"/>
                <w:szCs w:val="20"/>
                <w:lang w:eastAsia="zh-CN"/>
              </w:rPr>
              <w:t>，</w:t>
            </w:r>
            <w:r>
              <w:rPr>
                <w:rFonts w:hint="eastAsia" w:ascii="宋体" w:hAnsi="宋体" w:eastAsia="宋体" w:cs="宋体"/>
                <w:sz w:val="20"/>
                <w:szCs w:val="20"/>
                <w:lang w:val="en-US" w:eastAsia="zh-CN"/>
              </w:rPr>
              <w:t>未与</w:t>
            </w:r>
            <w:r>
              <w:rPr>
                <w:rFonts w:hint="eastAsia" w:ascii="宋体" w:hAnsi="宋体" w:eastAsia="宋体" w:cs="宋体"/>
                <w:sz w:val="20"/>
                <w:szCs w:val="20"/>
              </w:rPr>
              <w:t>财务、税务联动</w:t>
            </w:r>
            <w:r>
              <w:rPr>
                <w:rFonts w:hint="eastAsia" w:ascii="宋体" w:hAnsi="宋体" w:eastAsia="宋体" w:cs="宋体"/>
                <w:sz w:val="20"/>
                <w:szCs w:val="20"/>
                <w:lang w:eastAsia="zh-CN"/>
              </w:rPr>
              <w:t>。</w:t>
            </w:r>
          </w:p>
        </w:tc>
      </w:tr>
      <w:tr w14:paraId="71DF7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471" w:type="dxa"/>
            <w:tcMar>
              <w:left w:w="108" w:type="dxa"/>
              <w:right w:w="108" w:type="dxa"/>
            </w:tcMar>
            <w:vAlign w:val="center"/>
          </w:tcPr>
          <w:p w14:paraId="34CE6E6E">
            <w:pPr>
              <w:snapToGrid w:val="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费用归集</w:t>
            </w:r>
          </w:p>
        </w:tc>
        <w:tc>
          <w:tcPr>
            <w:tcW w:w="3544" w:type="dxa"/>
            <w:tcMar>
              <w:left w:w="108" w:type="dxa"/>
              <w:right w:w="108" w:type="dxa"/>
            </w:tcMar>
            <w:vAlign w:val="center"/>
          </w:tcPr>
          <w:p w14:paraId="6A872980">
            <w:pPr>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财务按月从ERP导出数据，按预设规则人工筛选、拆分、分摊至各项目；建立Excel辅助台账，但公式复杂、易错</w:t>
            </w:r>
          </w:p>
        </w:tc>
        <w:tc>
          <w:tcPr>
            <w:tcW w:w="3506" w:type="dxa"/>
            <w:tcMar>
              <w:left w:w="108" w:type="dxa"/>
              <w:right w:w="108" w:type="dxa"/>
            </w:tcMar>
            <w:vAlign w:val="center"/>
          </w:tcPr>
          <w:p w14:paraId="1291E94B">
            <w:pPr>
              <w:snapToGrid w:val="0"/>
              <w:ind w:left="0" w:leftChars="0" w:right="0" w:rightChars="0" w:firstLine="0" w:firstLineChars="0"/>
              <w:jc w:val="left"/>
              <w:rPr>
                <w:rFonts w:hint="eastAsia" w:ascii="宋体" w:hAnsi="宋体" w:eastAsia="宋体" w:cs="宋体"/>
                <w:sz w:val="20"/>
                <w:szCs w:val="20"/>
                <w:lang w:eastAsia="zh-CN"/>
              </w:rPr>
            </w:pPr>
            <w:r>
              <w:rPr>
                <w:rFonts w:hint="eastAsia" w:ascii="宋体" w:hAnsi="宋体" w:eastAsia="宋体" w:cs="宋体"/>
                <w:sz w:val="20"/>
                <w:szCs w:val="20"/>
              </w:rPr>
              <w:t>无专门台账，财务人员年底从科目余额表中手工挑拣</w:t>
            </w:r>
            <w:r>
              <w:rPr>
                <w:rFonts w:hint="eastAsia" w:ascii="宋体" w:hAnsi="宋体" w:eastAsia="宋体" w:cs="宋体"/>
                <w:sz w:val="20"/>
                <w:szCs w:val="20"/>
                <w:lang w:eastAsia="zh-CN"/>
              </w:rPr>
              <w:t>“</w:t>
            </w:r>
            <w:r>
              <w:rPr>
                <w:rFonts w:hint="eastAsia" w:ascii="宋体" w:hAnsi="宋体" w:eastAsia="宋体" w:cs="宋体"/>
                <w:sz w:val="20"/>
                <w:szCs w:val="20"/>
              </w:rPr>
              <w:t>疑似</w:t>
            </w:r>
            <w:r>
              <w:rPr>
                <w:rFonts w:hint="eastAsia" w:ascii="宋体" w:hAnsi="宋体" w:eastAsia="宋体" w:cs="宋体"/>
                <w:sz w:val="20"/>
                <w:szCs w:val="20"/>
                <w:lang w:eastAsia="zh-CN"/>
              </w:rPr>
              <w:t>”</w:t>
            </w:r>
            <w:r>
              <w:rPr>
                <w:rFonts w:hint="eastAsia" w:ascii="宋体" w:hAnsi="宋体" w:eastAsia="宋体" w:cs="宋体"/>
                <w:sz w:val="20"/>
                <w:szCs w:val="20"/>
              </w:rPr>
              <w:t>研发支出；无分摊依据，凭经验估算</w:t>
            </w:r>
            <w:r>
              <w:rPr>
                <w:rFonts w:hint="eastAsia" w:ascii="宋体" w:hAnsi="宋体" w:eastAsia="宋体" w:cs="宋体"/>
                <w:sz w:val="20"/>
                <w:szCs w:val="20"/>
                <w:lang w:eastAsia="zh-CN"/>
              </w:rPr>
              <w:t>。</w:t>
            </w:r>
          </w:p>
        </w:tc>
      </w:tr>
      <w:tr w14:paraId="39183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471" w:type="dxa"/>
            <w:tcMar>
              <w:left w:w="108" w:type="dxa"/>
              <w:right w:w="108" w:type="dxa"/>
            </w:tcMar>
            <w:vAlign w:val="center"/>
          </w:tcPr>
          <w:p w14:paraId="0CD356B5">
            <w:pPr>
              <w:snapToGrid w:val="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辅助账编制</w:t>
            </w:r>
          </w:p>
        </w:tc>
        <w:tc>
          <w:tcPr>
            <w:tcW w:w="3544" w:type="dxa"/>
            <w:tcMar>
              <w:left w:w="108" w:type="dxa"/>
              <w:right w:w="108" w:type="dxa"/>
            </w:tcMar>
            <w:vAlign w:val="center"/>
          </w:tcPr>
          <w:p w14:paraId="610AE616">
            <w:pPr>
              <w:snapToGrid w:val="0"/>
              <w:ind w:left="0" w:leftChars="0" w:right="0" w:rightChars="0" w:firstLine="0" w:firstLineChars="0"/>
              <w:jc w:val="left"/>
              <w:rPr>
                <w:rFonts w:hint="eastAsia" w:ascii="宋体" w:hAnsi="宋体" w:eastAsia="宋体" w:cs="宋体"/>
                <w:sz w:val="20"/>
                <w:szCs w:val="20"/>
                <w:lang w:eastAsia="zh-CN"/>
              </w:rPr>
            </w:pPr>
            <w:r>
              <w:rPr>
                <w:rFonts w:hint="eastAsia" w:ascii="宋体" w:hAnsi="宋体" w:eastAsia="宋体" w:cs="宋体"/>
                <w:sz w:val="20"/>
                <w:szCs w:val="20"/>
              </w:rPr>
              <w:t>财务人员按税务要求格式填制Excel辅助账，跨年度项目逐年复制调整；季度或年度汇总时人工勾稽校验</w:t>
            </w:r>
            <w:r>
              <w:rPr>
                <w:rFonts w:hint="eastAsia" w:ascii="宋体" w:hAnsi="宋体" w:eastAsia="宋体" w:cs="宋体"/>
                <w:sz w:val="20"/>
                <w:szCs w:val="20"/>
                <w:lang w:eastAsia="zh-CN"/>
              </w:rPr>
              <w:t>。</w:t>
            </w:r>
          </w:p>
        </w:tc>
        <w:tc>
          <w:tcPr>
            <w:tcW w:w="3506" w:type="dxa"/>
            <w:tcMar>
              <w:left w:w="108" w:type="dxa"/>
              <w:right w:w="108" w:type="dxa"/>
            </w:tcMar>
            <w:vAlign w:val="center"/>
          </w:tcPr>
          <w:p w14:paraId="57000E01">
            <w:pPr>
              <w:snapToGrid w:val="0"/>
              <w:ind w:left="0" w:leftChars="0" w:right="0" w:rightChars="0" w:firstLine="0" w:firstLineChars="0"/>
              <w:jc w:val="left"/>
              <w:rPr>
                <w:rFonts w:hint="eastAsia" w:ascii="宋体" w:hAnsi="宋体" w:eastAsia="宋体" w:cs="宋体"/>
                <w:sz w:val="20"/>
                <w:szCs w:val="20"/>
                <w:lang w:eastAsia="zh-CN"/>
              </w:rPr>
            </w:pPr>
            <w:r>
              <w:rPr>
                <w:rFonts w:hint="eastAsia" w:ascii="宋体" w:hAnsi="宋体" w:eastAsia="宋体" w:cs="宋体"/>
                <w:sz w:val="20"/>
                <w:szCs w:val="20"/>
              </w:rPr>
              <w:t>无辅助账或仅在申报前临时拼凑；无项目明细，仅按费用类型汇总填表</w:t>
            </w:r>
            <w:r>
              <w:rPr>
                <w:rFonts w:hint="eastAsia" w:ascii="宋体" w:hAnsi="宋体" w:eastAsia="宋体" w:cs="宋体"/>
                <w:sz w:val="20"/>
                <w:szCs w:val="20"/>
                <w:lang w:eastAsia="zh-CN"/>
              </w:rPr>
              <w:t>。</w:t>
            </w:r>
          </w:p>
        </w:tc>
      </w:tr>
      <w:tr w14:paraId="0FE61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471" w:type="dxa"/>
            <w:tcMar>
              <w:left w:w="108" w:type="dxa"/>
              <w:right w:w="108" w:type="dxa"/>
            </w:tcMar>
            <w:vAlign w:val="center"/>
          </w:tcPr>
          <w:p w14:paraId="2390DD1F">
            <w:pPr>
              <w:snapToGrid w:val="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申报准备</w:t>
            </w:r>
          </w:p>
        </w:tc>
        <w:tc>
          <w:tcPr>
            <w:tcW w:w="3544" w:type="dxa"/>
            <w:tcMar>
              <w:left w:w="108" w:type="dxa"/>
              <w:right w:w="108" w:type="dxa"/>
            </w:tcMar>
            <w:vAlign w:val="center"/>
          </w:tcPr>
          <w:p w14:paraId="62529C0D">
            <w:pPr>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汇算清缴前集中整理，人工核对申报表与辅助账、财务账三方数据，差异调整依赖手工记录</w:t>
            </w:r>
          </w:p>
        </w:tc>
        <w:tc>
          <w:tcPr>
            <w:tcW w:w="3506" w:type="dxa"/>
            <w:tcMar>
              <w:left w:w="108" w:type="dxa"/>
              <w:right w:w="108" w:type="dxa"/>
            </w:tcMar>
            <w:vAlign w:val="center"/>
          </w:tcPr>
          <w:p w14:paraId="512545B2">
            <w:pPr>
              <w:snapToGrid w:val="0"/>
              <w:ind w:left="0" w:leftChars="0" w:right="0" w:rightChars="0" w:firstLine="0" w:firstLineChars="0"/>
              <w:jc w:val="left"/>
              <w:rPr>
                <w:rFonts w:hint="eastAsia" w:ascii="宋体" w:hAnsi="宋体" w:eastAsia="宋体" w:cs="宋体"/>
                <w:sz w:val="20"/>
                <w:szCs w:val="20"/>
                <w:lang w:eastAsia="zh-CN"/>
              </w:rPr>
            </w:pPr>
            <w:r>
              <w:rPr>
                <w:rFonts w:hint="eastAsia" w:ascii="宋体" w:hAnsi="宋体" w:eastAsia="宋体" w:cs="宋体"/>
                <w:sz w:val="20"/>
                <w:szCs w:val="20"/>
              </w:rPr>
              <w:t>依赖外部税务师事务所代编申报表；企业内部无法解释数据来源，一问三不知</w:t>
            </w:r>
            <w:r>
              <w:rPr>
                <w:rFonts w:hint="eastAsia" w:ascii="宋体" w:hAnsi="宋体" w:eastAsia="宋体" w:cs="宋体"/>
                <w:sz w:val="20"/>
                <w:szCs w:val="20"/>
                <w:lang w:eastAsia="zh-CN"/>
              </w:rPr>
              <w:t>。</w:t>
            </w:r>
          </w:p>
        </w:tc>
      </w:tr>
      <w:tr w14:paraId="31F8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471" w:type="dxa"/>
            <w:tcMar>
              <w:left w:w="108" w:type="dxa"/>
              <w:right w:w="108" w:type="dxa"/>
            </w:tcMar>
            <w:vAlign w:val="center"/>
          </w:tcPr>
          <w:p w14:paraId="4852795C">
            <w:pPr>
              <w:snapToGrid w:val="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备查资料</w:t>
            </w:r>
          </w:p>
        </w:tc>
        <w:tc>
          <w:tcPr>
            <w:tcW w:w="3544" w:type="dxa"/>
            <w:tcMar>
              <w:left w:w="108" w:type="dxa"/>
              <w:right w:w="108" w:type="dxa"/>
            </w:tcMar>
            <w:vAlign w:val="center"/>
          </w:tcPr>
          <w:p w14:paraId="1CC5184D">
            <w:pPr>
              <w:snapToGrid w:val="0"/>
              <w:ind w:left="0" w:leftChars="0" w:right="0" w:rightChars="0" w:firstLine="0" w:firstLineChars="0"/>
              <w:jc w:val="left"/>
              <w:rPr>
                <w:rFonts w:hint="eastAsia" w:ascii="宋体" w:hAnsi="宋体" w:eastAsia="宋体" w:cs="宋体"/>
                <w:sz w:val="20"/>
                <w:szCs w:val="20"/>
                <w:lang w:eastAsia="zh-CN"/>
              </w:rPr>
            </w:pPr>
            <w:r>
              <w:rPr>
                <w:rFonts w:hint="eastAsia" w:ascii="宋体" w:hAnsi="宋体" w:eastAsia="宋体" w:cs="宋体"/>
                <w:sz w:val="20"/>
                <w:szCs w:val="20"/>
              </w:rPr>
              <w:t>指定专人收集，按项目文件夹存储于共享盘或本地电脑，有简易目录但无</w:t>
            </w:r>
            <w:r>
              <w:rPr>
                <w:rFonts w:hint="eastAsia" w:ascii="宋体" w:hAnsi="宋体" w:eastAsia="宋体" w:cs="宋体"/>
                <w:sz w:val="20"/>
                <w:szCs w:val="20"/>
                <w:lang w:val="en-US" w:eastAsia="zh-CN"/>
              </w:rPr>
              <w:t>索引和</w:t>
            </w:r>
            <w:r>
              <w:rPr>
                <w:rFonts w:hint="eastAsia" w:ascii="宋体" w:hAnsi="宋体" w:eastAsia="宋体" w:cs="宋体"/>
                <w:sz w:val="20"/>
                <w:szCs w:val="20"/>
              </w:rPr>
              <w:t>版本控制</w:t>
            </w:r>
            <w:r>
              <w:rPr>
                <w:rFonts w:hint="eastAsia" w:ascii="宋体" w:hAnsi="宋体" w:eastAsia="宋体" w:cs="宋体"/>
                <w:sz w:val="20"/>
                <w:szCs w:val="20"/>
                <w:lang w:eastAsia="zh-CN"/>
              </w:rPr>
              <w:t>。</w:t>
            </w:r>
          </w:p>
        </w:tc>
        <w:tc>
          <w:tcPr>
            <w:tcW w:w="3506" w:type="dxa"/>
            <w:tcMar>
              <w:left w:w="108" w:type="dxa"/>
              <w:right w:w="108" w:type="dxa"/>
            </w:tcMar>
            <w:vAlign w:val="center"/>
          </w:tcPr>
          <w:p w14:paraId="068F93F8">
            <w:pPr>
              <w:snapToGrid w:val="0"/>
              <w:ind w:left="0" w:leftChars="0" w:right="0" w:rightChars="0" w:firstLine="0" w:firstLineChars="0"/>
              <w:jc w:val="left"/>
              <w:rPr>
                <w:rFonts w:hint="eastAsia" w:ascii="宋体" w:hAnsi="宋体" w:eastAsia="宋体" w:cs="宋体"/>
                <w:sz w:val="20"/>
                <w:szCs w:val="20"/>
                <w:lang w:eastAsia="zh-CN"/>
              </w:rPr>
            </w:pPr>
            <w:r>
              <w:rPr>
                <w:rFonts w:hint="eastAsia" w:ascii="宋体" w:hAnsi="宋体" w:eastAsia="宋体" w:cs="宋体"/>
                <w:sz w:val="20"/>
                <w:szCs w:val="20"/>
                <w:lang w:eastAsia="zh-CN"/>
              </w:rPr>
              <w:t>无专人管理，资料散落于各部门个人电脑；立项决议、工时记录、合同等关键资料缺失或事后补造。</w:t>
            </w:r>
          </w:p>
        </w:tc>
      </w:tr>
    </w:tbl>
    <w:p w14:paraId="24A5EE76">
      <w:pPr>
        <w:rPr>
          <w:rFonts w:eastAsia="宋体"/>
          <w:b w:val="0"/>
          <w:i w:val="0"/>
          <w:strike w:val="0"/>
          <w:color w:val="auto"/>
          <w:sz w:val="24"/>
          <w:u w:val="none"/>
        </w:rPr>
      </w:pPr>
    </w:p>
    <w:p w14:paraId="1563F591">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eastAsia"/>
          <w:sz w:val="24"/>
          <w:szCs w:val="24"/>
          <w:lang w:val="en-US" w:eastAsia="zh-CN"/>
        </w:rPr>
      </w:pPr>
      <w:r>
        <w:rPr>
          <w:rFonts w:hint="eastAsia"/>
          <w:sz w:val="24"/>
          <w:szCs w:val="24"/>
          <w:lang w:val="en-US" w:eastAsia="zh-CN"/>
        </w:rPr>
        <w:t>2.1.2部门职责划分</w:t>
      </w:r>
    </w:p>
    <w:p w14:paraId="26E7D9B5"/>
    <w:tbl>
      <w:tblPr>
        <w:tblStyle w:val="1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671"/>
        <w:gridCol w:w="3344"/>
        <w:gridCol w:w="3507"/>
      </w:tblGrid>
      <w:tr w14:paraId="41C4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2" w:hRule="atLeast"/>
          <w:tblHeader/>
          <w:jc w:val="center"/>
        </w:trPr>
        <w:tc>
          <w:tcPr>
            <w:tcW w:w="1671" w:type="dxa"/>
            <w:tcMar>
              <w:left w:w="108" w:type="dxa"/>
              <w:right w:w="108" w:type="dxa"/>
            </w:tcMar>
            <w:vAlign w:val="center"/>
          </w:tcPr>
          <w:p w14:paraId="57F86A63">
            <w:pPr>
              <w:snapToGrid w:val="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部门</w:t>
            </w:r>
          </w:p>
        </w:tc>
        <w:tc>
          <w:tcPr>
            <w:tcW w:w="3344" w:type="dxa"/>
            <w:tcMar>
              <w:left w:w="108" w:type="dxa"/>
              <w:right w:w="108" w:type="dxa"/>
            </w:tcMar>
            <w:vAlign w:val="center"/>
          </w:tcPr>
          <w:p w14:paraId="7B6F4183">
            <w:pPr>
              <w:snapToGrid w:val="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当前职责</w:t>
            </w:r>
          </w:p>
        </w:tc>
        <w:tc>
          <w:tcPr>
            <w:tcW w:w="3507" w:type="dxa"/>
            <w:tcMar>
              <w:left w:w="108" w:type="dxa"/>
              <w:right w:w="108" w:type="dxa"/>
            </w:tcMar>
            <w:vAlign w:val="center"/>
          </w:tcPr>
          <w:p w14:paraId="7237772C">
            <w:pPr>
              <w:snapToGrid w:val="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存在问题</w:t>
            </w:r>
          </w:p>
        </w:tc>
      </w:tr>
      <w:tr w14:paraId="69651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8" w:hRule="atLeast"/>
          <w:jc w:val="center"/>
        </w:trPr>
        <w:tc>
          <w:tcPr>
            <w:tcW w:w="1671" w:type="dxa"/>
            <w:tcMar>
              <w:left w:w="108" w:type="dxa"/>
              <w:right w:w="108" w:type="dxa"/>
            </w:tcMar>
            <w:vAlign w:val="center"/>
          </w:tcPr>
          <w:p w14:paraId="20B03619">
            <w:pPr>
              <w:snapToGrid w:val="0"/>
              <w:ind w:left="0" w:leftChars="0" w:right="0" w:rightChars="0" w:firstLine="0" w:firstLineChars="0"/>
              <w:jc w:val="center"/>
              <w:rPr>
                <w:rFonts w:hint="eastAsia" w:ascii="宋体" w:hAnsi="宋体" w:eastAsia="宋体" w:cs="宋体"/>
                <w:b w:val="0"/>
                <w:bCs/>
                <w:sz w:val="20"/>
                <w:szCs w:val="20"/>
              </w:rPr>
            </w:pPr>
            <w:r>
              <w:rPr>
                <w:rFonts w:hint="eastAsia" w:ascii="宋体" w:hAnsi="宋体" w:eastAsia="宋体" w:cs="宋体"/>
                <w:b w:val="0"/>
                <w:bCs/>
                <w:sz w:val="20"/>
                <w:szCs w:val="20"/>
              </w:rPr>
              <w:t>研发部门</w:t>
            </w:r>
          </w:p>
        </w:tc>
        <w:tc>
          <w:tcPr>
            <w:tcW w:w="3344" w:type="dxa"/>
            <w:tcMar>
              <w:left w:w="108" w:type="dxa"/>
              <w:right w:w="108" w:type="dxa"/>
            </w:tcMar>
            <w:vAlign w:val="center"/>
          </w:tcPr>
          <w:p w14:paraId="0901756C">
            <w:pPr>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项目立项、执行、结题；提供项目清单和人员信息</w:t>
            </w:r>
          </w:p>
        </w:tc>
        <w:tc>
          <w:tcPr>
            <w:tcW w:w="3507" w:type="dxa"/>
            <w:tcMar>
              <w:left w:w="108" w:type="dxa"/>
              <w:right w:w="108" w:type="dxa"/>
            </w:tcMar>
            <w:vAlign w:val="center"/>
          </w:tcPr>
          <w:p w14:paraId="52485A42">
            <w:pPr>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不参与费用归集，对税务口径不了解，立项资料不规范</w:t>
            </w:r>
          </w:p>
        </w:tc>
      </w:tr>
      <w:tr w14:paraId="4A5D9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60" w:hRule="atLeast"/>
          <w:jc w:val="center"/>
        </w:trPr>
        <w:tc>
          <w:tcPr>
            <w:tcW w:w="1671" w:type="dxa"/>
            <w:tcMar>
              <w:left w:w="108" w:type="dxa"/>
              <w:right w:w="108" w:type="dxa"/>
            </w:tcMar>
            <w:vAlign w:val="center"/>
          </w:tcPr>
          <w:p w14:paraId="4B273B6A">
            <w:pPr>
              <w:snapToGrid w:val="0"/>
              <w:ind w:left="0" w:leftChars="0" w:right="0" w:rightChars="0" w:firstLine="0" w:firstLineChars="0"/>
              <w:jc w:val="center"/>
              <w:rPr>
                <w:rFonts w:hint="eastAsia" w:ascii="宋体" w:hAnsi="宋体" w:eastAsia="宋体" w:cs="宋体"/>
                <w:b w:val="0"/>
                <w:bCs/>
                <w:sz w:val="20"/>
                <w:szCs w:val="20"/>
              </w:rPr>
            </w:pPr>
            <w:r>
              <w:rPr>
                <w:rFonts w:hint="eastAsia" w:ascii="宋体" w:hAnsi="宋体" w:eastAsia="宋体" w:cs="宋体"/>
                <w:b w:val="0"/>
                <w:bCs/>
                <w:sz w:val="20"/>
                <w:szCs w:val="20"/>
              </w:rPr>
              <w:t>财务部门</w:t>
            </w:r>
          </w:p>
        </w:tc>
        <w:tc>
          <w:tcPr>
            <w:tcW w:w="3344" w:type="dxa"/>
            <w:tcMar>
              <w:left w:w="108" w:type="dxa"/>
              <w:right w:w="108" w:type="dxa"/>
            </w:tcMar>
            <w:vAlign w:val="center"/>
          </w:tcPr>
          <w:p w14:paraId="39A16259">
            <w:pPr>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费用核算</w:t>
            </w:r>
          </w:p>
        </w:tc>
        <w:tc>
          <w:tcPr>
            <w:tcW w:w="3507" w:type="dxa"/>
            <w:tcMar>
              <w:left w:w="108" w:type="dxa"/>
              <w:right w:w="108" w:type="dxa"/>
            </w:tcMar>
            <w:vAlign w:val="center"/>
          </w:tcPr>
          <w:p w14:paraId="18D45921">
            <w:pPr>
              <w:snapToGrid w:val="0"/>
              <w:ind w:left="0" w:leftChars="0" w:right="0" w:rightChars="0" w:firstLine="0" w:firstLineChars="0"/>
              <w:jc w:val="left"/>
              <w:rPr>
                <w:rFonts w:hint="default" w:ascii="宋体" w:hAnsi="宋体" w:eastAsia="宋体" w:cs="宋体"/>
                <w:sz w:val="20"/>
                <w:szCs w:val="20"/>
                <w:lang w:val="en-US"/>
              </w:rPr>
            </w:pPr>
            <w:r>
              <w:rPr>
                <w:rFonts w:hint="eastAsia" w:ascii="宋体" w:hAnsi="宋体" w:eastAsia="宋体" w:cs="宋体"/>
                <w:sz w:val="20"/>
                <w:szCs w:val="20"/>
                <w:lang w:val="en-US" w:eastAsia="zh-CN"/>
              </w:rPr>
              <w:t>只关注费用总额核算和会计合规性</w:t>
            </w:r>
          </w:p>
        </w:tc>
      </w:tr>
      <w:tr w14:paraId="0DB4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64" w:hRule="atLeast"/>
          <w:jc w:val="center"/>
        </w:trPr>
        <w:tc>
          <w:tcPr>
            <w:tcW w:w="1671" w:type="dxa"/>
            <w:tcMar>
              <w:left w:w="108" w:type="dxa"/>
              <w:right w:w="108" w:type="dxa"/>
            </w:tcMar>
            <w:vAlign w:val="center"/>
          </w:tcPr>
          <w:p w14:paraId="781FE4BA">
            <w:pPr>
              <w:snapToGrid w:val="0"/>
              <w:ind w:left="0" w:leftChars="0" w:right="0" w:rightChars="0" w:firstLine="0" w:firstLineChars="0"/>
              <w:jc w:val="center"/>
              <w:rPr>
                <w:rFonts w:hint="eastAsia" w:ascii="宋体" w:hAnsi="宋体" w:eastAsia="宋体" w:cs="宋体"/>
                <w:b w:val="0"/>
                <w:bCs/>
                <w:sz w:val="20"/>
                <w:szCs w:val="20"/>
              </w:rPr>
            </w:pPr>
            <w:r>
              <w:rPr>
                <w:rFonts w:hint="eastAsia" w:ascii="宋体" w:hAnsi="宋体" w:eastAsia="宋体" w:cs="宋体"/>
                <w:b w:val="0"/>
                <w:bCs/>
                <w:sz w:val="20"/>
                <w:szCs w:val="20"/>
              </w:rPr>
              <w:t>税务/风控部门</w:t>
            </w:r>
          </w:p>
        </w:tc>
        <w:tc>
          <w:tcPr>
            <w:tcW w:w="3344" w:type="dxa"/>
            <w:tcMar>
              <w:left w:w="108" w:type="dxa"/>
              <w:right w:w="108" w:type="dxa"/>
            </w:tcMar>
            <w:vAlign w:val="center"/>
          </w:tcPr>
          <w:p w14:paraId="34EAD44F">
            <w:pPr>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政策适用判定、辅助账编制、申报表填报、风险监控</w:t>
            </w:r>
          </w:p>
        </w:tc>
        <w:tc>
          <w:tcPr>
            <w:tcW w:w="3507" w:type="dxa"/>
            <w:tcMar>
              <w:left w:w="108" w:type="dxa"/>
              <w:right w:w="108" w:type="dxa"/>
            </w:tcMar>
            <w:vAlign w:val="center"/>
          </w:tcPr>
          <w:p w14:paraId="641DE06B">
            <w:pPr>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对项目技术内容不熟悉，归集判断依据不足</w:t>
            </w:r>
            <w:r>
              <w:rPr>
                <w:rFonts w:hint="eastAsia" w:ascii="宋体" w:hAnsi="宋体" w:eastAsia="宋体" w:cs="宋体"/>
                <w:sz w:val="20"/>
                <w:szCs w:val="20"/>
                <w:lang w:eastAsia="zh-CN"/>
              </w:rPr>
              <w:t>；</w:t>
            </w:r>
            <w:r>
              <w:rPr>
                <w:rFonts w:hint="eastAsia" w:ascii="宋体" w:hAnsi="宋体" w:eastAsia="宋体" w:cs="宋体"/>
                <w:sz w:val="20"/>
                <w:szCs w:val="20"/>
              </w:rPr>
              <w:t>介入时点滞后，多为事后复核，缺乏事前管控手段</w:t>
            </w:r>
          </w:p>
        </w:tc>
      </w:tr>
      <w:tr w14:paraId="2802E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5" w:hRule="atLeast"/>
          <w:jc w:val="center"/>
        </w:trPr>
        <w:tc>
          <w:tcPr>
            <w:tcW w:w="1671" w:type="dxa"/>
            <w:tcMar>
              <w:left w:w="108" w:type="dxa"/>
              <w:right w:w="108" w:type="dxa"/>
            </w:tcMar>
            <w:vAlign w:val="center"/>
          </w:tcPr>
          <w:p w14:paraId="340094D6">
            <w:pPr>
              <w:snapToGrid w:val="0"/>
              <w:ind w:left="0" w:leftChars="0" w:right="0" w:rightChars="0" w:firstLine="0" w:firstLineChars="0"/>
              <w:jc w:val="center"/>
              <w:rPr>
                <w:rFonts w:hint="eastAsia" w:ascii="宋体" w:hAnsi="宋体" w:eastAsia="宋体" w:cs="宋体"/>
                <w:b w:val="0"/>
                <w:bCs/>
                <w:sz w:val="20"/>
                <w:szCs w:val="20"/>
              </w:rPr>
            </w:pPr>
            <w:r>
              <w:rPr>
                <w:rFonts w:hint="eastAsia" w:ascii="宋体" w:hAnsi="宋体" w:eastAsia="宋体" w:cs="宋体"/>
                <w:b w:val="0"/>
                <w:bCs/>
                <w:sz w:val="20"/>
                <w:szCs w:val="20"/>
              </w:rPr>
              <w:t>项目管理部门</w:t>
            </w:r>
          </w:p>
        </w:tc>
        <w:tc>
          <w:tcPr>
            <w:tcW w:w="3344" w:type="dxa"/>
            <w:tcMar>
              <w:left w:w="108" w:type="dxa"/>
              <w:right w:w="108" w:type="dxa"/>
            </w:tcMar>
            <w:vAlign w:val="center"/>
          </w:tcPr>
          <w:p w14:paraId="17D88CD5">
            <w:pPr>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部分企业由总工办/技术部兼任项目统筹</w:t>
            </w:r>
          </w:p>
        </w:tc>
        <w:tc>
          <w:tcPr>
            <w:tcW w:w="3507" w:type="dxa"/>
            <w:tcMar>
              <w:left w:w="108" w:type="dxa"/>
              <w:right w:w="108" w:type="dxa"/>
            </w:tcMar>
            <w:vAlign w:val="center"/>
          </w:tcPr>
          <w:p w14:paraId="713C28AA">
            <w:pPr>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与财务、税务脱节，项目进度与费用归集不同步</w:t>
            </w:r>
          </w:p>
        </w:tc>
      </w:tr>
    </w:tbl>
    <w:p w14:paraId="20235A73"/>
    <w:p w14:paraId="5E874E92">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eastAsia"/>
          <w:sz w:val="24"/>
          <w:szCs w:val="24"/>
          <w:lang w:val="en-US" w:eastAsia="zh-CN"/>
        </w:rPr>
      </w:pPr>
      <w:r>
        <w:rPr>
          <w:rFonts w:hint="eastAsia"/>
          <w:sz w:val="24"/>
          <w:szCs w:val="24"/>
          <w:lang w:val="en-US" w:eastAsia="zh-CN"/>
        </w:rPr>
        <w:t>2.1.3现有系统工具及使用情况</w:t>
      </w:r>
    </w:p>
    <w:p w14:paraId="3A541A4A"/>
    <w:tbl>
      <w:tblPr>
        <w:tblStyle w:val="1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671"/>
        <w:gridCol w:w="2819"/>
        <w:gridCol w:w="4032"/>
      </w:tblGrid>
      <w:tr w14:paraId="4A138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62" w:hRule="atLeast"/>
          <w:tblHeader/>
          <w:jc w:val="center"/>
        </w:trPr>
        <w:tc>
          <w:tcPr>
            <w:tcW w:w="1671" w:type="dxa"/>
            <w:tcMar>
              <w:left w:w="108" w:type="dxa"/>
              <w:right w:w="108" w:type="dxa"/>
            </w:tcMar>
            <w:vAlign w:val="center"/>
          </w:tcPr>
          <w:p w14:paraId="0AED79A1">
            <w:pPr>
              <w:snapToGrid w:val="0"/>
              <w:ind w:left="0" w:leftChars="0" w:right="0" w:rightChars="0" w:firstLine="0" w:firstLineChars="0"/>
              <w:jc w:val="center"/>
              <w:rPr>
                <w:rFonts w:hint="eastAsia" w:ascii="宋体" w:hAnsi="宋体" w:eastAsia="宋体" w:cs="宋体"/>
                <w:b/>
                <w:sz w:val="20"/>
                <w:szCs w:val="20"/>
                <w:lang w:val="en-US" w:eastAsia="zh-CN"/>
              </w:rPr>
            </w:pPr>
            <w:r>
              <w:rPr>
                <w:rFonts w:hint="eastAsia" w:ascii="宋体" w:hAnsi="宋体" w:eastAsia="宋体" w:cs="宋体"/>
                <w:b/>
                <w:sz w:val="20"/>
                <w:szCs w:val="20"/>
                <w:lang w:val="en-US" w:eastAsia="zh-CN"/>
              </w:rPr>
              <w:t>系统</w:t>
            </w:r>
          </w:p>
        </w:tc>
        <w:tc>
          <w:tcPr>
            <w:tcW w:w="2819" w:type="dxa"/>
            <w:tcMar>
              <w:left w:w="108" w:type="dxa"/>
              <w:right w:w="108" w:type="dxa"/>
            </w:tcMar>
            <w:vAlign w:val="center"/>
          </w:tcPr>
          <w:p w14:paraId="49BC1E14">
            <w:pPr>
              <w:snapToGrid w:val="0"/>
              <w:ind w:left="0" w:leftChars="0" w:right="0" w:rightChars="0" w:firstLine="0" w:firstLineChars="0"/>
              <w:jc w:val="center"/>
              <w:rPr>
                <w:rFonts w:hint="default" w:ascii="宋体" w:hAnsi="宋体" w:eastAsia="宋体" w:cs="宋体"/>
                <w:b/>
                <w:sz w:val="20"/>
                <w:szCs w:val="20"/>
                <w:lang w:val="en-US" w:eastAsia="zh-CN"/>
              </w:rPr>
            </w:pPr>
            <w:r>
              <w:rPr>
                <w:rFonts w:hint="eastAsia" w:ascii="宋体" w:hAnsi="宋体" w:eastAsia="宋体" w:cs="宋体"/>
                <w:b/>
                <w:sz w:val="20"/>
                <w:szCs w:val="20"/>
                <w:lang w:val="en-US" w:eastAsia="zh-CN"/>
              </w:rPr>
              <w:t>使用情况</w:t>
            </w:r>
          </w:p>
        </w:tc>
        <w:tc>
          <w:tcPr>
            <w:tcW w:w="4032" w:type="dxa"/>
            <w:tcMar>
              <w:left w:w="108" w:type="dxa"/>
              <w:right w:w="108" w:type="dxa"/>
            </w:tcMar>
            <w:vAlign w:val="center"/>
          </w:tcPr>
          <w:p w14:paraId="63DB4A9B">
            <w:pPr>
              <w:snapToGrid w:val="0"/>
              <w:ind w:left="0" w:leftChars="0" w:right="0" w:rightChars="0" w:firstLine="0" w:firstLineChars="0"/>
              <w:jc w:val="center"/>
              <w:rPr>
                <w:rFonts w:hint="default" w:ascii="宋体" w:hAnsi="宋体" w:eastAsia="宋体" w:cs="宋体"/>
                <w:b/>
                <w:sz w:val="20"/>
                <w:szCs w:val="20"/>
                <w:lang w:val="en-US" w:eastAsia="zh-CN"/>
              </w:rPr>
            </w:pPr>
            <w:r>
              <w:rPr>
                <w:rFonts w:hint="eastAsia" w:ascii="宋体" w:hAnsi="宋体" w:eastAsia="宋体" w:cs="宋体"/>
                <w:b/>
                <w:sz w:val="20"/>
                <w:szCs w:val="20"/>
                <w:lang w:val="en-US" w:eastAsia="zh-CN"/>
              </w:rPr>
              <w:t>与研发费用管理的衔接</w:t>
            </w:r>
          </w:p>
        </w:tc>
      </w:tr>
      <w:tr w14:paraId="4B2AC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8" w:hRule="atLeast"/>
          <w:jc w:val="center"/>
        </w:trPr>
        <w:tc>
          <w:tcPr>
            <w:tcW w:w="1671" w:type="dxa"/>
            <w:tcMar>
              <w:left w:w="108" w:type="dxa"/>
              <w:right w:w="108" w:type="dxa"/>
            </w:tcMar>
            <w:vAlign w:val="center"/>
          </w:tcPr>
          <w:p w14:paraId="52146F75">
            <w:pPr>
              <w:snapToGrid w:val="0"/>
              <w:ind w:left="0" w:leftChars="0" w:right="0" w:rightChars="0" w:firstLine="0" w:firstLineChars="0"/>
              <w:jc w:val="center"/>
              <w:rPr>
                <w:rFonts w:hint="eastAsia" w:ascii="宋体" w:hAnsi="宋体" w:eastAsia="宋体" w:cs="宋体"/>
                <w:b w:val="0"/>
                <w:bCs/>
                <w:sz w:val="20"/>
                <w:szCs w:val="20"/>
              </w:rPr>
            </w:pPr>
            <w:r>
              <w:rPr>
                <w:rFonts w:hint="eastAsia" w:ascii="宋体" w:hAnsi="宋体" w:eastAsia="宋体" w:cs="宋体"/>
                <w:b w:val="0"/>
                <w:bCs/>
                <w:sz w:val="20"/>
                <w:szCs w:val="20"/>
              </w:rPr>
              <w:t>ERP/财务系统</w:t>
            </w:r>
          </w:p>
        </w:tc>
        <w:tc>
          <w:tcPr>
            <w:tcW w:w="2819" w:type="dxa"/>
            <w:tcMar>
              <w:left w:w="108" w:type="dxa"/>
              <w:right w:w="108" w:type="dxa"/>
            </w:tcMar>
            <w:vAlign w:val="center"/>
          </w:tcPr>
          <w:p w14:paraId="488ADD79">
            <w:pPr>
              <w:snapToGrid w:val="0"/>
              <w:ind w:left="0" w:leftChars="0" w:right="0" w:rightChars="0" w:firstLine="0" w:firstLineChars="0"/>
              <w:jc w:val="left"/>
              <w:rPr>
                <w:rFonts w:hint="eastAsia" w:ascii="宋体" w:hAnsi="宋体" w:eastAsia="宋体" w:cs="宋体"/>
                <w:b w:val="0"/>
                <w:bCs/>
                <w:sz w:val="20"/>
                <w:szCs w:val="20"/>
              </w:rPr>
            </w:pPr>
            <w:r>
              <w:rPr>
                <w:rFonts w:hint="eastAsia" w:ascii="宋体" w:hAnsi="宋体" w:eastAsia="宋体" w:cs="宋体"/>
                <w:b w:val="0"/>
                <w:bCs/>
                <w:sz w:val="20"/>
                <w:szCs w:val="20"/>
              </w:rPr>
              <w:t>用于日常核算，科目设置较粗</w:t>
            </w:r>
          </w:p>
        </w:tc>
        <w:tc>
          <w:tcPr>
            <w:tcW w:w="4032" w:type="dxa"/>
            <w:tcMar>
              <w:left w:w="108" w:type="dxa"/>
              <w:right w:w="108" w:type="dxa"/>
            </w:tcMar>
            <w:vAlign w:val="center"/>
          </w:tcPr>
          <w:p w14:paraId="52314BE5">
            <w:pPr>
              <w:snapToGrid w:val="0"/>
              <w:ind w:left="0" w:leftChars="0" w:right="0" w:rightChars="0" w:firstLine="0" w:firstLineChars="0"/>
              <w:jc w:val="left"/>
              <w:rPr>
                <w:rFonts w:hint="eastAsia" w:ascii="宋体" w:hAnsi="宋体" w:eastAsia="宋体" w:cs="宋体"/>
                <w:b w:val="0"/>
                <w:bCs/>
                <w:sz w:val="20"/>
                <w:szCs w:val="20"/>
              </w:rPr>
            </w:pPr>
            <w:r>
              <w:rPr>
                <w:rFonts w:hint="eastAsia" w:ascii="宋体" w:hAnsi="宋体" w:eastAsia="宋体" w:cs="宋体"/>
                <w:b w:val="0"/>
                <w:bCs/>
                <w:sz w:val="20"/>
                <w:szCs w:val="20"/>
              </w:rPr>
              <w:t>无法自动区分研发/非研发支出，需人工筛选</w:t>
            </w:r>
          </w:p>
        </w:tc>
      </w:tr>
      <w:tr w14:paraId="07E30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60" w:hRule="atLeast"/>
          <w:jc w:val="center"/>
        </w:trPr>
        <w:tc>
          <w:tcPr>
            <w:tcW w:w="1671" w:type="dxa"/>
            <w:tcMar>
              <w:left w:w="108" w:type="dxa"/>
              <w:right w:w="108" w:type="dxa"/>
            </w:tcMar>
            <w:vAlign w:val="center"/>
          </w:tcPr>
          <w:p w14:paraId="11480F48">
            <w:pPr>
              <w:snapToGrid w:val="0"/>
              <w:ind w:left="0" w:leftChars="0" w:right="0" w:rightChars="0" w:firstLine="0" w:firstLineChars="0"/>
              <w:jc w:val="center"/>
              <w:rPr>
                <w:rFonts w:hint="eastAsia" w:ascii="宋体" w:hAnsi="宋体" w:eastAsia="宋体" w:cs="宋体"/>
                <w:b w:val="0"/>
                <w:bCs/>
                <w:sz w:val="20"/>
                <w:szCs w:val="20"/>
              </w:rPr>
            </w:pPr>
            <w:r>
              <w:rPr>
                <w:rFonts w:hint="eastAsia" w:ascii="宋体" w:hAnsi="宋体" w:eastAsia="宋体" w:cs="宋体"/>
                <w:b w:val="0"/>
                <w:bCs/>
                <w:sz w:val="20"/>
                <w:szCs w:val="20"/>
              </w:rPr>
              <w:t>项目管理系统</w:t>
            </w:r>
          </w:p>
        </w:tc>
        <w:tc>
          <w:tcPr>
            <w:tcW w:w="2819" w:type="dxa"/>
            <w:tcMar>
              <w:left w:w="108" w:type="dxa"/>
              <w:right w:w="108" w:type="dxa"/>
            </w:tcMar>
            <w:vAlign w:val="center"/>
          </w:tcPr>
          <w:p w14:paraId="4B5117E6">
            <w:pPr>
              <w:snapToGrid w:val="0"/>
              <w:ind w:left="0" w:leftChars="0" w:right="0" w:rightChars="0" w:firstLine="0" w:firstLineChars="0"/>
              <w:jc w:val="left"/>
              <w:rPr>
                <w:rFonts w:hint="eastAsia" w:ascii="宋体" w:hAnsi="宋体" w:eastAsia="宋体" w:cs="宋体"/>
                <w:b w:val="0"/>
                <w:bCs/>
                <w:sz w:val="20"/>
                <w:szCs w:val="20"/>
              </w:rPr>
            </w:pPr>
            <w:r>
              <w:rPr>
                <w:rFonts w:hint="eastAsia" w:ascii="宋体" w:hAnsi="宋体" w:eastAsia="宋体" w:cs="宋体"/>
                <w:b w:val="0"/>
                <w:bCs/>
                <w:sz w:val="20"/>
                <w:szCs w:val="20"/>
              </w:rPr>
              <w:t>部分企业用于立项和进度跟踪</w:t>
            </w:r>
          </w:p>
        </w:tc>
        <w:tc>
          <w:tcPr>
            <w:tcW w:w="4032" w:type="dxa"/>
            <w:tcMar>
              <w:left w:w="108" w:type="dxa"/>
              <w:right w:w="108" w:type="dxa"/>
            </w:tcMar>
            <w:vAlign w:val="center"/>
          </w:tcPr>
          <w:p w14:paraId="572C1D80">
            <w:pPr>
              <w:snapToGrid w:val="0"/>
              <w:ind w:left="0" w:leftChars="0" w:right="0" w:rightChars="0" w:firstLine="0" w:firstLineChars="0"/>
              <w:jc w:val="left"/>
              <w:rPr>
                <w:rFonts w:hint="default" w:ascii="宋体" w:hAnsi="宋体" w:eastAsia="宋体" w:cs="宋体"/>
                <w:b w:val="0"/>
                <w:bCs/>
                <w:sz w:val="20"/>
                <w:szCs w:val="20"/>
                <w:lang w:val="en-US"/>
              </w:rPr>
            </w:pPr>
            <w:r>
              <w:rPr>
                <w:rFonts w:hint="eastAsia" w:ascii="宋体" w:hAnsi="宋体" w:eastAsia="宋体" w:cs="宋体"/>
                <w:b w:val="0"/>
                <w:bCs/>
                <w:sz w:val="20"/>
                <w:szCs w:val="20"/>
              </w:rPr>
              <w:t>与财务系统无数据交互，项目信息无法自动传递至费用归集环节</w:t>
            </w:r>
          </w:p>
        </w:tc>
      </w:tr>
      <w:tr w14:paraId="31DBB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2" w:hRule="atLeast"/>
          <w:jc w:val="center"/>
        </w:trPr>
        <w:tc>
          <w:tcPr>
            <w:tcW w:w="1671" w:type="dxa"/>
            <w:tcMar>
              <w:left w:w="108" w:type="dxa"/>
              <w:right w:w="108" w:type="dxa"/>
            </w:tcMar>
            <w:vAlign w:val="center"/>
          </w:tcPr>
          <w:p w14:paraId="3D2F0E5C">
            <w:pPr>
              <w:snapToGrid w:val="0"/>
              <w:ind w:left="0" w:leftChars="0" w:right="0" w:rightChars="0" w:firstLine="0" w:firstLineChars="0"/>
              <w:jc w:val="center"/>
              <w:rPr>
                <w:rFonts w:hint="eastAsia" w:ascii="宋体" w:hAnsi="宋体" w:eastAsia="宋体" w:cs="宋体"/>
                <w:b w:val="0"/>
                <w:bCs/>
                <w:sz w:val="20"/>
                <w:szCs w:val="20"/>
                <w:lang w:val="en-US" w:eastAsia="zh-CN"/>
              </w:rPr>
            </w:pPr>
            <w:r>
              <w:rPr>
                <w:rFonts w:hint="eastAsia" w:ascii="宋体" w:hAnsi="宋体" w:eastAsia="宋体" w:cs="宋体"/>
                <w:b w:val="0"/>
                <w:bCs/>
                <w:sz w:val="20"/>
                <w:szCs w:val="20"/>
              </w:rPr>
              <w:t>OA系统</w:t>
            </w:r>
          </w:p>
        </w:tc>
        <w:tc>
          <w:tcPr>
            <w:tcW w:w="2819" w:type="dxa"/>
            <w:tcMar>
              <w:left w:w="108" w:type="dxa"/>
              <w:right w:w="108" w:type="dxa"/>
            </w:tcMar>
            <w:vAlign w:val="center"/>
          </w:tcPr>
          <w:p w14:paraId="513BE504">
            <w:pPr>
              <w:snapToGrid w:val="0"/>
              <w:ind w:left="0" w:leftChars="0" w:right="0" w:rightChars="0" w:firstLine="0" w:firstLineChars="0"/>
              <w:jc w:val="left"/>
              <w:rPr>
                <w:rFonts w:hint="eastAsia" w:ascii="宋体" w:hAnsi="宋体" w:eastAsia="宋体" w:cs="宋体"/>
                <w:b w:val="0"/>
                <w:bCs/>
                <w:sz w:val="20"/>
                <w:szCs w:val="20"/>
              </w:rPr>
            </w:pPr>
            <w:r>
              <w:rPr>
                <w:rFonts w:hint="eastAsia" w:ascii="宋体" w:hAnsi="宋体" w:eastAsia="宋体" w:cs="宋体"/>
                <w:b w:val="0"/>
                <w:bCs/>
                <w:sz w:val="20"/>
                <w:szCs w:val="20"/>
              </w:rPr>
              <w:t>用于立项审批流程</w:t>
            </w:r>
          </w:p>
        </w:tc>
        <w:tc>
          <w:tcPr>
            <w:tcW w:w="4032" w:type="dxa"/>
            <w:tcMar>
              <w:left w:w="108" w:type="dxa"/>
              <w:right w:w="108" w:type="dxa"/>
            </w:tcMar>
            <w:vAlign w:val="center"/>
          </w:tcPr>
          <w:p w14:paraId="58F5A8D4">
            <w:pPr>
              <w:snapToGrid w:val="0"/>
              <w:ind w:left="0" w:leftChars="0" w:right="0" w:rightChars="0" w:firstLine="0" w:firstLineChars="0"/>
              <w:jc w:val="left"/>
              <w:rPr>
                <w:rFonts w:hint="eastAsia" w:ascii="宋体" w:hAnsi="宋体" w:eastAsia="宋体" w:cs="宋体"/>
                <w:b w:val="0"/>
                <w:bCs/>
                <w:sz w:val="20"/>
                <w:szCs w:val="20"/>
              </w:rPr>
            </w:pPr>
            <w:r>
              <w:rPr>
                <w:rFonts w:hint="eastAsia" w:ascii="宋体" w:hAnsi="宋体" w:eastAsia="宋体" w:cs="宋体"/>
                <w:b w:val="0"/>
                <w:bCs/>
                <w:sz w:val="20"/>
                <w:szCs w:val="20"/>
              </w:rPr>
              <w:t>审批结果不联动财务系统，需人工二次录入</w:t>
            </w:r>
          </w:p>
        </w:tc>
      </w:tr>
      <w:tr w14:paraId="10B6F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4" w:hRule="atLeast"/>
          <w:jc w:val="center"/>
        </w:trPr>
        <w:tc>
          <w:tcPr>
            <w:tcW w:w="1671" w:type="dxa"/>
            <w:tcMar>
              <w:left w:w="108" w:type="dxa"/>
              <w:right w:w="108" w:type="dxa"/>
            </w:tcMar>
            <w:vAlign w:val="center"/>
          </w:tcPr>
          <w:p w14:paraId="463F6392">
            <w:pPr>
              <w:snapToGrid w:val="0"/>
              <w:ind w:left="0" w:leftChars="0" w:right="0" w:rightChars="0" w:firstLine="0" w:firstLineChars="0"/>
              <w:jc w:val="center"/>
              <w:rPr>
                <w:rFonts w:hint="eastAsia" w:ascii="宋体" w:hAnsi="宋体" w:eastAsia="宋体" w:cs="宋体"/>
                <w:b w:val="0"/>
                <w:bCs/>
                <w:sz w:val="20"/>
                <w:szCs w:val="20"/>
              </w:rPr>
            </w:pPr>
            <w:r>
              <w:rPr>
                <w:rFonts w:hint="eastAsia" w:ascii="宋体" w:hAnsi="宋体" w:eastAsia="宋体" w:cs="宋体"/>
                <w:b w:val="0"/>
                <w:bCs/>
                <w:sz w:val="20"/>
                <w:szCs w:val="20"/>
              </w:rPr>
              <w:t>Excel工具</w:t>
            </w:r>
          </w:p>
        </w:tc>
        <w:tc>
          <w:tcPr>
            <w:tcW w:w="2819" w:type="dxa"/>
            <w:tcMar>
              <w:left w:w="108" w:type="dxa"/>
              <w:right w:w="108" w:type="dxa"/>
            </w:tcMar>
            <w:vAlign w:val="center"/>
          </w:tcPr>
          <w:p w14:paraId="1746D8CB">
            <w:pPr>
              <w:snapToGrid w:val="0"/>
              <w:ind w:left="0" w:leftChars="0" w:right="0" w:rightChars="0" w:firstLine="0" w:firstLineChars="0"/>
              <w:jc w:val="left"/>
              <w:rPr>
                <w:rFonts w:hint="eastAsia" w:ascii="宋体" w:hAnsi="宋体" w:eastAsia="宋体" w:cs="宋体"/>
                <w:b w:val="0"/>
                <w:bCs/>
                <w:sz w:val="20"/>
                <w:szCs w:val="20"/>
                <w:lang w:val="en-US" w:eastAsia="zh-CN"/>
              </w:rPr>
            </w:pPr>
            <w:r>
              <w:rPr>
                <w:rFonts w:hint="eastAsia" w:ascii="宋体" w:hAnsi="宋体" w:eastAsia="宋体" w:cs="宋体"/>
                <w:b w:val="0"/>
                <w:bCs/>
                <w:sz w:val="20"/>
                <w:szCs w:val="20"/>
              </w:rPr>
              <w:t>辅助账、申报表、分析报表均依赖Exce</w:t>
            </w:r>
            <w:r>
              <w:rPr>
                <w:rFonts w:hint="eastAsia" w:ascii="宋体" w:hAnsi="宋体" w:eastAsia="宋体" w:cs="宋体"/>
                <w:b w:val="0"/>
                <w:bCs/>
                <w:sz w:val="20"/>
                <w:szCs w:val="20"/>
                <w:lang w:val="en-US" w:eastAsia="zh-CN"/>
              </w:rPr>
              <w:t>l</w:t>
            </w:r>
          </w:p>
        </w:tc>
        <w:tc>
          <w:tcPr>
            <w:tcW w:w="4032" w:type="dxa"/>
            <w:tcMar>
              <w:left w:w="108" w:type="dxa"/>
              <w:right w:w="108" w:type="dxa"/>
            </w:tcMar>
            <w:vAlign w:val="center"/>
          </w:tcPr>
          <w:p w14:paraId="1778BFB9">
            <w:pPr>
              <w:snapToGrid w:val="0"/>
              <w:ind w:left="0" w:leftChars="0" w:right="0" w:rightChars="0" w:firstLine="0" w:firstLineChars="0"/>
              <w:jc w:val="left"/>
              <w:rPr>
                <w:rFonts w:hint="eastAsia" w:ascii="宋体" w:hAnsi="宋体" w:eastAsia="宋体" w:cs="宋体"/>
                <w:b w:val="0"/>
                <w:bCs/>
                <w:sz w:val="20"/>
                <w:szCs w:val="20"/>
              </w:rPr>
            </w:pPr>
            <w:r>
              <w:rPr>
                <w:rFonts w:hint="eastAsia" w:ascii="宋体" w:hAnsi="宋体" w:eastAsia="宋体" w:cs="宋体"/>
                <w:b w:val="0"/>
                <w:bCs/>
                <w:sz w:val="20"/>
                <w:szCs w:val="20"/>
              </w:rPr>
              <w:t>版本混乱、公式易错、数据无法追溯、多人协作困难</w:t>
            </w:r>
          </w:p>
        </w:tc>
      </w:tr>
      <w:tr w14:paraId="5DA24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3" w:hRule="atLeast"/>
          <w:jc w:val="center"/>
        </w:trPr>
        <w:tc>
          <w:tcPr>
            <w:tcW w:w="1671" w:type="dxa"/>
            <w:tcMar>
              <w:left w:w="108" w:type="dxa"/>
              <w:right w:w="108" w:type="dxa"/>
            </w:tcMar>
            <w:vAlign w:val="center"/>
          </w:tcPr>
          <w:p w14:paraId="05BCA05E">
            <w:pPr>
              <w:snapToGrid w:val="0"/>
              <w:ind w:left="0" w:leftChars="0" w:right="0" w:rightChars="0" w:firstLine="0" w:firstLineChars="0"/>
              <w:jc w:val="center"/>
              <w:rPr>
                <w:rFonts w:hint="default" w:ascii="宋体" w:hAnsi="宋体" w:eastAsia="宋体" w:cs="宋体"/>
                <w:b w:val="0"/>
                <w:bCs/>
                <w:sz w:val="20"/>
                <w:szCs w:val="20"/>
                <w:lang w:val="en-US" w:eastAsia="zh-CN"/>
              </w:rPr>
            </w:pPr>
            <w:r>
              <w:rPr>
                <w:rFonts w:hint="eastAsia" w:ascii="宋体" w:hAnsi="宋体" w:eastAsia="宋体" w:cs="宋体"/>
                <w:b w:val="0"/>
                <w:bCs/>
                <w:sz w:val="20"/>
                <w:szCs w:val="20"/>
                <w:highlight w:val="none"/>
                <w:lang w:val="en-US" w:eastAsia="zh-CN"/>
              </w:rPr>
              <w:t>HR系统</w:t>
            </w:r>
          </w:p>
        </w:tc>
        <w:tc>
          <w:tcPr>
            <w:tcW w:w="2819" w:type="dxa"/>
            <w:tcMar>
              <w:left w:w="108" w:type="dxa"/>
              <w:right w:w="108" w:type="dxa"/>
            </w:tcMar>
            <w:vAlign w:val="center"/>
          </w:tcPr>
          <w:p w14:paraId="06281EAD">
            <w:pPr>
              <w:snapToGrid w:val="0"/>
              <w:ind w:left="0" w:leftChars="0" w:right="0" w:rightChars="0" w:firstLine="0" w:firstLineChars="0"/>
              <w:jc w:val="left"/>
              <w:rPr>
                <w:rFonts w:hint="default" w:ascii="宋体" w:hAnsi="宋体" w:eastAsia="宋体" w:cs="宋体"/>
                <w:b w:val="0"/>
                <w:bCs/>
                <w:sz w:val="20"/>
                <w:szCs w:val="20"/>
                <w:lang w:val="en-US" w:eastAsia="zh-CN"/>
              </w:rPr>
            </w:pPr>
            <w:r>
              <w:rPr>
                <w:rFonts w:hint="eastAsia" w:ascii="宋体" w:hAnsi="宋体" w:eastAsia="宋体" w:cs="宋体"/>
                <w:b w:val="0"/>
                <w:bCs/>
                <w:sz w:val="20"/>
                <w:szCs w:val="20"/>
              </w:rPr>
              <w:t>用于</w:t>
            </w:r>
            <w:r>
              <w:rPr>
                <w:rFonts w:hint="eastAsia" w:ascii="宋体" w:hAnsi="宋体" w:eastAsia="宋体" w:cs="宋体"/>
                <w:b w:val="0"/>
                <w:bCs/>
                <w:sz w:val="20"/>
                <w:szCs w:val="20"/>
                <w:lang w:val="en-US" w:eastAsia="zh-CN"/>
              </w:rPr>
              <w:t>人员信息维护、薪酬计算</w:t>
            </w:r>
          </w:p>
        </w:tc>
        <w:tc>
          <w:tcPr>
            <w:tcW w:w="4032" w:type="dxa"/>
            <w:tcMar>
              <w:left w:w="108" w:type="dxa"/>
              <w:right w:w="108" w:type="dxa"/>
            </w:tcMar>
            <w:vAlign w:val="center"/>
          </w:tcPr>
          <w:p w14:paraId="5D819C27">
            <w:pPr>
              <w:snapToGrid w:val="0"/>
              <w:ind w:left="0" w:leftChars="0" w:right="0" w:rightChars="0" w:firstLine="0" w:firstLineChars="0"/>
              <w:jc w:val="left"/>
              <w:rPr>
                <w:rFonts w:hint="default" w:ascii="宋体" w:hAnsi="宋体" w:eastAsia="宋体" w:cs="宋体"/>
                <w:b w:val="0"/>
                <w:bCs/>
                <w:sz w:val="20"/>
                <w:szCs w:val="20"/>
                <w:lang w:val="en-US" w:eastAsia="zh-CN"/>
              </w:rPr>
            </w:pPr>
            <w:r>
              <w:rPr>
                <w:rFonts w:hint="eastAsia" w:ascii="宋体" w:hAnsi="宋体" w:eastAsia="宋体" w:cs="宋体"/>
                <w:b w:val="0"/>
                <w:bCs/>
                <w:sz w:val="20"/>
                <w:szCs w:val="20"/>
              </w:rPr>
              <w:t>无法自动</w:t>
            </w:r>
            <w:r>
              <w:rPr>
                <w:rFonts w:hint="eastAsia" w:ascii="宋体" w:hAnsi="宋体" w:eastAsia="宋体" w:cs="宋体"/>
                <w:b w:val="0"/>
                <w:bCs/>
                <w:sz w:val="20"/>
                <w:szCs w:val="20"/>
                <w:lang w:val="en-US" w:eastAsia="zh-CN"/>
              </w:rPr>
              <w:t>在</w:t>
            </w:r>
            <w:r>
              <w:rPr>
                <w:rFonts w:hint="eastAsia" w:ascii="宋体" w:hAnsi="宋体" w:eastAsia="宋体" w:cs="宋体"/>
                <w:b w:val="0"/>
                <w:bCs/>
                <w:sz w:val="20"/>
                <w:szCs w:val="20"/>
              </w:rPr>
              <w:t>研发</w:t>
            </w:r>
            <w:r>
              <w:rPr>
                <w:rFonts w:hint="eastAsia" w:ascii="宋体" w:hAnsi="宋体" w:eastAsia="宋体" w:cs="宋体"/>
                <w:b w:val="0"/>
                <w:bCs/>
                <w:sz w:val="20"/>
                <w:szCs w:val="20"/>
                <w:lang w:val="en-US" w:eastAsia="zh-CN"/>
              </w:rPr>
              <w:t>项目之间分摊人员人工费，</w:t>
            </w:r>
            <w:r>
              <w:rPr>
                <w:rFonts w:hint="eastAsia" w:ascii="宋体" w:hAnsi="宋体" w:eastAsia="宋体" w:cs="宋体"/>
                <w:b w:val="0"/>
                <w:bCs/>
                <w:sz w:val="20"/>
                <w:szCs w:val="20"/>
              </w:rPr>
              <w:t>需人工</w:t>
            </w:r>
            <w:r>
              <w:rPr>
                <w:rFonts w:hint="eastAsia" w:ascii="宋体" w:hAnsi="宋体" w:eastAsia="宋体" w:cs="宋体"/>
                <w:b w:val="0"/>
                <w:bCs/>
                <w:sz w:val="20"/>
                <w:szCs w:val="20"/>
                <w:lang w:val="en-US" w:eastAsia="zh-CN"/>
              </w:rPr>
              <w:t>识别分摊的人员范围</w:t>
            </w:r>
          </w:p>
        </w:tc>
      </w:tr>
    </w:tbl>
    <w:p w14:paraId="2393D6E3"/>
    <w:p w14:paraId="426C193F">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28"/>
          <w:szCs w:val="28"/>
          <w:lang w:val="en-US" w:eastAsia="zh-CN"/>
        </w:rPr>
      </w:pPr>
      <w:bookmarkStart w:id="19" w:name="_Toc32491"/>
      <w:r>
        <w:rPr>
          <w:rFonts w:hint="eastAsia" w:asciiTheme="majorEastAsia" w:hAnsiTheme="majorEastAsia" w:eastAsiaTheme="majorEastAsia" w:cstheme="majorEastAsia"/>
          <w:sz w:val="28"/>
          <w:szCs w:val="28"/>
          <w:lang w:val="en-US" w:eastAsia="zh-CN"/>
        </w:rPr>
        <w:t>2.2 核心痛点</w:t>
      </w:r>
      <w:bookmarkEnd w:id="19"/>
    </w:p>
    <w:p w14:paraId="63AC8C9B">
      <w:pPr>
        <w:widowControl w:val="0"/>
        <w:numPr>
          <w:ilvl w:val="0"/>
          <w:numId w:val="0"/>
        </w:numPr>
        <w:spacing w:after="0"/>
        <w:jc w:val="both"/>
        <w:rPr>
          <w:rFonts w:hint="eastAsia"/>
        </w:rPr>
      </w:pPr>
    </w:p>
    <w:tbl>
      <w:tblPr>
        <w:tblStyle w:val="13"/>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98"/>
        <w:gridCol w:w="3033"/>
        <w:gridCol w:w="2071"/>
        <w:gridCol w:w="2419"/>
      </w:tblGrid>
      <w:tr w14:paraId="22D8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998" w:type="dxa"/>
            <w:tcMar>
              <w:left w:w="108" w:type="dxa"/>
              <w:right w:w="108" w:type="dxa"/>
            </w:tcMar>
            <w:vAlign w:val="center"/>
          </w:tcPr>
          <w:p w14:paraId="08E92BDB">
            <w:pPr>
              <w:widowControl w:val="0"/>
              <w:snapToGrid w:val="0"/>
              <w:spacing w:after="120" w:line="240" w:lineRule="auto"/>
              <w:ind w:left="0" w:leftChars="0" w:right="0" w:rightChars="0" w:firstLine="0" w:firstLineChars="0"/>
              <w:jc w:val="center"/>
              <w:rPr>
                <w:rFonts w:hint="eastAsia" w:ascii="宋体" w:hAnsi="宋体" w:eastAsia="宋体" w:cs="宋体"/>
                <w:b/>
                <w:i w:val="0"/>
                <w:strike w:val="0"/>
                <w:color w:val="auto"/>
                <w:kern w:val="2"/>
                <w:sz w:val="20"/>
                <w:szCs w:val="20"/>
                <w:u w:val="none"/>
                <w:lang w:val="en-US" w:eastAsia="zh-CN" w:bidi="ar-SA"/>
              </w:rPr>
            </w:pPr>
            <w:r>
              <w:rPr>
                <w:rFonts w:hint="eastAsia" w:ascii="宋体" w:hAnsi="宋体" w:eastAsia="宋体" w:cs="宋体"/>
                <w:b/>
                <w:i w:val="0"/>
                <w:strike w:val="0"/>
                <w:color w:val="auto"/>
                <w:kern w:val="2"/>
                <w:sz w:val="20"/>
                <w:szCs w:val="20"/>
                <w:u w:val="none"/>
                <w:lang w:val="en-US" w:eastAsia="zh-CN" w:bidi="ar-SA"/>
              </w:rPr>
              <w:t>痛点</w:t>
            </w:r>
          </w:p>
        </w:tc>
        <w:tc>
          <w:tcPr>
            <w:tcW w:w="3033" w:type="dxa"/>
            <w:tcMar>
              <w:left w:w="108" w:type="dxa"/>
              <w:right w:w="108" w:type="dxa"/>
            </w:tcMar>
            <w:vAlign w:val="center"/>
          </w:tcPr>
          <w:p w14:paraId="2CFFD9F3">
            <w:pPr>
              <w:snapToGrid w:val="0"/>
              <w:spacing w:after="120" w:line="240" w:lineRule="auto"/>
              <w:ind w:left="0" w:leftChars="0" w:right="0" w:rightChars="0" w:firstLine="0" w:firstLineChars="0"/>
              <w:jc w:val="center"/>
              <w:rPr>
                <w:rFonts w:hint="eastAsia" w:ascii="宋体" w:hAnsi="宋体" w:eastAsia="宋体" w:cs="宋体"/>
                <w:b/>
                <w:i w:val="0"/>
                <w:strike w:val="0"/>
                <w:color w:val="auto"/>
                <w:sz w:val="20"/>
                <w:szCs w:val="20"/>
                <w:u w:val="none"/>
              </w:rPr>
            </w:pPr>
            <w:r>
              <w:rPr>
                <w:rFonts w:hint="eastAsia" w:ascii="宋体" w:hAnsi="宋体" w:eastAsia="宋体" w:cs="宋体"/>
                <w:b/>
                <w:i w:val="0"/>
                <w:strike w:val="0"/>
                <w:color w:val="auto"/>
                <w:sz w:val="20"/>
                <w:szCs w:val="20"/>
                <w:u w:val="none"/>
              </w:rPr>
              <w:t>具体表现</w:t>
            </w:r>
          </w:p>
        </w:tc>
        <w:tc>
          <w:tcPr>
            <w:tcW w:w="2071" w:type="dxa"/>
            <w:tcMar>
              <w:left w:w="108" w:type="dxa"/>
              <w:right w:w="108" w:type="dxa"/>
            </w:tcMar>
            <w:vAlign w:val="center"/>
          </w:tcPr>
          <w:p w14:paraId="2D71E4B3">
            <w:pPr>
              <w:snapToGrid w:val="0"/>
              <w:spacing w:after="120" w:line="240" w:lineRule="auto"/>
              <w:ind w:left="0" w:leftChars="0" w:right="0" w:rightChars="0" w:firstLine="0" w:firstLineChars="0"/>
              <w:jc w:val="center"/>
              <w:rPr>
                <w:rFonts w:hint="eastAsia" w:ascii="宋体" w:hAnsi="宋体" w:eastAsia="宋体" w:cs="宋体"/>
                <w:b/>
                <w:i w:val="0"/>
                <w:strike w:val="0"/>
                <w:color w:val="auto"/>
                <w:sz w:val="20"/>
                <w:szCs w:val="20"/>
                <w:u w:val="none"/>
              </w:rPr>
            </w:pPr>
            <w:r>
              <w:rPr>
                <w:rFonts w:hint="eastAsia" w:ascii="宋体" w:hAnsi="宋体" w:eastAsia="宋体" w:cs="宋体"/>
                <w:b/>
                <w:i w:val="0"/>
                <w:strike w:val="0"/>
                <w:color w:val="auto"/>
                <w:sz w:val="20"/>
                <w:szCs w:val="20"/>
                <w:u w:val="none"/>
              </w:rPr>
              <w:t>风险后果</w:t>
            </w:r>
          </w:p>
        </w:tc>
        <w:tc>
          <w:tcPr>
            <w:tcW w:w="2419" w:type="dxa"/>
            <w:tcMar>
              <w:left w:w="108" w:type="dxa"/>
              <w:right w:w="108" w:type="dxa"/>
            </w:tcMar>
            <w:vAlign w:val="center"/>
          </w:tcPr>
          <w:p w14:paraId="27B68405">
            <w:pPr>
              <w:snapToGrid w:val="0"/>
              <w:spacing w:after="120" w:line="240" w:lineRule="auto"/>
              <w:ind w:left="0" w:leftChars="0" w:right="0" w:rightChars="0" w:firstLine="0" w:firstLineChars="0"/>
              <w:jc w:val="center"/>
              <w:rPr>
                <w:rFonts w:hint="default" w:ascii="宋体" w:hAnsi="宋体" w:eastAsia="宋体" w:cs="宋体"/>
                <w:b/>
                <w:i w:val="0"/>
                <w:strike w:val="0"/>
                <w:color w:val="auto"/>
                <w:sz w:val="20"/>
                <w:szCs w:val="20"/>
                <w:u w:val="none"/>
                <w:lang w:val="en-US" w:eastAsia="zh-CN"/>
              </w:rPr>
            </w:pPr>
            <w:r>
              <w:rPr>
                <w:rFonts w:hint="eastAsia" w:ascii="宋体" w:hAnsi="宋体" w:eastAsia="宋体" w:cs="宋体"/>
                <w:b/>
                <w:i w:val="0"/>
                <w:strike w:val="0"/>
                <w:color w:val="auto"/>
                <w:sz w:val="20"/>
                <w:szCs w:val="20"/>
                <w:highlight w:val="none"/>
                <w:u w:val="none"/>
                <w:lang w:val="en-US" w:eastAsia="zh-CN"/>
              </w:rPr>
              <w:t>解决方案</w:t>
            </w:r>
          </w:p>
        </w:tc>
      </w:tr>
      <w:tr w14:paraId="65AA3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49" w:hRule="atLeast"/>
          <w:jc w:val="center"/>
        </w:trPr>
        <w:tc>
          <w:tcPr>
            <w:tcW w:w="998" w:type="dxa"/>
            <w:tcMar>
              <w:left w:w="108" w:type="dxa"/>
              <w:right w:w="108" w:type="dxa"/>
            </w:tcMar>
            <w:vAlign w:val="center"/>
          </w:tcPr>
          <w:p w14:paraId="73FB25B9">
            <w:pPr>
              <w:snapToGrid w:val="0"/>
              <w:spacing w:after="120" w:line="240" w:lineRule="auto"/>
              <w:ind w:left="0" w:leftChars="0" w:right="0" w:rightChars="0" w:firstLine="0" w:firstLineChars="0"/>
              <w:jc w:val="both"/>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研发活动判定标准不统一</w:t>
            </w:r>
          </w:p>
        </w:tc>
        <w:tc>
          <w:tcPr>
            <w:tcW w:w="3033" w:type="dxa"/>
            <w:tcMar>
              <w:left w:w="108" w:type="dxa"/>
              <w:right w:w="108" w:type="dxa"/>
            </w:tcMar>
            <w:vAlign w:val="center"/>
          </w:tcPr>
          <w:p w14:paraId="4DE93542">
            <w:pPr>
              <w:snapToGrid w:val="0"/>
              <w:spacing w:after="120" w:line="240" w:lineRule="auto"/>
              <w:ind w:left="0" w:leftChars="0" w:right="0" w:rightChars="0" w:firstLine="0" w:firstLineChars="0"/>
              <w:jc w:val="both"/>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研发、财务对</w:t>
            </w:r>
            <w:r>
              <w:rPr>
                <w:rFonts w:hint="eastAsia" w:ascii="宋体" w:hAnsi="宋体" w:eastAsia="宋体" w:cs="宋体"/>
                <w:b w:val="0"/>
                <w:i w:val="0"/>
                <w:strike w:val="0"/>
                <w:color w:val="auto"/>
                <w:sz w:val="20"/>
                <w:szCs w:val="20"/>
                <w:u w:val="none"/>
                <w:lang w:eastAsia="zh-CN"/>
              </w:rPr>
              <w:t>“</w:t>
            </w:r>
            <w:r>
              <w:rPr>
                <w:rFonts w:hint="eastAsia" w:ascii="宋体" w:hAnsi="宋体" w:eastAsia="宋体" w:cs="宋体"/>
                <w:b w:val="0"/>
                <w:i w:val="0"/>
                <w:strike w:val="0"/>
                <w:color w:val="auto"/>
                <w:sz w:val="20"/>
                <w:szCs w:val="20"/>
                <w:u w:val="none"/>
              </w:rPr>
              <w:t>何为研发</w:t>
            </w:r>
            <w:r>
              <w:rPr>
                <w:rFonts w:hint="eastAsia" w:ascii="宋体" w:hAnsi="宋体" w:eastAsia="宋体" w:cs="宋体"/>
                <w:b w:val="0"/>
                <w:i w:val="0"/>
                <w:strike w:val="0"/>
                <w:color w:val="auto"/>
                <w:sz w:val="20"/>
                <w:szCs w:val="20"/>
                <w:u w:val="none"/>
                <w:lang w:eastAsia="zh-CN"/>
              </w:rPr>
              <w:t>”</w:t>
            </w:r>
            <w:r>
              <w:rPr>
                <w:rFonts w:hint="eastAsia" w:ascii="宋体" w:hAnsi="宋体" w:eastAsia="宋体" w:cs="宋体"/>
                <w:b w:val="0"/>
                <w:i w:val="0"/>
                <w:strike w:val="0"/>
                <w:color w:val="auto"/>
                <w:sz w:val="20"/>
                <w:szCs w:val="20"/>
                <w:u w:val="none"/>
              </w:rPr>
              <w:t>理解各异；同一项目不同部门结论相左；缺乏书面判定依据</w:t>
            </w:r>
          </w:p>
        </w:tc>
        <w:tc>
          <w:tcPr>
            <w:tcW w:w="2071" w:type="dxa"/>
            <w:tcMar>
              <w:left w:w="108" w:type="dxa"/>
              <w:right w:w="108" w:type="dxa"/>
            </w:tcMar>
            <w:vAlign w:val="center"/>
          </w:tcPr>
          <w:p w14:paraId="35088861">
            <w:pPr>
              <w:snapToGrid w:val="0"/>
              <w:spacing w:after="120" w:line="240" w:lineRule="auto"/>
              <w:ind w:left="0" w:leftChars="0" w:right="0" w:rightChars="0" w:firstLine="0" w:firstLineChars="0"/>
              <w:jc w:val="both"/>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税务稽查时无法自证，面临纳税调整、补税及滞纳金风险</w:t>
            </w:r>
          </w:p>
        </w:tc>
        <w:tc>
          <w:tcPr>
            <w:tcW w:w="2419" w:type="dxa"/>
            <w:tcMar>
              <w:left w:w="108" w:type="dxa"/>
              <w:right w:w="108" w:type="dxa"/>
            </w:tcMar>
            <w:vAlign w:val="center"/>
          </w:tcPr>
          <w:p w14:paraId="628FA084">
            <w:pPr>
              <w:snapToGrid w:val="0"/>
              <w:spacing w:after="120" w:line="240" w:lineRule="auto"/>
              <w:ind w:left="0" w:leftChars="0" w:right="0" w:rightChars="0" w:firstLine="0" w:firstLineChars="0"/>
              <w:jc w:val="both"/>
              <w:rPr>
                <w:rFonts w:hint="eastAsia" w:ascii="宋体" w:hAnsi="宋体" w:eastAsia="宋体" w:cs="宋体"/>
                <w:b w:val="0"/>
                <w:i w:val="0"/>
                <w:strike w:val="0"/>
                <w:color w:val="auto"/>
                <w:sz w:val="20"/>
                <w:szCs w:val="20"/>
                <w:u w:val="none"/>
                <w:lang w:val="en-US" w:eastAsia="zh-CN"/>
              </w:rPr>
            </w:pPr>
            <w:r>
              <w:rPr>
                <w:rFonts w:hint="eastAsia" w:ascii="宋体" w:hAnsi="宋体" w:eastAsia="宋体" w:cs="宋体"/>
                <w:b w:val="0"/>
                <w:i w:val="0"/>
                <w:strike w:val="0"/>
                <w:color w:val="auto"/>
                <w:sz w:val="20"/>
                <w:szCs w:val="20"/>
                <w:u w:val="none"/>
                <w:lang w:val="en-US" w:eastAsia="zh-CN"/>
              </w:rPr>
              <w:t>结合税务政策法规和税务案例，系统通过AI提供辅助判断（</w:t>
            </w:r>
            <w:r>
              <w:rPr>
                <w:rFonts w:hint="eastAsia" w:ascii="宋体" w:hAnsi="宋体" w:eastAsia="宋体" w:cs="宋体"/>
                <w:b w:val="0"/>
                <w:i w:val="0"/>
                <w:strike w:val="0"/>
                <w:color w:val="0000FF"/>
                <w:sz w:val="20"/>
                <w:szCs w:val="20"/>
                <w:u w:val="none"/>
                <w:lang w:val="en-US" w:eastAsia="zh-CN"/>
              </w:rPr>
              <w:t>二期</w:t>
            </w:r>
            <w:r>
              <w:rPr>
                <w:rFonts w:hint="eastAsia" w:ascii="宋体" w:hAnsi="宋体" w:eastAsia="宋体" w:cs="宋体"/>
                <w:b w:val="0"/>
                <w:i w:val="0"/>
                <w:strike w:val="0"/>
                <w:color w:val="auto"/>
                <w:sz w:val="20"/>
                <w:szCs w:val="20"/>
                <w:u w:val="none"/>
                <w:lang w:val="en-US" w:eastAsia="zh-CN"/>
              </w:rPr>
              <w:t>），并将创新性纳入项目必填信息。</w:t>
            </w:r>
          </w:p>
        </w:tc>
      </w:tr>
      <w:tr w14:paraId="4C681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998" w:type="dxa"/>
            <w:tcMar>
              <w:left w:w="108" w:type="dxa"/>
              <w:right w:w="108" w:type="dxa"/>
            </w:tcMar>
            <w:vAlign w:val="center"/>
          </w:tcPr>
          <w:p w14:paraId="4E7FFD98">
            <w:pPr>
              <w:snapToGrid w:val="0"/>
              <w:spacing w:after="120" w:line="240" w:lineRule="auto"/>
              <w:ind w:left="0" w:leftChars="0" w:right="0" w:rightChars="0" w:firstLine="0" w:firstLineChars="0"/>
              <w:jc w:val="both"/>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费用归集口径不一致</w:t>
            </w:r>
          </w:p>
        </w:tc>
        <w:tc>
          <w:tcPr>
            <w:tcW w:w="3033" w:type="dxa"/>
            <w:tcMar>
              <w:left w:w="108" w:type="dxa"/>
              <w:right w:w="108" w:type="dxa"/>
            </w:tcMar>
            <w:vAlign w:val="center"/>
          </w:tcPr>
          <w:p w14:paraId="1ABB6F46">
            <w:pPr>
              <w:snapToGrid w:val="0"/>
              <w:spacing w:after="120" w:line="240" w:lineRule="auto"/>
              <w:ind w:left="0" w:leftChars="0" w:right="0" w:rightChars="0" w:firstLine="0" w:firstLineChars="0"/>
              <w:jc w:val="both"/>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财务按会计准则归集，税务按税法口径调整，双方差异无台账记录；共用资源分摊方法随意</w:t>
            </w:r>
          </w:p>
        </w:tc>
        <w:tc>
          <w:tcPr>
            <w:tcW w:w="2071" w:type="dxa"/>
            <w:tcMar>
              <w:left w:w="108" w:type="dxa"/>
              <w:right w:w="108" w:type="dxa"/>
            </w:tcMar>
            <w:vAlign w:val="center"/>
          </w:tcPr>
          <w:p w14:paraId="634B357A">
            <w:pPr>
              <w:snapToGrid w:val="0"/>
              <w:spacing w:after="120" w:line="240" w:lineRule="auto"/>
              <w:ind w:left="0" w:leftChars="0" w:right="0" w:rightChars="0" w:firstLine="0" w:firstLineChars="0"/>
              <w:jc w:val="both"/>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申报数据与财务账差异无法解释，引发税务质疑</w:t>
            </w:r>
          </w:p>
        </w:tc>
        <w:tc>
          <w:tcPr>
            <w:tcW w:w="2419" w:type="dxa"/>
            <w:tcMar>
              <w:left w:w="108" w:type="dxa"/>
              <w:right w:w="108" w:type="dxa"/>
            </w:tcMar>
            <w:vAlign w:val="center"/>
          </w:tcPr>
          <w:p w14:paraId="4D64A1F0">
            <w:pPr>
              <w:snapToGrid w:val="0"/>
              <w:spacing w:after="120" w:line="240" w:lineRule="auto"/>
              <w:ind w:left="0" w:leftChars="0" w:right="0" w:rightChars="0" w:firstLine="0" w:firstLineChars="0"/>
              <w:jc w:val="both"/>
              <w:rPr>
                <w:rFonts w:hint="default" w:ascii="宋体" w:hAnsi="宋体" w:eastAsia="宋体" w:cs="宋体"/>
                <w:b w:val="0"/>
                <w:i w:val="0"/>
                <w:strike w:val="0"/>
                <w:color w:val="auto"/>
                <w:sz w:val="20"/>
                <w:szCs w:val="20"/>
                <w:u w:val="none"/>
                <w:lang w:val="en-US" w:eastAsia="zh-CN"/>
              </w:rPr>
            </w:pPr>
            <w:r>
              <w:rPr>
                <w:rFonts w:hint="eastAsia" w:ascii="宋体" w:hAnsi="宋体" w:eastAsia="宋体" w:cs="宋体"/>
                <w:b w:val="0"/>
                <w:i w:val="0"/>
                <w:strike w:val="0"/>
                <w:color w:val="auto"/>
                <w:sz w:val="20"/>
                <w:szCs w:val="20"/>
                <w:u w:val="none"/>
                <w:lang w:val="en-US" w:eastAsia="zh-CN"/>
              </w:rPr>
              <w:t>通过标准税务科目规范费用归集口径，提示归集内容，通过映射关系形成数据转换逻辑，并支持多口径归集规则。</w:t>
            </w:r>
          </w:p>
        </w:tc>
      </w:tr>
      <w:tr w14:paraId="4D5E0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998" w:type="dxa"/>
            <w:tcMar>
              <w:left w:w="108" w:type="dxa"/>
              <w:right w:w="108" w:type="dxa"/>
            </w:tcMar>
            <w:vAlign w:val="center"/>
          </w:tcPr>
          <w:p w14:paraId="099E5653">
            <w:pPr>
              <w:snapToGrid w:val="0"/>
              <w:spacing w:after="120" w:line="240" w:lineRule="auto"/>
              <w:ind w:left="0" w:leftChars="0" w:right="0" w:rightChars="0" w:firstLine="0" w:firstLineChars="0"/>
              <w:jc w:val="both"/>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辅助账编制工作量大</w:t>
            </w:r>
          </w:p>
        </w:tc>
        <w:tc>
          <w:tcPr>
            <w:tcW w:w="3033" w:type="dxa"/>
            <w:tcMar>
              <w:left w:w="108" w:type="dxa"/>
              <w:right w:w="108" w:type="dxa"/>
            </w:tcMar>
            <w:vAlign w:val="center"/>
          </w:tcPr>
          <w:p w14:paraId="0B17D7BB">
            <w:pPr>
              <w:snapToGrid w:val="0"/>
              <w:spacing w:after="120" w:line="240" w:lineRule="auto"/>
              <w:ind w:left="0" w:leftChars="0" w:right="0" w:rightChars="0" w:firstLine="0" w:firstLineChars="0"/>
              <w:jc w:val="both"/>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每项目每年需手工维护12期明细；跨年度项目逐年累加；汇总表需人工勾稽校验</w:t>
            </w:r>
          </w:p>
        </w:tc>
        <w:tc>
          <w:tcPr>
            <w:tcW w:w="2071" w:type="dxa"/>
            <w:tcMar>
              <w:left w:w="108" w:type="dxa"/>
              <w:right w:w="108" w:type="dxa"/>
            </w:tcMar>
            <w:vAlign w:val="center"/>
          </w:tcPr>
          <w:p w14:paraId="664767AE">
            <w:pPr>
              <w:snapToGrid w:val="0"/>
              <w:spacing w:after="120" w:line="240" w:lineRule="auto"/>
              <w:ind w:left="0" w:leftChars="0" w:right="0" w:rightChars="0" w:firstLine="0" w:firstLineChars="0"/>
              <w:jc w:val="both"/>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编制耗时占税务岗30%以上工时；差错率高，返工频繁</w:t>
            </w:r>
          </w:p>
        </w:tc>
        <w:tc>
          <w:tcPr>
            <w:tcW w:w="2419" w:type="dxa"/>
            <w:tcMar>
              <w:left w:w="108" w:type="dxa"/>
              <w:right w:w="108" w:type="dxa"/>
            </w:tcMar>
            <w:vAlign w:val="center"/>
          </w:tcPr>
          <w:p w14:paraId="0B51041A">
            <w:pPr>
              <w:snapToGrid w:val="0"/>
              <w:spacing w:after="120" w:line="240" w:lineRule="auto"/>
              <w:ind w:left="0" w:leftChars="0" w:right="0" w:rightChars="0" w:firstLine="0" w:firstLineChars="0"/>
              <w:jc w:val="both"/>
              <w:rPr>
                <w:rFonts w:hint="default" w:ascii="宋体" w:hAnsi="宋体" w:eastAsia="宋体" w:cs="宋体"/>
                <w:b w:val="0"/>
                <w:i w:val="0"/>
                <w:strike w:val="0"/>
                <w:color w:val="auto"/>
                <w:sz w:val="20"/>
                <w:szCs w:val="20"/>
                <w:u w:val="none"/>
                <w:lang w:val="en-US" w:eastAsia="zh-CN"/>
              </w:rPr>
            </w:pPr>
            <w:r>
              <w:rPr>
                <w:rFonts w:hint="eastAsia" w:ascii="宋体" w:hAnsi="宋体" w:eastAsia="宋体" w:cs="宋体"/>
                <w:b w:val="0"/>
                <w:i w:val="0"/>
                <w:strike w:val="0"/>
                <w:color w:val="auto"/>
                <w:sz w:val="20"/>
                <w:szCs w:val="20"/>
                <w:u w:val="none"/>
                <w:lang w:val="en-US" w:eastAsia="zh-CN"/>
              </w:rPr>
              <w:t>对接财务和业务系统，并支持批量导入，采集辅助核算数据源；系统建立费用层、分摊对象层、分摊规则层、辅助账层四层数据自动计算规则（</w:t>
            </w:r>
            <w:r>
              <w:rPr>
                <w:rFonts w:hint="eastAsia" w:ascii="宋体" w:hAnsi="宋体" w:eastAsia="宋体" w:cs="宋体"/>
                <w:b w:val="0"/>
                <w:i w:val="0"/>
                <w:strike w:val="0"/>
                <w:color w:val="0000FF"/>
                <w:sz w:val="20"/>
                <w:szCs w:val="20"/>
                <w:u w:val="none"/>
                <w:lang w:val="en-US" w:eastAsia="zh-CN"/>
              </w:rPr>
              <w:t>列举映射、配置的具体场景</w:t>
            </w:r>
            <w:r>
              <w:rPr>
                <w:rFonts w:hint="eastAsia" w:ascii="宋体" w:hAnsi="宋体" w:eastAsia="宋体" w:cs="宋体"/>
                <w:b w:val="0"/>
                <w:i w:val="0"/>
                <w:strike w:val="0"/>
                <w:color w:val="auto"/>
                <w:sz w:val="20"/>
                <w:szCs w:val="20"/>
                <w:u w:val="none"/>
                <w:lang w:val="en-US" w:eastAsia="zh-CN"/>
              </w:rPr>
              <w:t>）</w:t>
            </w:r>
          </w:p>
        </w:tc>
      </w:tr>
      <w:tr w14:paraId="0270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998" w:type="dxa"/>
            <w:tcMar>
              <w:left w:w="108" w:type="dxa"/>
              <w:right w:w="108" w:type="dxa"/>
            </w:tcMar>
            <w:vAlign w:val="center"/>
          </w:tcPr>
          <w:p w14:paraId="1DC3AAA4">
            <w:pPr>
              <w:snapToGrid w:val="0"/>
              <w:spacing w:after="120" w:line="240" w:lineRule="auto"/>
              <w:ind w:left="0" w:leftChars="0" w:right="0" w:rightChars="0" w:firstLine="0" w:firstLineChars="0"/>
              <w:jc w:val="both"/>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备查资料分散管理</w:t>
            </w:r>
          </w:p>
        </w:tc>
        <w:tc>
          <w:tcPr>
            <w:tcW w:w="3033" w:type="dxa"/>
            <w:tcMar>
              <w:left w:w="108" w:type="dxa"/>
              <w:right w:w="108" w:type="dxa"/>
            </w:tcMar>
            <w:vAlign w:val="center"/>
          </w:tcPr>
          <w:p w14:paraId="77AAE049">
            <w:pPr>
              <w:snapToGrid w:val="0"/>
              <w:spacing w:after="120" w:line="240" w:lineRule="auto"/>
              <w:ind w:left="0" w:leftChars="0" w:right="0" w:rightChars="0" w:firstLine="0" w:firstLineChars="0"/>
              <w:jc w:val="both"/>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立项决议、合同、工时记录、费用分配说明等散落于各部门电脑；无统一归档目录</w:t>
            </w:r>
          </w:p>
        </w:tc>
        <w:tc>
          <w:tcPr>
            <w:tcW w:w="2071" w:type="dxa"/>
            <w:tcMar>
              <w:left w:w="108" w:type="dxa"/>
              <w:right w:w="108" w:type="dxa"/>
            </w:tcMar>
            <w:vAlign w:val="center"/>
          </w:tcPr>
          <w:p w14:paraId="7FE79946">
            <w:pPr>
              <w:snapToGrid w:val="0"/>
              <w:spacing w:after="120" w:line="240" w:lineRule="auto"/>
              <w:ind w:left="0" w:leftChars="0" w:right="0" w:rightChars="0" w:firstLine="0" w:firstLineChars="0"/>
              <w:jc w:val="both"/>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税务稽查时资料调取耗时数周；资料缺失导致优惠资格被否定</w:t>
            </w:r>
          </w:p>
        </w:tc>
        <w:tc>
          <w:tcPr>
            <w:tcW w:w="2419" w:type="dxa"/>
            <w:tcMar>
              <w:left w:w="108" w:type="dxa"/>
              <w:right w:w="108" w:type="dxa"/>
            </w:tcMar>
            <w:vAlign w:val="center"/>
          </w:tcPr>
          <w:p w14:paraId="7F8B2D5E">
            <w:pPr>
              <w:snapToGrid w:val="0"/>
              <w:spacing w:after="120" w:line="240" w:lineRule="auto"/>
              <w:ind w:left="0" w:leftChars="0" w:right="0" w:rightChars="0" w:firstLine="0" w:firstLineChars="0"/>
              <w:jc w:val="both"/>
              <w:rPr>
                <w:rFonts w:hint="default" w:ascii="宋体" w:hAnsi="宋体" w:eastAsia="宋体" w:cs="宋体"/>
                <w:b w:val="0"/>
                <w:i w:val="0"/>
                <w:strike w:val="0"/>
                <w:color w:val="auto"/>
                <w:sz w:val="20"/>
                <w:szCs w:val="20"/>
                <w:u w:val="none"/>
                <w:lang w:val="en-US" w:eastAsia="zh-CN"/>
              </w:rPr>
            </w:pPr>
            <w:r>
              <w:rPr>
                <w:rFonts w:hint="eastAsia" w:ascii="宋体" w:hAnsi="宋体" w:eastAsia="宋体" w:cs="宋体"/>
                <w:b w:val="0"/>
                <w:i w:val="0"/>
                <w:strike w:val="0"/>
                <w:color w:val="auto"/>
                <w:sz w:val="20"/>
                <w:szCs w:val="20"/>
                <w:u w:val="none"/>
                <w:lang w:val="en-US" w:eastAsia="zh-CN"/>
              </w:rPr>
              <w:t>系统建立档案归集功能，并多维度记录资料信息，可按各维度查询调取资料，批量导出资料包。（</w:t>
            </w:r>
            <w:r>
              <w:rPr>
                <w:rFonts w:hint="eastAsia" w:ascii="宋体" w:hAnsi="宋体" w:eastAsia="宋体" w:cs="宋体"/>
                <w:b w:val="0"/>
                <w:i w:val="0"/>
                <w:strike w:val="0"/>
                <w:color w:val="0000FF"/>
                <w:sz w:val="20"/>
                <w:szCs w:val="20"/>
                <w:u w:val="none"/>
                <w:lang w:val="en-US" w:eastAsia="zh-CN"/>
              </w:rPr>
              <w:t>管理入口</w:t>
            </w:r>
            <w:r>
              <w:rPr>
                <w:rFonts w:hint="eastAsia" w:ascii="宋体" w:hAnsi="宋体" w:eastAsia="宋体" w:cs="宋体"/>
                <w:b w:val="0"/>
                <w:i w:val="0"/>
                <w:strike w:val="0"/>
                <w:color w:val="auto"/>
                <w:sz w:val="20"/>
                <w:szCs w:val="20"/>
                <w:u w:val="none"/>
                <w:lang w:val="en-US" w:eastAsia="zh-CN"/>
              </w:rPr>
              <w:t>）</w:t>
            </w:r>
          </w:p>
        </w:tc>
      </w:tr>
      <w:tr w14:paraId="23AC3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998" w:type="dxa"/>
            <w:tcMar>
              <w:left w:w="108" w:type="dxa"/>
              <w:right w:w="108" w:type="dxa"/>
            </w:tcMar>
            <w:vAlign w:val="center"/>
          </w:tcPr>
          <w:p w14:paraId="0E64B4FB">
            <w:pPr>
              <w:snapToGrid w:val="0"/>
              <w:spacing w:after="120" w:line="240" w:lineRule="auto"/>
              <w:ind w:left="0" w:leftChars="0" w:right="0" w:rightChars="0" w:firstLine="0" w:firstLineChars="0"/>
              <w:jc w:val="both"/>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政策更新响应滞后</w:t>
            </w:r>
          </w:p>
        </w:tc>
        <w:tc>
          <w:tcPr>
            <w:tcW w:w="3033" w:type="dxa"/>
            <w:tcMar>
              <w:left w:w="108" w:type="dxa"/>
              <w:right w:w="108" w:type="dxa"/>
            </w:tcMar>
            <w:vAlign w:val="center"/>
          </w:tcPr>
          <w:p w14:paraId="5CD30316">
            <w:pPr>
              <w:snapToGrid w:val="0"/>
              <w:spacing w:after="120" w:line="240" w:lineRule="auto"/>
              <w:ind w:left="0" w:leftChars="0" w:right="0" w:rightChars="0" w:firstLine="0" w:firstLineChars="0"/>
              <w:jc w:val="both"/>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政策变动依赖税务人员个人跟踪；未建立内部传导机制；系统无法自动适配新比例</w:t>
            </w:r>
          </w:p>
        </w:tc>
        <w:tc>
          <w:tcPr>
            <w:tcW w:w="2071" w:type="dxa"/>
            <w:tcMar>
              <w:left w:w="108" w:type="dxa"/>
              <w:right w:w="108" w:type="dxa"/>
            </w:tcMar>
            <w:vAlign w:val="center"/>
          </w:tcPr>
          <w:p w14:paraId="3E098309">
            <w:pPr>
              <w:snapToGrid w:val="0"/>
              <w:spacing w:after="120" w:line="240" w:lineRule="auto"/>
              <w:ind w:left="0" w:leftChars="0" w:right="0" w:rightChars="0" w:firstLine="0" w:firstLineChars="0"/>
              <w:jc w:val="both"/>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2023年比例调整至100%时，部分企业仍按75%申报，错失优惠</w:t>
            </w:r>
          </w:p>
        </w:tc>
        <w:tc>
          <w:tcPr>
            <w:tcW w:w="2419" w:type="dxa"/>
            <w:tcMar>
              <w:left w:w="108" w:type="dxa"/>
              <w:right w:w="108" w:type="dxa"/>
            </w:tcMar>
            <w:vAlign w:val="center"/>
          </w:tcPr>
          <w:p w14:paraId="0E5AC971">
            <w:pPr>
              <w:snapToGrid w:val="0"/>
              <w:spacing w:after="120" w:line="240" w:lineRule="auto"/>
              <w:ind w:left="0" w:leftChars="0" w:right="0" w:rightChars="0" w:firstLine="0" w:firstLineChars="0"/>
              <w:jc w:val="both"/>
              <w:rPr>
                <w:rFonts w:hint="default" w:ascii="宋体" w:hAnsi="宋体" w:eastAsia="宋体" w:cs="宋体"/>
                <w:b w:val="0"/>
                <w:i w:val="0"/>
                <w:strike w:val="0"/>
                <w:color w:val="auto"/>
                <w:sz w:val="20"/>
                <w:szCs w:val="20"/>
                <w:u w:val="none"/>
                <w:lang w:val="en-US" w:eastAsia="zh-CN"/>
              </w:rPr>
            </w:pPr>
            <w:r>
              <w:rPr>
                <w:rFonts w:hint="eastAsia" w:ascii="宋体" w:hAnsi="宋体" w:eastAsia="宋体" w:cs="宋体"/>
                <w:b w:val="0"/>
                <w:i w:val="0"/>
                <w:strike w:val="0"/>
                <w:color w:val="auto"/>
                <w:sz w:val="20"/>
                <w:szCs w:val="20"/>
                <w:u w:val="none"/>
                <w:lang w:val="en-US" w:eastAsia="zh-CN"/>
              </w:rPr>
              <w:t>提供研发加计案例分享，用户参考应用。</w:t>
            </w:r>
          </w:p>
        </w:tc>
      </w:tr>
      <w:tr w14:paraId="3CB35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998" w:type="dxa"/>
            <w:tcMar>
              <w:left w:w="108" w:type="dxa"/>
              <w:right w:w="108" w:type="dxa"/>
            </w:tcMar>
            <w:vAlign w:val="center"/>
          </w:tcPr>
          <w:p w14:paraId="5638A9E1">
            <w:pPr>
              <w:snapToGrid w:val="0"/>
              <w:spacing w:after="120" w:line="240" w:lineRule="auto"/>
              <w:ind w:left="0" w:leftChars="0" w:right="0" w:rightChars="0" w:firstLine="0" w:firstLineChars="0"/>
              <w:jc w:val="both"/>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税务稽查应对被动</w:t>
            </w:r>
          </w:p>
        </w:tc>
        <w:tc>
          <w:tcPr>
            <w:tcW w:w="3033" w:type="dxa"/>
            <w:tcMar>
              <w:left w:w="108" w:type="dxa"/>
              <w:right w:w="108" w:type="dxa"/>
            </w:tcMar>
            <w:vAlign w:val="center"/>
          </w:tcPr>
          <w:p w14:paraId="181633E0">
            <w:pPr>
              <w:snapToGrid w:val="0"/>
              <w:spacing w:after="120" w:line="240" w:lineRule="auto"/>
              <w:ind w:left="0" w:leftChars="0" w:right="0" w:rightChars="0" w:firstLine="0" w:firstLineChars="0"/>
              <w:jc w:val="both"/>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无风险预警机制；异常指标无法提前识别；稽查时临时拼凑资料</w:t>
            </w:r>
          </w:p>
        </w:tc>
        <w:tc>
          <w:tcPr>
            <w:tcW w:w="2071" w:type="dxa"/>
            <w:tcMar>
              <w:left w:w="108" w:type="dxa"/>
              <w:right w:w="108" w:type="dxa"/>
            </w:tcMar>
            <w:vAlign w:val="center"/>
          </w:tcPr>
          <w:p w14:paraId="60026305">
            <w:pPr>
              <w:snapToGrid w:val="0"/>
              <w:spacing w:after="120" w:line="240" w:lineRule="auto"/>
              <w:ind w:left="0" w:leftChars="0" w:right="0" w:rightChars="0" w:firstLine="0" w:firstLineChars="0"/>
              <w:jc w:val="both"/>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处于被动地位，解释说服力弱；补税金额大，企业信用受损</w:t>
            </w:r>
          </w:p>
        </w:tc>
        <w:tc>
          <w:tcPr>
            <w:tcW w:w="2419" w:type="dxa"/>
            <w:tcMar>
              <w:left w:w="108" w:type="dxa"/>
              <w:right w:w="108" w:type="dxa"/>
            </w:tcMar>
            <w:vAlign w:val="center"/>
          </w:tcPr>
          <w:p w14:paraId="45B12A5A">
            <w:pPr>
              <w:snapToGrid w:val="0"/>
              <w:spacing w:after="120" w:line="240" w:lineRule="auto"/>
              <w:ind w:left="0" w:leftChars="0" w:right="0" w:rightChars="0" w:firstLine="0" w:firstLineChars="0"/>
              <w:jc w:val="both"/>
              <w:rPr>
                <w:rFonts w:hint="default" w:ascii="宋体" w:hAnsi="宋体" w:eastAsia="宋体" w:cs="宋体"/>
                <w:b w:val="0"/>
                <w:i w:val="0"/>
                <w:strike w:val="0"/>
                <w:color w:val="auto"/>
                <w:sz w:val="20"/>
                <w:szCs w:val="20"/>
                <w:u w:val="none"/>
                <w:lang w:val="en-US" w:eastAsia="zh-CN"/>
              </w:rPr>
            </w:pPr>
            <w:r>
              <w:rPr>
                <w:rFonts w:hint="eastAsia" w:ascii="宋体" w:hAnsi="宋体" w:eastAsia="宋体" w:cs="宋体"/>
                <w:b w:val="0"/>
                <w:i w:val="0"/>
                <w:strike w:val="0"/>
                <w:color w:val="auto"/>
                <w:sz w:val="20"/>
                <w:szCs w:val="20"/>
                <w:u w:val="none"/>
                <w:lang w:val="en-US" w:eastAsia="zh-CN"/>
              </w:rPr>
              <w:t>建立税务稽查应对任务，按需快速整理所需资料；项目、辅助账、分摊依据建立联查关系。</w:t>
            </w:r>
          </w:p>
        </w:tc>
      </w:tr>
    </w:tbl>
    <w:p w14:paraId="0243D6B1">
      <w:pPr>
        <w:widowControl w:val="0"/>
        <w:numPr>
          <w:ilvl w:val="0"/>
          <w:numId w:val="0"/>
        </w:numPr>
        <w:spacing w:after="0"/>
        <w:jc w:val="both"/>
        <w:rPr>
          <w:rFonts w:hint="default" w:eastAsiaTheme="minorEastAsia"/>
          <w:lang w:val="en-US" w:eastAsia="zh-CN"/>
        </w:rPr>
      </w:pPr>
    </w:p>
    <w:p w14:paraId="2788D21D">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28"/>
          <w:szCs w:val="28"/>
          <w:lang w:val="en-US" w:eastAsia="zh-CN"/>
        </w:rPr>
      </w:pPr>
      <w:bookmarkStart w:id="20" w:name="_Toc12841"/>
      <w:r>
        <w:rPr>
          <w:rFonts w:hint="eastAsia" w:asciiTheme="majorEastAsia" w:hAnsiTheme="majorEastAsia" w:eastAsiaTheme="majorEastAsia" w:cstheme="majorEastAsia"/>
          <w:sz w:val="28"/>
          <w:szCs w:val="28"/>
          <w:lang w:val="en-US" w:eastAsia="zh-CN"/>
        </w:rPr>
        <w:t>2.3 管理提升目标</w:t>
      </w:r>
      <w:bookmarkEnd w:id="20"/>
    </w:p>
    <w:p w14:paraId="26028F76">
      <w:pPr>
        <w:widowControl w:val="0"/>
        <w:numPr>
          <w:ilvl w:val="0"/>
          <w:numId w:val="0"/>
        </w:numPr>
        <w:spacing w:after="0"/>
        <w:jc w:val="both"/>
        <w:rPr>
          <w:rFonts w:hint="eastAsia"/>
        </w:rPr>
      </w:pPr>
    </w:p>
    <w:tbl>
      <w:tblPr>
        <w:tblStyle w:val="1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05"/>
        <w:gridCol w:w="3763"/>
        <w:gridCol w:w="3354"/>
      </w:tblGrid>
      <w:tr w14:paraId="7613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tblHeader/>
          <w:jc w:val="center"/>
        </w:trPr>
        <w:tc>
          <w:tcPr>
            <w:tcW w:w="1405" w:type="dxa"/>
            <w:tcMar>
              <w:left w:w="108" w:type="dxa"/>
              <w:right w:w="108" w:type="dxa"/>
            </w:tcMar>
            <w:vAlign w:val="center"/>
          </w:tcPr>
          <w:p w14:paraId="56A6C043">
            <w:pPr>
              <w:snapToGrid w:val="0"/>
              <w:spacing w:after="120" w:line="240" w:lineRule="auto"/>
              <w:ind w:left="0" w:leftChars="0" w:right="0" w:rightChars="0" w:firstLine="0" w:firstLineChars="0"/>
              <w:jc w:val="center"/>
              <w:rPr>
                <w:rFonts w:hint="eastAsia" w:ascii="宋体" w:hAnsi="宋体" w:eastAsia="宋体" w:cs="宋体"/>
                <w:b/>
                <w:i w:val="0"/>
                <w:strike w:val="0"/>
                <w:color w:val="auto"/>
                <w:sz w:val="20"/>
                <w:szCs w:val="20"/>
                <w:u w:val="none"/>
              </w:rPr>
            </w:pPr>
            <w:r>
              <w:rPr>
                <w:rFonts w:hint="eastAsia" w:ascii="宋体" w:hAnsi="宋体" w:eastAsia="宋体" w:cs="宋体"/>
                <w:b/>
                <w:i w:val="0"/>
                <w:strike w:val="0"/>
                <w:color w:val="auto"/>
                <w:sz w:val="20"/>
                <w:szCs w:val="20"/>
                <w:u w:val="none"/>
              </w:rPr>
              <w:t>目标维度</w:t>
            </w:r>
          </w:p>
        </w:tc>
        <w:tc>
          <w:tcPr>
            <w:tcW w:w="3763" w:type="dxa"/>
            <w:tcMar>
              <w:left w:w="108" w:type="dxa"/>
              <w:right w:w="108" w:type="dxa"/>
            </w:tcMar>
            <w:vAlign w:val="center"/>
          </w:tcPr>
          <w:p w14:paraId="4848C9FC">
            <w:pPr>
              <w:snapToGrid w:val="0"/>
              <w:spacing w:after="120" w:line="240" w:lineRule="auto"/>
              <w:ind w:left="0" w:leftChars="0" w:right="0" w:rightChars="0" w:firstLine="0" w:firstLineChars="0"/>
              <w:jc w:val="center"/>
              <w:rPr>
                <w:rFonts w:hint="eastAsia" w:ascii="宋体" w:hAnsi="宋体" w:eastAsia="宋体" w:cs="宋体"/>
                <w:b/>
                <w:i w:val="0"/>
                <w:strike w:val="0"/>
                <w:color w:val="auto"/>
                <w:sz w:val="20"/>
                <w:szCs w:val="20"/>
                <w:u w:val="none"/>
              </w:rPr>
            </w:pPr>
            <w:r>
              <w:rPr>
                <w:rFonts w:hint="eastAsia" w:ascii="宋体" w:hAnsi="宋体" w:eastAsia="宋体" w:cs="宋体"/>
                <w:b/>
                <w:i w:val="0"/>
                <w:strike w:val="0"/>
                <w:color w:val="auto"/>
                <w:sz w:val="20"/>
                <w:szCs w:val="20"/>
                <w:u w:val="none"/>
              </w:rPr>
              <w:t>具体目标</w:t>
            </w:r>
          </w:p>
        </w:tc>
        <w:tc>
          <w:tcPr>
            <w:tcW w:w="3354" w:type="dxa"/>
            <w:tcMar>
              <w:left w:w="108" w:type="dxa"/>
              <w:right w:w="108" w:type="dxa"/>
            </w:tcMar>
            <w:vAlign w:val="center"/>
          </w:tcPr>
          <w:p w14:paraId="3E13CC7D">
            <w:pPr>
              <w:snapToGrid w:val="0"/>
              <w:spacing w:after="120" w:line="240" w:lineRule="auto"/>
              <w:ind w:left="0" w:leftChars="0" w:right="0" w:rightChars="0" w:firstLine="0" w:firstLineChars="0"/>
              <w:jc w:val="center"/>
              <w:rPr>
                <w:rFonts w:hint="eastAsia" w:ascii="宋体" w:hAnsi="宋体" w:eastAsia="宋体" w:cs="宋体"/>
                <w:b/>
                <w:i w:val="0"/>
                <w:strike w:val="0"/>
                <w:color w:val="auto"/>
                <w:sz w:val="20"/>
                <w:szCs w:val="20"/>
                <w:u w:val="none"/>
              </w:rPr>
            </w:pPr>
            <w:r>
              <w:rPr>
                <w:rFonts w:hint="eastAsia" w:ascii="宋体" w:hAnsi="宋体" w:eastAsia="宋体" w:cs="宋体"/>
                <w:b/>
                <w:i w:val="0"/>
                <w:strike w:val="0"/>
                <w:color w:val="auto"/>
                <w:sz w:val="20"/>
                <w:szCs w:val="20"/>
                <w:u w:val="none"/>
              </w:rPr>
              <w:t>量化指标（示例）</w:t>
            </w:r>
          </w:p>
        </w:tc>
      </w:tr>
      <w:tr w14:paraId="11B5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05" w:type="dxa"/>
            <w:tcMar>
              <w:left w:w="108" w:type="dxa"/>
              <w:right w:w="108" w:type="dxa"/>
            </w:tcMar>
            <w:vAlign w:val="center"/>
          </w:tcPr>
          <w:p w14:paraId="597F3328">
            <w:pPr>
              <w:snapToGrid w:val="0"/>
              <w:spacing w:after="120" w:line="240" w:lineRule="auto"/>
              <w:ind w:left="0" w:leftChars="0" w:right="0" w:rightChars="0" w:firstLine="0" w:firstLineChars="0"/>
              <w:jc w:val="center"/>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标准化</w:t>
            </w:r>
          </w:p>
        </w:tc>
        <w:tc>
          <w:tcPr>
            <w:tcW w:w="3763" w:type="dxa"/>
            <w:tcMar>
              <w:left w:w="108" w:type="dxa"/>
              <w:right w:w="108" w:type="dxa"/>
            </w:tcMar>
            <w:vAlign w:val="center"/>
          </w:tcPr>
          <w:p w14:paraId="2E845AD6">
            <w:pPr>
              <w:snapToGrid w:val="0"/>
              <w:spacing w:after="120" w:line="240" w:lineRule="auto"/>
              <w:ind w:left="0" w:leftChars="0" w:right="0" w:rightChars="0" w:firstLine="0" w:firstLineChars="0"/>
              <w:jc w:val="left"/>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建立覆盖立项、归集、辅助账、申报、归档的全流程标准化管理体系</w:t>
            </w:r>
          </w:p>
        </w:tc>
        <w:tc>
          <w:tcPr>
            <w:tcW w:w="3354" w:type="dxa"/>
            <w:tcMar>
              <w:left w:w="108" w:type="dxa"/>
              <w:right w:w="108" w:type="dxa"/>
            </w:tcMar>
            <w:vAlign w:val="center"/>
          </w:tcPr>
          <w:p w14:paraId="45F8BFAA">
            <w:pPr>
              <w:snapToGrid w:val="0"/>
              <w:spacing w:after="120" w:line="240" w:lineRule="auto"/>
              <w:ind w:left="0" w:leftChars="0" w:right="0" w:rightChars="0" w:firstLine="0" w:firstLineChars="0"/>
              <w:jc w:val="left"/>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制度文件覆盖率100%；流程节点标准化率100%</w:t>
            </w:r>
          </w:p>
        </w:tc>
      </w:tr>
      <w:tr w14:paraId="3079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05" w:type="dxa"/>
            <w:tcMar>
              <w:left w:w="108" w:type="dxa"/>
              <w:right w:w="108" w:type="dxa"/>
            </w:tcMar>
            <w:vAlign w:val="center"/>
          </w:tcPr>
          <w:p w14:paraId="350B8F24">
            <w:pPr>
              <w:snapToGrid w:val="0"/>
              <w:spacing w:after="120" w:line="240" w:lineRule="auto"/>
              <w:ind w:left="0" w:leftChars="0" w:right="0" w:rightChars="0" w:firstLine="0" w:firstLineChars="0"/>
              <w:jc w:val="center"/>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流程化</w:t>
            </w:r>
          </w:p>
        </w:tc>
        <w:tc>
          <w:tcPr>
            <w:tcW w:w="3763" w:type="dxa"/>
            <w:tcMar>
              <w:left w:w="108" w:type="dxa"/>
              <w:right w:w="108" w:type="dxa"/>
            </w:tcMar>
            <w:vAlign w:val="center"/>
          </w:tcPr>
          <w:p w14:paraId="2A050939">
            <w:pPr>
              <w:snapToGrid w:val="0"/>
              <w:spacing w:after="120" w:line="240" w:lineRule="auto"/>
              <w:ind w:left="0" w:leftChars="0" w:right="0" w:rightChars="0" w:firstLine="0" w:firstLineChars="0"/>
              <w:jc w:val="left"/>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实现跨部门协同作业，业财税数据自动流转</w:t>
            </w:r>
          </w:p>
        </w:tc>
        <w:tc>
          <w:tcPr>
            <w:tcW w:w="3354" w:type="dxa"/>
            <w:tcMar>
              <w:left w:w="108" w:type="dxa"/>
              <w:right w:w="108" w:type="dxa"/>
            </w:tcMar>
            <w:vAlign w:val="center"/>
          </w:tcPr>
          <w:p w14:paraId="63300A52">
            <w:pPr>
              <w:snapToGrid w:val="0"/>
              <w:spacing w:after="120" w:line="240" w:lineRule="auto"/>
              <w:ind w:left="0" w:leftChars="0" w:right="0" w:rightChars="0" w:firstLine="0" w:firstLineChars="0"/>
              <w:jc w:val="left"/>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跨部门数据传递时效≤2个工作日</w:t>
            </w:r>
          </w:p>
        </w:tc>
      </w:tr>
      <w:tr w14:paraId="4A198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05" w:type="dxa"/>
            <w:tcMar>
              <w:left w:w="108" w:type="dxa"/>
              <w:right w:w="108" w:type="dxa"/>
            </w:tcMar>
            <w:vAlign w:val="center"/>
          </w:tcPr>
          <w:p w14:paraId="4A96E47C">
            <w:pPr>
              <w:snapToGrid w:val="0"/>
              <w:spacing w:after="120" w:line="240" w:lineRule="auto"/>
              <w:ind w:left="0" w:leftChars="0" w:right="0" w:rightChars="0" w:firstLine="0" w:firstLineChars="0"/>
              <w:jc w:val="center"/>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数据一致</w:t>
            </w:r>
          </w:p>
        </w:tc>
        <w:tc>
          <w:tcPr>
            <w:tcW w:w="3763" w:type="dxa"/>
            <w:tcMar>
              <w:left w:w="108" w:type="dxa"/>
              <w:right w:w="108" w:type="dxa"/>
            </w:tcMar>
            <w:vAlign w:val="center"/>
          </w:tcPr>
          <w:p w14:paraId="30145B87">
            <w:pPr>
              <w:snapToGrid w:val="0"/>
              <w:spacing w:after="120" w:line="240" w:lineRule="auto"/>
              <w:ind w:left="0" w:leftChars="0" w:right="0" w:rightChars="0" w:firstLine="0" w:firstLineChars="0"/>
              <w:jc w:val="left"/>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消除税务、财务、研发三方数据差异，实现同源、同口径、同标准</w:t>
            </w:r>
          </w:p>
        </w:tc>
        <w:tc>
          <w:tcPr>
            <w:tcW w:w="3354" w:type="dxa"/>
            <w:tcMar>
              <w:left w:w="108" w:type="dxa"/>
              <w:right w:w="108" w:type="dxa"/>
            </w:tcMar>
            <w:vAlign w:val="center"/>
          </w:tcPr>
          <w:p w14:paraId="1C1F88FB">
            <w:pPr>
              <w:snapToGrid w:val="0"/>
              <w:spacing w:after="120" w:line="240" w:lineRule="auto"/>
              <w:ind w:left="0" w:leftChars="0" w:right="0" w:rightChars="0" w:firstLine="0" w:firstLineChars="0"/>
              <w:jc w:val="left"/>
              <w:rPr>
                <w:rFonts w:hint="eastAsia" w:ascii="宋体" w:hAnsi="宋体" w:eastAsia="宋体" w:cs="宋体"/>
                <w:b w:val="0"/>
                <w:i w:val="0"/>
                <w:strike w:val="0"/>
                <w:color w:val="auto"/>
                <w:sz w:val="20"/>
                <w:szCs w:val="20"/>
                <w:u w:val="none"/>
              </w:rPr>
            </w:pPr>
            <w:r>
              <w:rPr>
                <w:rFonts w:hint="eastAsia" w:ascii="宋体" w:hAnsi="宋体" w:eastAsia="宋体" w:cs="宋体"/>
                <w:b w:val="0"/>
                <w:i w:val="0"/>
                <w:strike w:val="0"/>
                <w:color w:val="auto"/>
                <w:sz w:val="20"/>
                <w:szCs w:val="20"/>
                <w:u w:val="none"/>
              </w:rPr>
              <w:t>辅助账与财务账差异率≤0.5%</w:t>
            </w:r>
          </w:p>
        </w:tc>
      </w:tr>
      <w:tr w14:paraId="0C27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05" w:type="dxa"/>
            <w:tcMar>
              <w:left w:w="108" w:type="dxa"/>
              <w:right w:w="108" w:type="dxa"/>
            </w:tcMar>
            <w:vAlign w:val="center"/>
          </w:tcPr>
          <w:p w14:paraId="6C84C75B">
            <w:pPr>
              <w:snapToGrid w:val="0"/>
              <w:spacing w:after="120" w:line="240" w:lineRule="auto"/>
              <w:ind w:left="0" w:leftChars="0" w:right="0" w:rightChars="0" w:firstLine="0" w:firstLineChars="0"/>
              <w:jc w:val="center"/>
              <w:rPr>
                <w:rFonts w:eastAsia="宋体"/>
                <w:b w:val="0"/>
                <w:i w:val="0"/>
                <w:strike w:val="0"/>
                <w:color w:val="auto"/>
                <w:sz w:val="20"/>
                <w:szCs w:val="20"/>
                <w:u w:val="none"/>
              </w:rPr>
            </w:pPr>
            <w:r>
              <w:rPr>
                <w:rFonts w:eastAsia="宋体"/>
                <w:b w:val="0"/>
                <w:i w:val="0"/>
                <w:strike w:val="0"/>
                <w:color w:val="auto"/>
                <w:sz w:val="20"/>
                <w:szCs w:val="20"/>
                <w:u w:val="none"/>
              </w:rPr>
              <w:t>全程可追溯</w:t>
            </w:r>
          </w:p>
        </w:tc>
        <w:tc>
          <w:tcPr>
            <w:tcW w:w="3763" w:type="dxa"/>
            <w:tcMar>
              <w:left w:w="108" w:type="dxa"/>
              <w:right w:w="108" w:type="dxa"/>
            </w:tcMar>
            <w:vAlign w:val="center"/>
          </w:tcPr>
          <w:p w14:paraId="5E37A9FB">
            <w:pPr>
              <w:snapToGrid w:val="0"/>
              <w:spacing w:after="120" w:line="240" w:lineRule="auto"/>
              <w:ind w:left="0" w:leftChars="0" w:right="0" w:rightChars="0" w:firstLine="0" w:firstLineChars="0"/>
              <w:jc w:val="left"/>
              <w:rPr>
                <w:rFonts w:eastAsia="宋体"/>
                <w:b w:val="0"/>
                <w:i w:val="0"/>
                <w:strike w:val="0"/>
                <w:color w:val="auto"/>
                <w:sz w:val="20"/>
                <w:szCs w:val="20"/>
                <w:u w:val="none"/>
              </w:rPr>
            </w:pPr>
            <w:r>
              <w:rPr>
                <w:rFonts w:eastAsia="宋体"/>
                <w:b w:val="0"/>
                <w:i w:val="0"/>
                <w:strike w:val="0"/>
                <w:color w:val="auto"/>
                <w:sz w:val="20"/>
                <w:szCs w:val="20"/>
                <w:u w:val="none"/>
              </w:rPr>
              <w:t>每笔研发费用可追溯到项目、人员、凭证、审批记录</w:t>
            </w:r>
          </w:p>
        </w:tc>
        <w:tc>
          <w:tcPr>
            <w:tcW w:w="3354" w:type="dxa"/>
            <w:tcMar>
              <w:left w:w="108" w:type="dxa"/>
              <w:right w:w="108" w:type="dxa"/>
            </w:tcMar>
            <w:vAlign w:val="center"/>
          </w:tcPr>
          <w:p w14:paraId="03CA5570">
            <w:pPr>
              <w:snapToGrid w:val="0"/>
              <w:spacing w:after="120" w:line="240" w:lineRule="auto"/>
              <w:ind w:left="0" w:leftChars="0" w:right="0" w:rightChars="0" w:firstLine="0" w:firstLineChars="0"/>
              <w:jc w:val="left"/>
              <w:rPr>
                <w:rFonts w:eastAsia="宋体"/>
                <w:b w:val="0"/>
                <w:i w:val="0"/>
                <w:strike w:val="0"/>
                <w:color w:val="auto"/>
                <w:sz w:val="20"/>
                <w:szCs w:val="20"/>
                <w:u w:val="none"/>
              </w:rPr>
            </w:pPr>
            <w:r>
              <w:rPr>
                <w:rFonts w:eastAsia="宋体"/>
                <w:b w:val="0"/>
                <w:i w:val="0"/>
                <w:strike w:val="0"/>
                <w:color w:val="auto"/>
                <w:sz w:val="20"/>
                <w:szCs w:val="20"/>
                <w:u w:val="none"/>
              </w:rPr>
              <w:t>数据追溯完整率100%</w:t>
            </w:r>
          </w:p>
        </w:tc>
      </w:tr>
      <w:tr w14:paraId="3299F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05" w:type="dxa"/>
            <w:tcMar>
              <w:left w:w="108" w:type="dxa"/>
              <w:right w:w="108" w:type="dxa"/>
            </w:tcMar>
            <w:vAlign w:val="center"/>
          </w:tcPr>
          <w:p w14:paraId="3444DEBC">
            <w:pPr>
              <w:snapToGrid w:val="0"/>
              <w:spacing w:after="120" w:line="240" w:lineRule="auto"/>
              <w:ind w:left="0" w:leftChars="0" w:right="0" w:rightChars="0" w:firstLine="0" w:firstLineChars="0"/>
              <w:jc w:val="center"/>
              <w:rPr>
                <w:rFonts w:eastAsia="宋体"/>
                <w:b w:val="0"/>
                <w:i w:val="0"/>
                <w:strike w:val="0"/>
                <w:color w:val="auto"/>
                <w:sz w:val="20"/>
                <w:szCs w:val="20"/>
                <w:u w:val="none"/>
              </w:rPr>
            </w:pPr>
            <w:r>
              <w:rPr>
                <w:rFonts w:eastAsia="宋体"/>
                <w:b w:val="0"/>
                <w:i w:val="0"/>
                <w:strike w:val="0"/>
                <w:color w:val="auto"/>
                <w:sz w:val="20"/>
                <w:szCs w:val="20"/>
                <w:u w:val="none"/>
              </w:rPr>
              <w:t>风险可控</w:t>
            </w:r>
          </w:p>
        </w:tc>
        <w:tc>
          <w:tcPr>
            <w:tcW w:w="3763" w:type="dxa"/>
            <w:tcMar>
              <w:left w:w="108" w:type="dxa"/>
              <w:right w:w="108" w:type="dxa"/>
            </w:tcMar>
            <w:vAlign w:val="center"/>
          </w:tcPr>
          <w:p w14:paraId="5FBF39D5">
            <w:pPr>
              <w:snapToGrid w:val="0"/>
              <w:spacing w:after="120" w:line="240" w:lineRule="auto"/>
              <w:ind w:left="0" w:leftChars="0" w:right="0" w:rightChars="0" w:firstLine="0" w:firstLineChars="0"/>
              <w:jc w:val="left"/>
              <w:rPr>
                <w:rFonts w:eastAsia="宋体"/>
                <w:b w:val="0"/>
                <w:i w:val="0"/>
                <w:strike w:val="0"/>
                <w:color w:val="auto"/>
                <w:sz w:val="20"/>
                <w:szCs w:val="20"/>
                <w:u w:val="none"/>
              </w:rPr>
            </w:pPr>
            <w:r>
              <w:rPr>
                <w:rFonts w:eastAsia="宋体"/>
                <w:b w:val="0"/>
                <w:i w:val="0"/>
                <w:strike w:val="0"/>
                <w:color w:val="auto"/>
                <w:sz w:val="20"/>
                <w:szCs w:val="20"/>
                <w:u w:val="none"/>
              </w:rPr>
              <w:t>建立事前预警、事中监控、事后复核的三道防线</w:t>
            </w:r>
          </w:p>
        </w:tc>
        <w:tc>
          <w:tcPr>
            <w:tcW w:w="3354" w:type="dxa"/>
            <w:tcMar>
              <w:left w:w="108" w:type="dxa"/>
              <w:right w:w="108" w:type="dxa"/>
            </w:tcMar>
            <w:vAlign w:val="center"/>
          </w:tcPr>
          <w:p w14:paraId="173D3733">
            <w:pPr>
              <w:snapToGrid w:val="0"/>
              <w:spacing w:after="120" w:line="240" w:lineRule="auto"/>
              <w:ind w:left="0" w:leftChars="0" w:right="0" w:rightChars="0" w:firstLine="0" w:firstLineChars="0"/>
              <w:jc w:val="left"/>
              <w:rPr>
                <w:rFonts w:eastAsia="宋体"/>
                <w:b w:val="0"/>
                <w:i w:val="0"/>
                <w:strike w:val="0"/>
                <w:color w:val="auto"/>
                <w:sz w:val="20"/>
                <w:szCs w:val="20"/>
                <w:u w:val="none"/>
              </w:rPr>
            </w:pPr>
            <w:r>
              <w:rPr>
                <w:rFonts w:eastAsia="宋体"/>
                <w:b w:val="0"/>
                <w:i w:val="0"/>
                <w:strike w:val="0"/>
                <w:color w:val="auto"/>
                <w:sz w:val="20"/>
                <w:szCs w:val="20"/>
                <w:u w:val="none"/>
              </w:rPr>
              <w:t>负面清单筛查覆盖率100%；异常指标预警响应率100%</w:t>
            </w:r>
          </w:p>
        </w:tc>
      </w:tr>
      <w:tr w14:paraId="093F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0" w:hRule="atLeast"/>
          <w:jc w:val="center"/>
        </w:trPr>
        <w:tc>
          <w:tcPr>
            <w:tcW w:w="1405" w:type="dxa"/>
            <w:tcMar>
              <w:left w:w="108" w:type="dxa"/>
              <w:right w:w="108" w:type="dxa"/>
            </w:tcMar>
            <w:vAlign w:val="center"/>
          </w:tcPr>
          <w:p w14:paraId="4285A287">
            <w:pPr>
              <w:snapToGrid w:val="0"/>
              <w:spacing w:after="120" w:line="240" w:lineRule="auto"/>
              <w:ind w:left="0" w:leftChars="0" w:right="0" w:rightChars="0" w:firstLine="0" w:firstLineChars="0"/>
              <w:jc w:val="center"/>
              <w:rPr>
                <w:rFonts w:eastAsia="宋体"/>
                <w:b w:val="0"/>
                <w:i w:val="0"/>
                <w:strike w:val="0"/>
                <w:color w:val="auto"/>
                <w:sz w:val="20"/>
                <w:szCs w:val="20"/>
                <w:u w:val="none"/>
              </w:rPr>
            </w:pPr>
            <w:r>
              <w:rPr>
                <w:rFonts w:eastAsia="宋体"/>
                <w:b w:val="0"/>
                <w:i w:val="0"/>
                <w:strike w:val="0"/>
                <w:color w:val="auto"/>
                <w:sz w:val="20"/>
                <w:szCs w:val="20"/>
                <w:u w:val="none"/>
              </w:rPr>
              <w:t>效率提升</w:t>
            </w:r>
          </w:p>
        </w:tc>
        <w:tc>
          <w:tcPr>
            <w:tcW w:w="3763" w:type="dxa"/>
            <w:tcMar>
              <w:left w:w="108" w:type="dxa"/>
              <w:right w:w="108" w:type="dxa"/>
            </w:tcMar>
            <w:vAlign w:val="center"/>
          </w:tcPr>
          <w:p w14:paraId="692CC9E4">
            <w:pPr>
              <w:snapToGrid w:val="0"/>
              <w:spacing w:after="120" w:line="240" w:lineRule="auto"/>
              <w:ind w:left="0" w:leftChars="0" w:right="0" w:rightChars="0" w:firstLine="0" w:firstLineChars="0"/>
              <w:jc w:val="left"/>
              <w:rPr>
                <w:rFonts w:eastAsia="宋体"/>
                <w:b w:val="0"/>
                <w:i w:val="0"/>
                <w:strike w:val="0"/>
                <w:color w:val="auto"/>
                <w:sz w:val="20"/>
                <w:szCs w:val="20"/>
                <w:u w:val="none"/>
              </w:rPr>
            </w:pPr>
            <w:r>
              <w:rPr>
                <w:rFonts w:eastAsia="宋体"/>
                <w:b w:val="0"/>
                <w:i w:val="0"/>
                <w:strike w:val="0"/>
                <w:color w:val="auto"/>
                <w:sz w:val="20"/>
                <w:szCs w:val="20"/>
                <w:u w:val="none"/>
              </w:rPr>
              <w:t>辅助账自动生成、申报表一键输出、备查资料自动归档</w:t>
            </w:r>
          </w:p>
        </w:tc>
        <w:tc>
          <w:tcPr>
            <w:tcW w:w="3354" w:type="dxa"/>
            <w:tcMar>
              <w:left w:w="108" w:type="dxa"/>
              <w:right w:w="108" w:type="dxa"/>
            </w:tcMar>
            <w:vAlign w:val="center"/>
          </w:tcPr>
          <w:p w14:paraId="4028CB4E">
            <w:pPr>
              <w:snapToGrid w:val="0"/>
              <w:spacing w:after="120" w:line="240" w:lineRule="auto"/>
              <w:ind w:left="0" w:leftChars="0" w:right="0" w:rightChars="0" w:firstLine="0" w:firstLineChars="0"/>
              <w:jc w:val="left"/>
              <w:rPr>
                <w:rFonts w:eastAsia="宋体"/>
                <w:b w:val="0"/>
                <w:i w:val="0"/>
                <w:strike w:val="0"/>
                <w:color w:val="auto"/>
                <w:sz w:val="20"/>
                <w:szCs w:val="20"/>
                <w:u w:val="none"/>
              </w:rPr>
            </w:pPr>
            <w:r>
              <w:rPr>
                <w:rFonts w:eastAsia="宋体"/>
                <w:b w:val="0"/>
                <w:i w:val="0"/>
                <w:strike w:val="0"/>
                <w:color w:val="auto"/>
                <w:sz w:val="20"/>
                <w:szCs w:val="20"/>
                <w:u w:val="none"/>
              </w:rPr>
              <w:t>申报准备周期缩短60%；人工编制工作量减少70%</w:t>
            </w:r>
          </w:p>
        </w:tc>
      </w:tr>
    </w:tbl>
    <w:p w14:paraId="339F0F75">
      <w:pPr>
        <w:pStyle w:val="2"/>
        <w:keepNext/>
        <w:keepLines/>
        <w:pageBreakBefore w:val="0"/>
        <w:widowControl w:val="0"/>
        <w:kinsoku/>
        <w:wordWrap/>
        <w:overflowPunct/>
        <w:topLinePunct w:val="0"/>
        <w:autoSpaceDE/>
        <w:autoSpaceDN/>
        <w:bidi w:val="0"/>
        <w:adjustRightInd/>
        <w:snapToGrid/>
        <w:spacing w:before="200" w:after="200" w:line="240" w:lineRule="auto"/>
        <w:textAlignment w:val="auto"/>
        <w:rPr>
          <w:rFonts w:hint="default"/>
          <w:b/>
          <w:sz w:val="30"/>
          <w:szCs w:val="30"/>
          <w:lang w:val="en-US" w:eastAsia="zh-CN"/>
        </w:rPr>
      </w:pPr>
      <w:bookmarkStart w:id="21" w:name="_Toc13772"/>
      <w:r>
        <w:rPr>
          <w:rFonts w:hint="eastAsia"/>
          <w:b/>
          <w:sz w:val="30"/>
          <w:szCs w:val="30"/>
          <w:lang w:val="en-US" w:eastAsia="zh-CN"/>
        </w:rPr>
        <w:t>三、业务范围</w:t>
      </w:r>
      <w:bookmarkEnd w:id="21"/>
    </w:p>
    <w:p w14:paraId="455A987F">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heme="majorEastAsia" w:hAnsiTheme="majorEastAsia" w:eastAsiaTheme="majorEastAsia" w:cstheme="majorEastAsia"/>
          <w:sz w:val="28"/>
          <w:szCs w:val="28"/>
          <w:lang w:val="en-US" w:eastAsia="zh-CN"/>
        </w:rPr>
      </w:pPr>
      <w:bookmarkStart w:id="22" w:name="_Toc21761"/>
      <w:r>
        <w:rPr>
          <w:rFonts w:hint="eastAsia" w:asciiTheme="majorEastAsia" w:hAnsiTheme="majorEastAsia" w:eastAsiaTheme="majorEastAsia" w:cstheme="majorEastAsia"/>
          <w:sz w:val="28"/>
          <w:szCs w:val="28"/>
          <w:lang w:val="en-US" w:eastAsia="zh-CN"/>
        </w:rPr>
        <w:t>3.1适用研发类型</w:t>
      </w:r>
      <w:bookmarkEnd w:id="22"/>
    </w:p>
    <w:p w14:paraId="775173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自主研发、委托研发（境内/境外）、合作研发、集中研发</w:t>
      </w:r>
    </w:p>
    <w:p w14:paraId="0C5BCF8F">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28"/>
          <w:szCs w:val="28"/>
          <w:lang w:val="en-US" w:eastAsia="zh-CN"/>
        </w:rPr>
      </w:pPr>
      <w:bookmarkStart w:id="23" w:name="_Toc12915"/>
      <w:r>
        <w:rPr>
          <w:rFonts w:hint="eastAsia" w:asciiTheme="majorEastAsia" w:hAnsiTheme="majorEastAsia" w:eastAsiaTheme="majorEastAsia" w:cstheme="majorEastAsia"/>
          <w:sz w:val="28"/>
          <w:szCs w:val="28"/>
          <w:lang w:val="en-US" w:eastAsia="zh-CN"/>
        </w:rPr>
        <w:t>3.2适用费用范围</w:t>
      </w:r>
      <w:bookmarkEnd w:id="23"/>
    </w:p>
    <w:p w14:paraId="629149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default" w:asciiTheme="majorEastAsia" w:hAnsiTheme="majorEastAsia" w:eastAsiaTheme="majorEastAsia" w:cstheme="majorEastAsia"/>
          <w:b w:val="0"/>
          <w:bCs/>
          <w:sz w:val="24"/>
          <w:szCs w:val="24"/>
          <w:lang w:val="en-US" w:eastAsia="zh-CN"/>
        </w:rPr>
        <w:t>目前研发费用主要有三个</w:t>
      </w:r>
      <w:r>
        <w:rPr>
          <w:rFonts w:hint="eastAsia" w:asciiTheme="majorEastAsia" w:hAnsiTheme="majorEastAsia" w:eastAsiaTheme="majorEastAsia" w:cstheme="majorEastAsia"/>
          <w:b w:val="0"/>
          <w:bCs/>
          <w:sz w:val="24"/>
          <w:szCs w:val="24"/>
          <w:lang w:val="en-US" w:eastAsia="zh-CN"/>
        </w:rPr>
        <w:t>归集</w:t>
      </w:r>
      <w:r>
        <w:rPr>
          <w:rFonts w:hint="default" w:asciiTheme="majorEastAsia" w:hAnsiTheme="majorEastAsia" w:eastAsiaTheme="majorEastAsia" w:cstheme="majorEastAsia"/>
          <w:b w:val="0"/>
          <w:bCs/>
          <w:sz w:val="24"/>
          <w:szCs w:val="24"/>
          <w:lang w:val="en-US" w:eastAsia="zh-CN"/>
        </w:rPr>
        <w:t>口径，一是会计核算口径，主要由《财政部关于企业加强研发费用财务管理的若干意见》</w:t>
      </w:r>
      <w:r>
        <w:rPr>
          <w:rFonts w:hint="eastAsia" w:asciiTheme="majorEastAsia" w:hAnsiTheme="majorEastAsia" w:eastAsiaTheme="majorEastAsia" w:cstheme="majorEastAsia"/>
          <w:b w:val="0"/>
          <w:bCs/>
          <w:sz w:val="24"/>
          <w:szCs w:val="24"/>
          <w:lang w:val="en-US" w:eastAsia="zh-CN"/>
        </w:rPr>
        <w:t>（</w:t>
      </w:r>
      <w:r>
        <w:rPr>
          <w:rFonts w:hint="default" w:asciiTheme="majorEastAsia" w:hAnsiTheme="majorEastAsia" w:eastAsiaTheme="majorEastAsia" w:cstheme="majorEastAsia"/>
          <w:b w:val="0"/>
          <w:bCs/>
          <w:sz w:val="24"/>
          <w:szCs w:val="24"/>
          <w:lang w:val="en-US" w:eastAsia="zh-CN"/>
        </w:rPr>
        <w:t>财企</w:t>
      </w:r>
      <w:r>
        <w:rPr>
          <w:rFonts w:hint="eastAsia" w:asciiTheme="majorEastAsia" w:hAnsiTheme="majorEastAsia" w:eastAsiaTheme="majorEastAsia" w:cstheme="majorEastAsia"/>
          <w:b w:val="0"/>
          <w:bCs/>
          <w:sz w:val="24"/>
          <w:szCs w:val="24"/>
          <w:lang w:val="en-US" w:eastAsia="zh-CN"/>
        </w:rPr>
        <w:t>〔2007〕194号）</w:t>
      </w:r>
      <w:r>
        <w:rPr>
          <w:rFonts w:hint="default" w:asciiTheme="majorEastAsia" w:hAnsiTheme="majorEastAsia" w:eastAsiaTheme="majorEastAsia" w:cstheme="majorEastAsia"/>
          <w:b w:val="0"/>
          <w:bCs/>
          <w:sz w:val="24"/>
          <w:szCs w:val="24"/>
          <w:lang w:val="en-US" w:eastAsia="zh-CN"/>
        </w:rPr>
        <w:t>规范</w:t>
      </w:r>
      <w:r>
        <w:rPr>
          <w:rFonts w:hint="eastAsia" w:asciiTheme="majorEastAsia" w:hAnsiTheme="majorEastAsia" w:eastAsiaTheme="majorEastAsia" w:cstheme="majorEastAsia"/>
          <w:b w:val="0"/>
          <w:bCs/>
          <w:sz w:val="24"/>
          <w:szCs w:val="24"/>
          <w:lang w:val="en-US" w:eastAsia="zh-CN"/>
        </w:rPr>
        <w:t>；</w:t>
      </w:r>
      <w:r>
        <w:rPr>
          <w:rFonts w:hint="default" w:asciiTheme="majorEastAsia" w:hAnsiTheme="majorEastAsia" w:eastAsiaTheme="majorEastAsia" w:cstheme="majorEastAsia"/>
          <w:b w:val="0"/>
          <w:bCs/>
          <w:sz w:val="24"/>
          <w:szCs w:val="24"/>
          <w:lang w:val="en-US" w:eastAsia="zh-CN"/>
        </w:rPr>
        <w:t>二是高新技术企业认定口径，由《科技部财政部国家税务总局关于修订印发〈高新技术企业认定管理工作指引〉的通知》</w:t>
      </w:r>
      <w:r>
        <w:rPr>
          <w:rFonts w:hint="eastAsia" w:asciiTheme="majorEastAsia" w:hAnsiTheme="majorEastAsia" w:eastAsiaTheme="majorEastAsia" w:cstheme="majorEastAsia"/>
          <w:b w:val="0"/>
          <w:bCs/>
          <w:sz w:val="24"/>
          <w:szCs w:val="24"/>
          <w:lang w:val="en-US" w:eastAsia="zh-CN"/>
        </w:rPr>
        <w:t>（</w:t>
      </w:r>
      <w:r>
        <w:rPr>
          <w:rFonts w:hint="default" w:asciiTheme="majorEastAsia" w:hAnsiTheme="majorEastAsia" w:eastAsiaTheme="majorEastAsia" w:cstheme="majorEastAsia"/>
          <w:b w:val="0"/>
          <w:bCs/>
          <w:sz w:val="24"/>
          <w:szCs w:val="24"/>
          <w:lang w:val="en-US" w:eastAsia="zh-CN"/>
        </w:rPr>
        <w:t>国科发火</w:t>
      </w:r>
      <w:r>
        <w:rPr>
          <w:rFonts w:hint="eastAsia" w:asciiTheme="majorEastAsia" w:hAnsiTheme="majorEastAsia" w:eastAsiaTheme="majorEastAsia" w:cstheme="majorEastAsia"/>
          <w:b w:val="0"/>
          <w:bCs/>
          <w:sz w:val="24"/>
          <w:szCs w:val="24"/>
          <w:lang w:val="en-US" w:eastAsia="zh-CN"/>
        </w:rPr>
        <w:t>〔2016〕195号）</w:t>
      </w:r>
      <w:r>
        <w:rPr>
          <w:rFonts w:hint="default" w:asciiTheme="majorEastAsia" w:hAnsiTheme="majorEastAsia" w:eastAsiaTheme="majorEastAsia" w:cstheme="majorEastAsia"/>
          <w:b w:val="0"/>
          <w:bCs/>
          <w:sz w:val="24"/>
          <w:szCs w:val="24"/>
          <w:lang w:val="en-US" w:eastAsia="zh-CN"/>
        </w:rPr>
        <w:t>规范</w:t>
      </w:r>
      <w:r>
        <w:rPr>
          <w:rFonts w:hint="eastAsia" w:asciiTheme="majorEastAsia" w:hAnsiTheme="majorEastAsia" w:eastAsiaTheme="majorEastAsia" w:cstheme="majorEastAsia"/>
          <w:b w:val="0"/>
          <w:bCs/>
          <w:sz w:val="24"/>
          <w:szCs w:val="24"/>
          <w:lang w:val="en-US" w:eastAsia="zh-CN"/>
        </w:rPr>
        <w:t>；</w:t>
      </w:r>
      <w:r>
        <w:rPr>
          <w:rFonts w:hint="default" w:asciiTheme="majorEastAsia" w:hAnsiTheme="majorEastAsia" w:eastAsiaTheme="majorEastAsia" w:cstheme="majorEastAsia"/>
          <w:b w:val="0"/>
          <w:bCs/>
          <w:sz w:val="24"/>
          <w:szCs w:val="24"/>
          <w:lang w:val="en-US" w:eastAsia="zh-CN"/>
        </w:rPr>
        <w:t>三是加计扣除口径，由财税</w:t>
      </w:r>
      <w:r>
        <w:rPr>
          <w:rFonts w:hint="eastAsia" w:asciiTheme="majorEastAsia" w:hAnsiTheme="majorEastAsia" w:eastAsiaTheme="majorEastAsia" w:cstheme="majorEastAsia"/>
          <w:b w:val="0"/>
          <w:bCs/>
          <w:sz w:val="24"/>
          <w:szCs w:val="24"/>
          <w:lang w:val="en-US" w:eastAsia="zh-CN"/>
        </w:rPr>
        <w:t>〔2015〕119号、</w:t>
      </w:r>
      <w:r>
        <w:rPr>
          <w:rFonts w:hint="default" w:asciiTheme="majorEastAsia" w:hAnsiTheme="majorEastAsia" w:eastAsiaTheme="majorEastAsia" w:cstheme="majorEastAsia"/>
          <w:b w:val="0"/>
          <w:bCs/>
          <w:sz w:val="24"/>
          <w:szCs w:val="24"/>
          <w:lang w:val="en-US" w:eastAsia="zh-CN"/>
        </w:rPr>
        <w:t>2015年第97号公告、2017年第40号公告等文件规范</w:t>
      </w:r>
      <w:r>
        <w:rPr>
          <w:rFonts w:hint="eastAsia" w:asciiTheme="majorEastAsia" w:hAnsiTheme="majorEastAsia" w:eastAsiaTheme="majorEastAsia" w:cstheme="majorEastAsia"/>
          <w:b w:val="0"/>
          <w:bCs/>
          <w:sz w:val="24"/>
          <w:szCs w:val="24"/>
          <w:lang w:val="en-US" w:eastAsia="zh-CN"/>
        </w:rPr>
        <w:t>。三种口径的具体差异详见《附录1-研发费用归集口径比较》。</w:t>
      </w:r>
    </w:p>
    <w:p w14:paraId="247FD4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加计扣除的研发费用归集口径，具体包括以下六类费用：</w:t>
      </w:r>
    </w:p>
    <w:p w14:paraId="40307E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1.人员人工费用；2.直接投入费用；3.折旧费用；4.无形资产摊销；</w:t>
      </w:r>
    </w:p>
    <w:p w14:paraId="436B9F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5.新产品设计费、新工艺规程制定费、新药研制的临床试验费、勘探开发技术的现场试验费；6.其他相关费用</w:t>
      </w:r>
      <w:bookmarkStart w:id="47" w:name="_GoBack"/>
      <w:bookmarkEnd w:id="47"/>
    </w:p>
    <w:p w14:paraId="5EFB9A52">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heme="majorEastAsia" w:hAnsiTheme="majorEastAsia" w:eastAsiaTheme="majorEastAsia" w:cstheme="majorEastAsia"/>
          <w:sz w:val="28"/>
          <w:szCs w:val="28"/>
          <w:lang w:val="en-US" w:eastAsia="zh-CN"/>
        </w:rPr>
      </w:pPr>
      <w:bookmarkStart w:id="24" w:name="_Toc31900"/>
      <w:r>
        <w:rPr>
          <w:rFonts w:hint="eastAsia" w:asciiTheme="majorEastAsia" w:hAnsiTheme="majorEastAsia" w:eastAsiaTheme="majorEastAsia" w:cstheme="majorEastAsia"/>
          <w:sz w:val="28"/>
          <w:szCs w:val="28"/>
          <w:lang w:val="en-US" w:eastAsia="zh-CN"/>
        </w:rPr>
        <w:t>3.3适用主体范围</w:t>
      </w:r>
      <w:bookmarkEnd w:id="24"/>
    </w:p>
    <w:p w14:paraId="05D2CB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研发费用加计扣除政策适用于会计核算健全、实行查账征收并能够准确归集研发费用的居民企业。</w:t>
      </w:r>
    </w:p>
    <w:p w14:paraId="13B4CF1D">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eastAsia"/>
          <w:sz w:val="24"/>
          <w:szCs w:val="24"/>
          <w:lang w:val="en-US" w:eastAsia="zh-CN"/>
        </w:rPr>
      </w:pPr>
      <w:r>
        <w:rPr>
          <w:rFonts w:hint="eastAsia"/>
          <w:sz w:val="24"/>
          <w:szCs w:val="24"/>
          <w:lang w:val="en-US" w:eastAsia="zh-CN"/>
        </w:rPr>
        <w:t>3.3.1负面清单行业</w:t>
      </w:r>
    </w:p>
    <w:p w14:paraId="5781BEE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以下行业不适用研发费用加计扣除政策：</w:t>
      </w:r>
    </w:p>
    <w:p w14:paraId="146305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烟草制造业、住宿和餐饮业、批发和零售业、房地产业、租赁和商务服务业、娱乐业。</w:t>
      </w:r>
    </w:p>
    <w:p w14:paraId="0F39D0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上述行业以《国</w:t>
      </w:r>
      <w:r>
        <w:rPr>
          <w:rFonts w:hint="default" w:asciiTheme="majorEastAsia" w:hAnsiTheme="majorEastAsia" w:eastAsiaTheme="majorEastAsia" w:cstheme="majorEastAsia"/>
          <w:b w:val="0"/>
          <w:bCs/>
          <w:sz w:val="24"/>
          <w:szCs w:val="24"/>
          <w:lang w:val="en-US" w:eastAsia="zh-CN"/>
        </w:rPr>
        <w:t>民经济行业分类与代码</w:t>
      </w:r>
      <w:r>
        <w:rPr>
          <w:rFonts w:hint="eastAsia" w:asciiTheme="majorEastAsia" w:hAnsiTheme="majorEastAsia" w:eastAsiaTheme="majorEastAsia" w:cstheme="majorEastAsia"/>
          <w:b w:val="0"/>
          <w:bCs/>
          <w:sz w:val="24"/>
          <w:szCs w:val="24"/>
          <w:lang w:val="en-US" w:eastAsia="zh-CN"/>
        </w:rPr>
        <w:t>（</w:t>
      </w:r>
      <w:r>
        <w:rPr>
          <w:rFonts w:hint="default" w:asciiTheme="majorEastAsia" w:hAnsiTheme="majorEastAsia" w:eastAsiaTheme="majorEastAsia" w:cstheme="majorEastAsia"/>
          <w:b w:val="0"/>
          <w:bCs/>
          <w:sz w:val="24"/>
          <w:szCs w:val="24"/>
          <w:lang w:val="en-US" w:eastAsia="zh-CN"/>
        </w:rPr>
        <w:t>GB/T4754-2011</w:t>
      </w:r>
      <w:r>
        <w:rPr>
          <w:rFonts w:hint="eastAsia" w:asciiTheme="majorEastAsia" w:hAnsiTheme="majorEastAsia" w:eastAsiaTheme="majorEastAsia" w:cstheme="majorEastAsia"/>
          <w:b w:val="0"/>
          <w:bCs/>
          <w:sz w:val="24"/>
          <w:szCs w:val="24"/>
          <w:lang w:val="en-US" w:eastAsia="zh-CN"/>
        </w:rPr>
        <w:t>）</w:t>
      </w:r>
      <w:r>
        <w:rPr>
          <w:rFonts w:hint="default" w:asciiTheme="majorEastAsia" w:hAnsiTheme="majorEastAsia" w:eastAsiaTheme="majorEastAsia" w:cstheme="majorEastAsia"/>
          <w:b w:val="0"/>
          <w:bCs/>
          <w:sz w:val="24"/>
          <w:szCs w:val="24"/>
          <w:lang w:val="en-US" w:eastAsia="zh-CN"/>
        </w:rPr>
        <w:t>》为准，并随之更新</w:t>
      </w:r>
      <w:r>
        <w:rPr>
          <w:rFonts w:hint="eastAsia" w:asciiTheme="majorEastAsia" w:hAnsiTheme="majorEastAsia" w:eastAsiaTheme="majorEastAsia" w:cstheme="majorEastAsia"/>
          <w:b w:val="0"/>
          <w:bCs/>
          <w:sz w:val="24"/>
          <w:szCs w:val="24"/>
          <w:lang w:val="en-US" w:eastAsia="zh-CN"/>
        </w:rPr>
        <w:t>（</w:t>
      </w:r>
      <w:r>
        <w:rPr>
          <w:rFonts w:hint="default" w:asciiTheme="majorEastAsia" w:hAnsiTheme="majorEastAsia" w:eastAsiaTheme="majorEastAsia" w:cstheme="majorEastAsia"/>
          <w:b w:val="0"/>
          <w:bCs/>
          <w:sz w:val="24"/>
          <w:szCs w:val="24"/>
          <w:lang w:val="en-US" w:eastAsia="zh-CN"/>
        </w:rPr>
        <w:t>目前最新版本为《国民经济行业分类与代码</w:t>
      </w:r>
      <w:r>
        <w:rPr>
          <w:rFonts w:hint="eastAsia" w:asciiTheme="majorEastAsia" w:hAnsiTheme="majorEastAsia" w:eastAsiaTheme="majorEastAsia" w:cstheme="majorEastAsia"/>
          <w:b w:val="0"/>
          <w:bCs/>
          <w:sz w:val="24"/>
          <w:szCs w:val="24"/>
          <w:lang w:val="en-US" w:eastAsia="zh-CN"/>
        </w:rPr>
        <w:t>（</w:t>
      </w:r>
      <w:r>
        <w:rPr>
          <w:rFonts w:hint="default" w:asciiTheme="majorEastAsia" w:hAnsiTheme="majorEastAsia" w:eastAsiaTheme="majorEastAsia" w:cstheme="majorEastAsia"/>
          <w:b w:val="0"/>
          <w:bCs/>
          <w:sz w:val="24"/>
          <w:szCs w:val="24"/>
          <w:lang w:val="en-US" w:eastAsia="zh-CN"/>
        </w:rPr>
        <w:t>GB/T4754-2017</w:t>
      </w:r>
      <w:r>
        <w:rPr>
          <w:rFonts w:hint="eastAsia" w:asciiTheme="majorEastAsia" w:hAnsiTheme="majorEastAsia" w:eastAsiaTheme="majorEastAsia" w:cstheme="majorEastAsia"/>
          <w:b w:val="0"/>
          <w:bCs/>
          <w:sz w:val="24"/>
          <w:szCs w:val="24"/>
          <w:lang w:val="en-US" w:eastAsia="zh-CN"/>
        </w:rPr>
        <w:t>）</w:t>
      </w:r>
      <w:r>
        <w:rPr>
          <w:rFonts w:hint="default" w:asciiTheme="majorEastAsia" w:hAnsiTheme="majorEastAsia" w:eastAsiaTheme="majorEastAsia" w:cstheme="majorEastAsia"/>
          <w:b w:val="0"/>
          <w:bCs/>
          <w:sz w:val="24"/>
          <w:szCs w:val="24"/>
          <w:lang w:val="en-US" w:eastAsia="zh-CN"/>
        </w:rPr>
        <w:t>》</w:t>
      </w:r>
      <w:r>
        <w:rPr>
          <w:rFonts w:hint="eastAsia" w:asciiTheme="majorEastAsia" w:hAnsiTheme="majorEastAsia" w:eastAsiaTheme="majorEastAsia" w:cstheme="majorEastAsia"/>
          <w:b w:val="0"/>
          <w:bCs/>
          <w:sz w:val="24"/>
          <w:szCs w:val="24"/>
          <w:lang w:val="en-US" w:eastAsia="zh-CN"/>
        </w:rPr>
        <w:t>）</w:t>
      </w:r>
      <w:r>
        <w:rPr>
          <w:rFonts w:hint="default" w:asciiTheme="majorEastAsia" w:hAnsiTheme="majorEastAsia" w:eastAsiaTheme="majorEastAsia" w:cstheme="majorEastAsia"/>
          <w:b w:val="0"/>
          <w:bCs/>
          <w:sz w:val="24"/>
          <w:szCs w:val="24"/>
          <w:lang w:val="en-US" w:eastAsia="zh-CN"/>
        </w:rPr>
        <w:t>。</w:t>
      </w:r>
    </w:p>
    <w:p w14:paraId="746D53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当企业从事跨行业的经营活动时，</w:t>
      </w:r>
      <w:r>
        <w:rPr>
          <w:rFonts w:hint="default" w:asciiTheme="majorEastAsia" w:hAnsiTheme="majorEastAsia" w:eastAsiaTheme="majorEastAsia" w:cstheme="majorEastAsia"/>
          <w:b w:val="0"/>
          <w:bCs/>
          <w:sz w:val="24"/>
          <w:szCs w:val="24"/>
          <w:lang w:val="en-US" w:eastAsia="zh-CN"/>
        </w:rPr>
        <w:t>以列举的</w:t>
      </w:r>
      <w:r>
        <w:rPr>
          <w:rFonts w:hint="eastAsia" w:asciiTheme="majorEastAsia" w:hAnsiTheme="majorEastAsia" w:eastAsiaTheme="majorEastAsia" w:cstheme="majorEastAsia"/>
          <w:b w:val="0"/>
          <w:bCs/>
          <w:sz w:val="24"/>
          <w:szCs w:val="24"/>
          <w:lang w:val="en-US" w:eastAsia="zh-CN"/>
        </w:rPr>
        <w:t>上述</w:t>
      </w:r>
      <w:r>
        <w:rPr>
          <w:rFonts w:hint="default" w:asciiTheme="majorEastAsia" w:hAnsiTheme="majorEastAsia" w:eastAsiaTheme="majorEastAsia" w:cstheme="majorEastAsia"/>
          <w:b w:val="0"/>
          <w:bCs/>
          <w:sz w:val="24"/>
          <w:szCs w:val="24"/>
          <w:lang w:val="en-US" w:eastAsia="zh-CN"/>
        </w:rPr>
        <w:t>行业为主营业务，</w:t>
      </w:r>
      <w:r>
        <w:rPr>
          <w:rFonts w:hint="eastAsia" w:asciiTheme="majorEastAsia" w:hAnsiTheme="majorEastAsia" w:eastAsiaTheme="majorEastAsia" w:cstheme="majorEastAsia"/>
          <w:b w:val="0"/>
          <w:bCs/>
          <w:sz w:val="24"/>
          <w:szCs w:val="24"/>
          <w:lang w:val="en-US" w:eastAsia="zh-CN"/>
        </w:rPr>
        <w:t>即</w:t>
      </w:r>
      <w:r>
        <w:rPr>
          <w:rFonts w:hint="default" w:asciiTheme="majorEastAsia" w:hAnsiTheme="majorEastAsia" w:eastAsiaTheme="majorEastAsia" w:cstheme="majorEastAsia"/>
          <w:b w:val="0"/>
          <w:bCs/>
          <w:sz w:val="24"/>
          <w:szCs w:val="24"/>
          <w:lang w:val="en-US" w:eastAsia="zh-CN"/>
        </w:rPr>
        <w:t>其研发费用发生当年的主营业务收入占企业按税法第六条规定计算的收入总额减除不征税收入和投资收益的余额50%</w:t>
      </w:r>
      <w:r>
        <w:rPr>
          <w:rFonts w:hint="eastAsia" w:asciiTheme="majorEastAsia" w:hAnsiTheme="majorEastAsia" w:eastAsiaTheme="majorEastAsia" w:cstheme="majorEastAsia"/>
          <w:b w:val="0"/>
          <w:bCs/>
          <w:sz w:val="24"/>
          <w:szCs w:val="24"/>
          <w:lang w:val="en-US" w:eastAsia="zh-CN"/>
        </w:rPr>
        <w:t>（</w:t>
      </w:r>
      <w:r>
        <w:rPr>
          <w:rFonts w:hint="default" w:asciiTheme="majorEastAsia" w:hAnsiTheme="majorEastAsia" w:eastAsiaTheme="majorEastAsia" w:cstheme="majorEastAsia"/>
          <w:b w:val="0"/>
          <w:bCs/>
          <w:sz w:val="24"/>
          <w:szCs w:val="24"/>
          <w:lang w:val="en-US" w:eastAsia="zh-CN"/>
        </w:rPr>
        <w:t>不含</w:t>
      </w:r>
      <w:r>
        <w:rPr>
          <w:rFonts w:hint="eastAsia" w:asciiTheme="majorEastAsia" w:hAnsiTheme="majorEastAsia" w:eastAsiaTheme="majorEastAsia" w:cstheme="majorEastAsia"/>
          <w:b w:val="0"/>
          <w:bCs/>
          <w:sz w:val="24"/>
          <w:szCs w:val="24"/>
          <w:lang w:val="en-US" w:eastAsia="zh-CN"/>
        </w:rPr>
        <w:t>）</w:t>
      </w:r>
      <w:r>
        <w:rPr>
          <w:rFonts w:hint="default" w:asciiTheme="majorEastAsia" w:hAnsiTheme="majorEastAsia" w:eastAsiaTheme="majorEastAsia" w:cstheme="majorEastAsia"/>
          <w:b w:val="0"/>
          <w:bCs/>
          <w:sz w:val="24"/>
          <w:szCs w:val="24"/>
          <w:lang w:val="en-US" w:eastAsia="zh-CN"/>
        </w:rPr>
        <w:t>以上的企业</w:t>
      </w:r>
      <w:r>
        <w:rPr>
          <w:rFonts w:hint="eastAsia" w:asciiTheme="majorEastAsia" w:hAnsiTheme="majorEastAsia" w:eastAsiaTheme="majorEastAsia" w:cstheme="majorEastAsia"/>
          <w:b w:val="0"/>
          <w:bCs/>
          <w:sz w:val="24"/>
          <w:szCs w:val="24"/>
          <w:lang w:val="en-US" w:eastAsia="zh-CN"/>
        </w:rPr>
        <w:t>，亦不适用研发费用加计扣除</w:t>
      </w:r>
      <w:r>
        <w:rPr>
          <w:rFonts w:hint="default" w:asciiTheme="majorEastAsia" w:hAnsiTheme="majorEastAsia" w:eastAsiaTheme="majorEastAsia" w:cstheme="majorEastAsia"/>
          <w:b w:val="0"/>
          <w:bCs/>
          <w:sz w:val="24"/>
          <w:szCs w:val="24"/>
          <w:lang w:val="en-US" w:eastAsia="zh-CN"/>
        </w:rPr>
        <w:t>。从收入总额中减除的投资收益包括税法规定的股息、红利等权益性投资收益以及股权转让所得。</w:t>
      </w:r>
    </w:p>
    <w:p w14:paraId="46E4AEC0">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3.3.2其他负面情形</w:t>
      </w:r>
    </w:p>
    <w:p w14:paraId="3949A1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以下企业不适用研发费用加计扣除政策；</w:t>
      </w:r>
    </w:p>
    <w:p w14:paraId="24F92B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①非居民纳税人企业；②按核定征收方式缴纳企业所得税的企业。</w:t>
      </w:r>
    </w:p>
    <w:p w14:paraId="1AB4C281">
      <w:pPr>
        <w:pStyle w:val="2"/>
        <w:keepNext/>
        <w:keepLines/>
        <w:pageBreakBefore w:val="0"/>
        <w:widowControl w:val="0"/>
        <w:kinsoku/>
        <w:wordWrap/>
        <w:overflowPunct/>
        <w:topLinePunct w:val="0"/>
        <w:autoSpaceDE/>
        <w:autoSpaceDN/>
        <w:bidi w:val="0"/>
        <w:adjustRightInd/>
        <w:snapToGrid/>
        <w:spacing w:before="200" w:after="200" w:line="240" w:lineRule="auto"/>
        <w:textAlignment w:val="auto"/>
        <w:rPr>
          <w:rFonts w:hint="default"/>
          <w:b/>
          <w:sz w:val="30"/>
          <w:szCs w:val="30"/>
          <w:lang w:val="en-US" w:eastAsia="zh-CN"/>
        </w:rPr>
      </w:pPr>
      <w:bookmarkStart w:id="25" w:name="_Toc31643"/>
      <w:r>
        <w:rPr>
          <w:rFonts w:hint="eastAsia"/>
          <w:b/>
          <w:sz w:val="30"/>
          <w:szCs w:val="30"/>
          <w:lang w:val="en-US" w:eastAsia="zh-CN"/>
        </w:rPr>
        <w:t>四、业务规则与合规要求</w:t>
      </w:r>
      <w:bookmarkEnd w:id="25"/>
    </w:p>
    <w:p w14:paraId="7AA834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研发费用加计扣除的核心业务环节包括：研发活动判定、研发费用归集、辅助账编制、加计扣除计算、申报数据准备、备查资料归档和后续管理七个方面。</w:t>
      </w:r>
    </w:p>
    <w:p w14:paraId="04F45028">
      <w:pPr>
        <w:rPr>
          <w:rFonts w:hint="eastAsia"/>
          <w:lang w:val="en-US" w:eastAsia="zh-CN"/>
        </w:rPr>
      </w:pPr>
    </w:p>
    <w:p w14:paraId="08FDE6C5">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28"/>
          <w:szCs w:val="28"/>
          <w:lang w:val="en-US" w:eastAsia="zh-CN"/>
        </w:rPr>
      </w:pPr>
      <w:bookmarkStart w:id="26" w:name="_Toc5982"/>
      <w:r>
        <w:rPr>
          <w:rFonts w:hint="eastAsia" w:asciiTheme="majorEastAsia" w:hAnsiTheme="majorEastAsia" w:eastAsiaTheme="majorEastAsia" w:cstheme="majorEastAsia"/>
          <w:sz w:val="28"/>
          <w:szCs w:val="28"/>
          <w:lang w:val="en-US" w:eastAsia="zh-CN"/>
        </w:rPr>
        <w:t>4.1 研发活动判定规则</w:t>
      </w:r>
      <w:bookmarkEnd w:id="26"/>
    </w:p>
    <w:p w14:paraId="49C9D875">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eastAsia"/>
          <w:sz w:val="24"/>
          <w:szCs w:val="24"/>
          <w:lang w:val="en-US" w:eastAsia="zh-CN"/>
        </w:rPr>
      </w:pPr>
      <w:r>
        <w:rPr>
          <w:rFonts w:hint="eastAsia"/>
          <w:sz w:val="24"/>
          <w:szCs w:val="24"/>
          <w:lang w:val="en-US" w:eastAsia="zh-CN"/>
        </w:rPr>
        <w:t>4.1.1研发活动的定义与判定标准</w:t>
      </w:r>
    </w:p>
    <w:p w14:paraId="62CF71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根据财税〔2015〕119号的规定，研发活动是指企业为获得科学与技术新知识，创造性运用科学技术新知识，或实质性改进技术、产品（服务）、工艺而持续进行的具有明确目标的系统性活动。</w:t>
      </w:r>
    </w:p>
    <w:p w14:paraId="5EB3D3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结合研发活动的定义，研发活动的判定标准可概括为三项要点，即“有明确创新目标”“有系统组织形式”和“研发结果不确定”。</w:t>
      </w:r>
    </w:p>
    <w:tbl>
      <w:tblPr>
        <w:tblStyle w:val="13"/>
        <w:tblW w:w="8573"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43"/>
        <w:gridCol w:w="1756"/>
        <w:gridCol w:w="6474"/>
      </w:tblGrid>
      <w:tr w14:paraId="089F1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5" w:hRule="atLeast"/>
        </w:trPr>
        <w:tc>
          <w:tcPr>
            <w:tcW w:w="2099"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CE8E0C">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要点</w:t>
            </w:r>
          </w:p>
        </w:tc>
        <w:tc>
          <w:tcPr>
            <w:tcW w:w="64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3E44AB">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内涵</w:t>
            </w:r>
          </w:p>
        </w:tc>
      </w:tr>
      <w:tr w14:paraId="1B206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2E689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BFCDE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有明确创新目标</w:t>
            </w:r>
          </w:p>
        </w:tc>
        <w:tc>
          <w:tcPr>
            <w:tcW w:w="64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32A3B6">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研发活动一般具有明确的创新目标，如获得新知识、新技术、新工艺、新材料、新产品、新标准等。可通过以下问题予以明确。例如，该活动是否要探索以前未发现的现象、结构或关系？是否在一定范围要突破现有的技术瓶颈？研发成果是否不可预期？如果回答为“是”，则说明该活动具有明确的创新目标。</w:t>
            </w:r>
          </w:p>
        </w:tc>
      </w:tr>
      <w:tr w14:paraId="3AB01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F99CF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086FC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有系统组织形式</w:t>
            </w:r>
          </w:p>
        </w:tc>
        <w:tc>
          <w:tcPr>
            <w:tcW w:w="64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733E2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研发活动以项目、课题等方式组织进行，围绕具体目标，有较为确定的人、财、物等支持，经过立项、实施、结题的组织过程，因此是有边界的和可度量的。</w:t>
            </w:r>
          </w:p>
        </w:tc>
      </w:tr>
      <w:tr w14:paraId="5F513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9BFBC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7D07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研发结果不确定</w:t>
            </w:r>
          </w:p>
        </w:tc>
        <w:tc>
          <w:tcPr>
            <w:tcW w:w="647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38DCB5">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研发活动的结果是不能完全事先预期的，必须经过反复不断的试验、测试，具有较大的不确定性，存在失败的可能。</w:t>
            </w:r>
          </w:p>
        </w:tc>
      </w:tr>
    </w:tbl>
    <w:p w14:paraId="7B998A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sz w:val="24"/>
          <w:szCs w:val="24"/>
          <w:lang w:val="en-US" w:eastAsia="zh-CN"/>
        </w:rPr>
        <w:t>财税〔2015〕119号文明确规定，</w:t>
      </w:r>
      <w:r>
        <w:rPr>
          <w:rFonts w:hint="eastAsia"/>
          <w:strike w:val="0"/>
          <w:dstrike w:val="0"/>
          <w:sz w:val="24"/>
          <w:szCs w:val="24"/>
          <w:u w:val="none"/>
          <w:lang w:val="en-US" w:eastAsia="zh-CN"/>
        </w:rPr>
        <w:t>以下活动不适用研发费用加计扣除政策：</w:t>
      </w:r>
    </w:p>
    <w:p w14:paraId="2951F8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①企业产品（服务）的常规性升级；</w:t>
      </w:r>
    </w:p>
    <w:p w14:paraId="682090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②对某项科研成果的直接应用，如直接采用公开的新工艺、材料、装置、产品、服务或知识等；</w:t>
      </w:r>
    </w:p>
    <w:p w14:paraId="353041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③企业在商品化后为顾客提供的技术支持活动；</w:t>
      </w:r>
    </w:p>
    <w:p w14:paraId="6919F17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④对现存产品、服务、技术、材料或工艺流程进行的重复或简单改变；</w:t>
      </w:r>
    </w:p>
    <w:p w14:paraId="67935F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⑤市场调查研究、效率调查或管理研究；</w:t>
      </w:r>
    </w:p>
    <w:p w14:paraId="3DC9DE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⑥作为工业（服务）流程环节或常规的质量控制、测试分析、维修维护；</w:t>
      </w:r>
    </w:p>
    <w:p w14:paraId="446BD3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⑦社会科学、艺术或人文学方面的研究。</w:t>
      </w:r>
    </w:p>
    <w:p w14:paraId="1D5EC9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企业需自行判断其项目是否为研发活动，判断结果直接影响研发费用加计扣除的合规性。</w:t>
      </w:r>
    </w:p>
    <w:p w14:paraId="533437DE">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eastAsia"/>
          <w:sz w:val="24"/>
          <w:szCs w:val="24"/>
          <w:lang w:val="en-US" w:eastAsia="zh-CN"/>
        </w:rPr>
      </w:pPr>
      <w:r>
        <w:rPr>
          <w:rFonts w:hint="eastAsia"/>
          <w:sz w:val="24"/>
          <w:szCs w:val="24"/>
          <w:lang w:val="en-US" w:eastAsia="zh-CN"/>
        </w:rPr>
        <w:t>4.1.2项目立项的必要条件</w:t>
      </w:r>
    </w:p>
    <w:p w14:paraId="41642E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企业研发项目立项需要有企业决议文件与项目计划书。</w:t>
      </w:r>
    </w:p>
    <w:p w14:paraId="00775B4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sz w:val="24"/>
          <w:szCs w:val="24"/>
          <w:lang w:val="en-US" w:eastAsia="zh-CN"/>
        </w:rPr>
      </w:pPr>
      <w:r>
        <w:rPr>
          <w:rFonts w:hint="eastAsia"/>
          <w:b/>
          <w:bCs/>
          <w:sz w:val="24"/>
          <w:szCs w:val="24"/>
          <w:lang w:val="en-US" w:eastAsia="zh-CN"/>
        </w:rPr>
        <w:t>决议文件</w:t>
      </w:r>
      <w:r>
        <w:rPr>
          <w:rFonts w:hint="eastAsia"/>
          <w:sz w:val="24"/>
          <w:szCs w:val="24"/>
          <w:lang w:val="en-US" w:eastAsia="zh-CN"/>
        </w:rPr>
        <w:t>只需企业内部有决策权的部门作出决议即可，无需经过科技部门和税务部门进行立项备案。企业决议文件至少要包含三个核心信息：项目名称、研发目的、预算金额。一个项目一个决议，不应以会议纪要替代决议文件。</w:t>
      </w:r>
    </w:p>
    <w:p w14:paraId="161BF508">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sz w:val="24"/>
          <w:szCs w:val="24"/>
          <w:lang w:val="en-US" w:eastAsia="zh-CN"/>
        </w:rPr>
      </w:pPr>
      <w:r>
        <w:rPr>
          <w:rFonts w:hint="eastAsia"/>
          <w:b/>
          <w:bCs/>
          <w:sz w:val="24"/>
          <w:szCs w:val="24"/>
          <w:lang w:val="en-US" w:eastAsia="zh-CN"/>
        </w:rPr>
        <w:t>项目计划书</w:t>
      </w:r>
      <w:r>
        <w:rPr>
          <w:rFonts w:hint="eastAsia"/>
          <w:sz w:val="24"/>
          <w:szCs w:val="24"/>
          <w:lang w:val="en-US" w:eastAsia="zh-CN"/>
        </w:rPr>
        <w:t>建议包括以下基本要素：</w:t>
      </w:r>
    </w:p>
    <w:p w14:paraId="075A0A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1.研发目标，包括研发意义、国内外现状、预期研发成果、预期实现的技术指标、预期应用价值等；</w:t>
      </w:r>
    </w:p>
    <w:p w14:paraId="59A85A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2.研发内容，包括技术难点或拟解决的关键技术问题、创新点、技术路线等；</w:t>
      </w:r>
    </w:p>
    <w:p w14:paraId="633099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3.研发条件，包括研发基础、项目人员编制、经费预算等；</w:t>
      </w:r>
    </w:p>
    <w:p w14:paraId="453603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4.项目进度安排，包括研发准备、技术攻关、试验测试等进度安排；</w:t>
      </w:r>
    </w:p>
    <w:p w14:paraId="32B910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5.成果形式与考核指标。</w:t>
      </w:r>
    </w:p>
    <w:p w14:paraId="5BE1E822">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28"/>
          <w:szCs w:val="28"/>
          <w:lang w:val="en-US" w:eastAsia="zh-CN"/>
        </w:rPr>
      </w:pPr>
      <w:bookmarkStart w:id="27" w:name="_Toc9796"/>
      <w:r>
        <w:rPr>
          <w:rFonts w:hint="eastAsia" w:asciiTheme="majorEastAsia" w:hAnsiTheme="majorEastAsia" w:eastAsiaTheme="majorEastAsia" w:cstheme="majorEastAsia"/>
          <w:sz w:val="28"/>
          <w:szCs w:val="28"/>
          <w:lang w:val="en-US" w:eastAsia="zh-CN"/>
        </w:rPr>
        <w:t>4.2 费用归集与分摊规则</w:t>
      </w:r>
      <w:bookmarkEnd w:id="27"/>
    </w:p>
    <w:p w14:paraId="34E14F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允许加计扣除的研发费用范围采取的是正列举方式，即政策规定中列举的研发费用可以享受加计扣除，没有列举的研发费用不可以加计扣除。</w:t>
      </w:r>
    </w:p>
    <w:p w14:paraId="6E5FFC55">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4.2.1人员人工费用</w:t>
      </w:r>
    </w:p>
    <w:p w14:paraId="5BF388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对象范围：直接从事研发活动的人员（含外聘人员），分为研究人员、技术人员和辅助人员三类。</w:t>
      </w:r>
    </w:p>
    <w:p w14:paraId="70BA93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费用项目：工资薪金（含可税前扣除的股权激励）、基本养老保险费、基本医疗保险费、失业保险费、工伤保险费、生育保险费和住房公积金，以及外聘研发人员的劳务费用。</w:t>
      </w:r>
    </w:p>
    <w:p w14:paraId="14F07700">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4.2.2直接投入费用</w:t>
      </w:r>
    </w:p>
    <w:p w14:paraId="7506BF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对象范围：研发活动直接消耗或使用</w:t>
      </w:r>
    </w:p>
    <w:p w14:paraId="20AA31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费用项目：材料、燃料和动力费用；用于中间试验和产品试制的模具、工艺装备开发及制造费，样品、样机及一般测试手段购置费，试制产品检验费；仪器、设备的运行维护、调整、检验、维修等费用，仪器、设备租赁费（不含房屋租赁）。</w:t>
      </w:r>
    </w:p>
    <w:p w14:paraId="373E9103">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4.2.3折旧费用</w:t>
      </w:r>
    </w:p>
    <w:p w14:paraId="150895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对象范围：研发活动直接使用</w:t>
      </w:r>
    </w:p>
    <w:p w14:paraId="7FCEAF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费用项目：仪器、设备折旧费（不含房屋折旧、研发设施长期待摊费用）</w:t>
      </w:r>
    </w:p>
    <w:p w14:paraId="6CDE9E36">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4.2.4无形资产摊销</w:t>
      </w:r>
    </w:p>
    <w:p w14:paraId="19EFE5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对象范围：研发活动直接使用</w:t>
      </w:r>
    </w:p>
    <w:p w14:paraId="63DD2C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费用项目：软件、专利权、非专利技术（包括许可证、专有技术、设计和计算方法等）的摊销费用</w:t>
      </w:r>
    </w:p>
    <w:p w14:paraId="169D669C">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4.2.5设计试验费</w:t>
      </w:r>
    </w:p>
    <w:p w14:paraId="59049B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对象范围：研发活动直接消耗或使用</w:t>
      </w:r>
    </w:p>
    <w:p w14:paraId="6477E3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费用项目：新产品设计费、新工艺规程制定费、新药临床试验费、勘探开发技术现场试验费</w:t>
      </w:r>
    </w:p>
    <w:p w14:paraId="29444D09">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4.2.6其他相关费用</w:t>
      </w:r>
    </w:p>
    <w:p w14:paraId="78DCE6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对象范围：研发活动直接发生或使用</w:t>
      </w:r>
    </w:p>
    <w:p w14:paraId="03EE5F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sz w:val="24"/>
          <w:szCs w:val="24"/>
          <w:lang w:val="en-US" w:eastAsia="zh-CN"/>
        </w:rPr>
        <w:t>费用项目：</w:t>
      </w:r>
      <w:r>
        <w:rPr>
          <w:rFonts w:hint="eastAsia" w:asciiTheme="majorEastAsia" w:hAnsiTheme="majorEastAsia" w:eastAsiaTheme="majorEastAsia" w:cstheme="majorEastAsia"/>
          <w:b w:val="0"/>
          <w:bCs/>
          <w:sz w:val="24"/>
          <w:szCs w:val="24"/>
          <w:lang w:val="en-US" w:eastAsia="zh-CN"/>
        </w:rPr>
        <w:t>技术图书资料费、资料翻译费、专家咨询费、高新科技研发保险费，研发成果的检索、分析、评议、论证、鉴定、评审、评估、验收费用，知识产权的申请费、注册费、代理费，差旅费、会议费，职工福利费、补充养老保险费、补充医疗保险费。</w:t>
      </w:r>
    </w:p>
    <w:p w14:paraId="702F6304">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4.2.7费用分摊规则</w:t>
      </w:r>
    </w:p>
    <w:p w14:paraId="09EC796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bCs w:val="0"/>
          <w:sz w:val="24"/>
          <w:szCs w:val="24"/>
          <w:lang w:val="en-US" w:eastAsia="zh-CN"/>
        </w:rPr>
        <w:t>1.主要分摊场景</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5"/>
        <w:gridCol w:w="3609"/>
        <w:gridCol w:w="3018"/>
      </w:tblGrid>
      <w:tr w14:paraId="22D2A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5" w:type="dxa"/>
          </w:tcPr>
          <w:p w14:paraId="3B7F8A4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ajorEastAsia" w:hAnsiTheme="majorEastAsia" w:eastAsiaTheme="majorEastAsia" w:cstheme="majorEastAsia"/>
                <w:b/>
                <w:bCs w:val="0"/>
                <w:sz w:val="21"/>
                <w:szCs w:val="21"/>
                <w:vertAlign w:val="baseline"/>
                <w:lang w:val="en-US" w:eastAsia="zh-CN"/>
              </w:rPr>
            </w:pPr>
            <w:r>
              <w:rPr>
                <w:rFonts w:hint="eastAsia" w:asciiTheme="majorEastAsia" w:hAnsiTheme="majorEastAsia" w:eastAsiaTheme="majorEastAsia" w:cstheme="majorEastAsia"/>
                <w:b/>
                <w:bCs w:val="0"/>
                <w:sz w:val="21"/>
                <w:szCs w:val="21"/>
                <w:vertAlign w:val="baseline"/>
                <w:lang w:val="en-US" w:eastAsia="zh-CN"/>
              </w:rPr>
              <w:t>场景名称</w:t>
            </w:r>
          </w:p>
        </w:tc>
        <w:tc>
          <w:tcPr>
            <w:tcW w:w="3609" w:type="dxa"/>
          </w:tcPr>
          <w:p w14:paraId="708CFA3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ajorEastAsia" w:hAnsiTheme="majorEastAsia" w:eastAsiaTheme="majorEastAsia" w:cstheme="majorEastAsia"/>
                <w:b/>
                <w:bCs w:val="0"/>
                <w:sz w:val="21"/>
                <w:szCs w:val="21"/>
                <w:vertAlign w:val="baseline"/>
                <w:lang w:val="en-US" w:eastAsia="zh-CN"/>
              </w:rPr>
            </w:pPr>
            <w:r>
              <w:rPr>
                <w:rFonts w:hint="eastAsia" w:asciiTheme="majorEastAsia" w:hAnsiTheme="majorEastAsia" w:eastAsiaTheme="majorEastAsia" w:cstheme="majorEastAsia"/>
                <w:b/>
                <w:bCs w:val="0"/>
                <w:sz w:val="21"/>
                <w:szCs w:val="21"/>
                <w:vertAlign w:val="baseline"/>
                <w:lang w:val="en-US" w:eastAsia="zh-CN"/>
              </w:rPr>
              <w:t>场景含义</w:t>
            </w:r>
          </w:p>
        </w:tc>
        <w:tc>
          <w:tcPr>
            <w:tcW w:w="3018" w:type="dxa"/>
          </w:tcPr>
          <w:p w14:paraId="7C9D5D3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heme="majorEastAsia" w:hAnsiTheme="majorEastAsia" w:eastAsiaTheme="majorEastAsia" w:cstheme="majorEastAsia"/>
                <w:b/>
                <w:bCs w:val="0"/>
                <w:sz w:val="21"/>
                <w:szCs w:val="21"/>
                <w:vertAlign w:val="baseline"/>
                <w:lang w:val="en-US" w:eastAsia="zh-CN"/>
              </w:rPr>
            </w:pPr>
            <w:r>
              <w:rPr>
                <w:rFonts w:hint="eastAsia" w:asciiTheme="majorEastAsia" w:hAnsiTheme="majorEastAsia" w:eastAsiaTheme="majorEastAsia" w:cstheme="majorEastAsia"/>
                <w:b/>
                <w:bCs w:val="0"/>
                <w:sz w:val="21"/>
                <w:szCs w:val="21"/>
                <w:vertAlign w:val="baseline"/>
                <w:lang w:val="en-US" w:eastAsia="zh-CN"/>
              </w:rPr>
              <w:t>分摊依据</w:t>
            </w:r>
          </w:p>
        </w:tc>
      </w:tr>
      <w:tr w14:paraId="56CA9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5" w:type="dxa"/>
          </w:tcPr>
          <w:p w14:paraId="2E5FB2BB">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val="0"/>
                <w:bCs/>
                <w:sz w:val="21"/>
                <w:szCs w:val="21"/>
                <w:vertAlign w:val="baseline"/>
                <w:lang w:val="en-US" w:eastAsia="zh-CN"/>
              </w:rPr>
            </w:pPr>
            <w:r>
              <w:rPr>
                <w:rFonts w:hint="eastAsia" w:asciiTheme="majorEastAsia" w:hAnsiTheme="majorEastAsia" w:eastAsiaTheme="majorEastAsia" w:cstheme="majorEastAsia"/>
                <w:b w:val="0"/>
                <w:bCs/>
                <w:sz w:val="21"/>
                <w:szCs w:val="21"/>
                <w:lang w:val="en-US" w:eastAsia="zh-CN"/>
              </w:rPr>
              <w:t>研发费用和生产经营费用间分摊</w:t>
            </w:r>
          </w:p>
        </w:tc>
        <w:tc>
          <w:tcPr>
            <w:tcW w:w="3609" w:type="dxa"/>
          </w:tcPr>
          <w:p w14:paraId="03BA76F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heme="majorEastAsia" w:hAnsiTheme="majorEastAsia" w:eastAsiaTheme="majorEastAsia" w:cstheme="majorEastAsia"/>
                <w:b w:val="0"/>
                <w:bCs/>
                <w:sz w:val="21"/>
                <w:szCs w:val="21"/>
                <w:vertAlign w:val="baseline"/>
                <w:lang w:val="en-US" w:eastAsia="zh-CN"/>
              </w:rPr>
            </w:pPr>
            <w:r>
              <w:rPr>
                <w:rFonts w:hint="eastAsia" w:asciiTheme="majorEastAsia" w:hAnsiTheme="majorEastAsia" w:eastAsiaTheme="majorEastAsia" w:cstheme="majorEastAsia"/>
                <w:b w:val="0"/>
                <w:bCs/>
                <w:sz w:val="21"/>
                <w:szCs w:val="21"/>
                <w:lang w:val="en-US" w:eastAsia="zh-CN"/>
              </w:rPr>
              <w:t>企业从事研发活动的人员同时承担生产经营管理等职能，用于研发活动的仪器、设备、无形资产同时用于非研发活动，相关费用需要在研发活动和经营活动间分摊。</w:t>
            </w:r>
          </w:p>
        </w:tc>
        <w:tc>
          <w:tcPr>
            <w:tcW w:w="3018" w:type="dxa"/>
            <w:vMerge w:val="restart"/>
          </w:tcPr>
          <w:p w14:paraId="4CD505D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val="0"/>
                <w:bCs/>
                <w:sz w:val="21"/>
                <w:szCs w:val="21"/>
                <w:vertAlign w:val="baseline"/>
                <w:lang w:val="en-US" w:eastAsia="zh-CN"/>
              </w:rPr>
            </w:pPr>
            <w:r>
              <w:rPr>
                <w:rFonts w:hint="eastAsia" w:asciiTheme="majorEastAsia" w:hAnsiTheme="majorEastAsia" w:eastAsiaTheme="majorEastAsia" w:cstheme="majorEastAsia"/>
                <w:b w:val="0"/>
                <w:bCs/>
                <w:sz w:val="21"/>
                <w:szCs w:val="21"/>
                <w:lang w:val="en-US" w:eastAsia="zh-CN"/>
              </w:rPr>
              <w:t>分摊规则由企业自行合理确定。企业应对此类人员参与研发活动情况及仪器、设备、无形资产的使用情况做必要记录，并将其实际发生的相关费用按预设规则（工时、面积、产值等占比）合理分摊。</w:t>
            </w:r>
          </w:p>
        </w:tc>
      </w:tr>
      <w:tr w14:paraId="1385D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5" w:type="dxa"/>
          </w:tcPr>
          <w:p w14:paraId="20397DE4">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val="0"/>
                <w:bCs/>
                <w:sz w:val="21"/>
                <w:szCs w:val="21"/>
                <w:vertAlign w:val="baseline"/>
                <w:lang w:val="en-US" w:eastAsia="zh-CN"/>
              </w:rPr>
            </w:pPr>
            <w:r>
              <w:rPr>
                <w:rFonts w:hint="eastAsia" w:asciiTheme="majorEastAsia" w:hAnsiTheme="majorEastAsia" w:eastAsiaTheme="majorEastAsia" w:cstheme="majorEastAsia"/>
                <w:b w:val="0"/>
                <w:bCs/>
                <w:sz w:val="21"/>
                <w:szCs w:val="21"/>
                <w:lang w:val="en-US" w:eastAsia="zh-CN"/>
              </w:rPr>
              <w:t>不同项目间研发费用分摊</w:t>
            </w:r>
          </w:p>
        </w:tc>
        <w:tc>
          <w:tcPr>
            <w:tcW w:w="3609" w:type="dxa"/>
          </w:tcPr>
          <w:p w14:paraId="7279E23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heme="majorEastAsia" w:hAnsiTheme="majorEastAsia" w:eastAsiaTheme="majorEastAsia" w:cstheme="majorEastAsia"/>
                <w:b w:val="0"/>
                <w:bCs/>
                <w:sz w:val="21"/>
                <w:szCs w:val="21"/>
                <w:vertAlign w:val="baseline"/>
                <w:lang w:val="en-US" w:eastAsia="zh-CN"/>
              </w:rPr>
            </w:pPr>
            <w:r>
              <w:rPr>
                <w:rFonts w:hint="eastAsia" w:asciiTheme="majorEastAsia" w:hAnsiTheme="majorEastAsia" w:eastAsiaTheme="majorEastAsia" w:cstheme="majorEastAsia"/>
                <w:b w:val="0"/>
                <w:bCs/>
                <w:sz w:val="21"/>
                <w:szCs w:val="21"/>
                <w:lang w:val="en-US" w:eastAsia="zh-CN"/>
              </w:rPr>
              <w:t>从事研发活动的人员或设备同时投入多个研发项目，由此产生的研发费用在不同项目间分摊。</w:t>
            </w:r>
          </w:p>
        </w:tc>
        <w:tc>
          <w:tcPr>
            <w:tcW w:w="3018" w:type="dxa"/>
            <w:vMerge w:val="continue"/>
          </w:tcPr>
          <w:p w14:paraId="257430A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val="0"/>
                <w:bCs/>
                <w:sz w:val="21"/>
                <w:szCs w:val="21"/>
                <w:vertAlign w:val="baseline"/>
                <w:lang w:val="en-US" w:eastAsia="zh-CN"/>
              </w:rPr>
            </w:pPr>
          </w:p>
        </w:tc>
      </w:tr>
      <w:tr w14:paraId="32545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5" w:type="dxa"/>
          </w:tcPr>
          <w:p w14:paraId="7A4FC8D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val="0"/>
                <w:bCs/>
                <w:sz w:val="21"/>
                <w:szCs w:val="21"/>
                <w:vertAlign w:val="baseline"/>
                <w:lang w:val="en-US" w:eastAsia="zh-CN"/>
              </w:rPr>
            </w:pPr>
            <w:r>
              <w:rPr>
                <w:rFonts w:hint="eastAsia" w:asciiTheme="majorEastAsia" w:hAnsiTheme="majorEastAsia" w:eastAsiaTheme="majorEastAsia" w:cstheme="majorEastAsia"/>
                <w:b w:val="0"/>
                <w:bCs/>
                <w:sz w:val="21"/>
                <w:szCs w:val="21"/>
                <w:lang w:val="en-US" w:eastAsia="zh-CN"/>
              </w:rPr>
              <w:t>集中研发受益企业间研发费用分摊</w:t>
            </w:r>
          </w:p>
        </w:tc>
        <w:tc>
          <w:tcPr>
            <w:tcW w:w="3609" w:type="dxa"/>
          </w:tcPr>
          <w:p w14:paraId="36B7461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heme="majorEastAsia" w:hAnsiTheme="majorEastAsia" w:eastAsiaTheme="majorEastAsia" w:cstheme="majorEastAsia"/>
                <w:b w:val="0"/>
                <w:bCs/>
                <w:sz w:val="21"/>
                <w:szCs w:val="21"/>
                <w:vertAlign w:val="baseline"/>
                <w:lang w:val="en-US" w:eastAsia="zh-CN"/>
              </w:rPr>
            </w:pPr>
            <w:r>
              <w:rPr>
                <w:rFonts w:hint="eastAsia" w:asciiTheme="majorEastAsia" w:hAnsiTheme="majorEastAsia" w:eastAsiaTheme="majorEastAsia" w:cstheme="majorEastAsia"/>
                <w:b w:val="0"/>
                <w:bCs/>
                <w:sz w:val="21"/>
                <w:szCs w:val="21"/>
                <w:lang w:val="en-US" w:eastAsia="zh-CN"/>
              </w:rPr>
              <w:t>集中研发项目中，按照权利和义务相一致、费用支出和收益分享相配比的原则，研发费用在受益成员企业间进行分摊。</w:t>
            </w:r>
          </w:p>
        </w:tc>
        <w:tc>
          <w:tcPr>
            <w:tcW w:w="3018" w:type="dxa"/>
          </w:tcPr>
          <w:p w14:paraId="177AD29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heme="majorEastAsia" w:hAnsiTheme="majorEastAsia" w:eastAsiaTheme="majorEastAsia" w:cstheme="majorEastAsia"/>
                <w:b w:val="0"/>
                <w:bCs/>
                <w:sz w:val="21"/>
                <w:szCs w:val="21"/>
                <w:vertAlign w:val="baseline"/>
                <w:lang w:val="en-US" w:eastAsia="zh-CN"/>
              </w:rPr>
            </w:pPr>
            <w:r>
              <w:rPr>
                <w:rFonts w:hint="eastAsia" w:asciiTheme="majorEastAsia" w:hAnsiTheme="majorEastAsia" w:eastAsiaTheme="majorEastAsia" w:cstheme="majorEastAsia"/>
                <w:b w:val="0"/>
                <w:bCs/>
                <w:sz w:val="21"/>
                <w:szCs w:val="21"/>
                <w:lang w:val="en-US" w:eastAsia="zh-CN"/>
              </w:rPr>
              <w:t>集中研发协议或合同应明确参与各方在该研发项目中的权利和义务、费用分摊方法等内容，</w:t>
            </w:r>
          </w:p>
        </w:tc>
      </w:tr>
    </w:tbl>
    <w:p w14:paraId="394FCC3C">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heme="majorEastAsia" w:hAnsiTheme="majorEastAsia" w:eastAsiaTheme="majorEastAsia" w:cstheme="majorEastAsia"/>
          <w:b/>
          <w:bCs w:val="0"/>
          <w:sz w:val="24"/>
          <w:szCs w:val="24"/>
          <w:lang w:val="en-US" w:eastAsia="zh-CN"/>
        </w:rPr>
      </w:pPr>
      <w:r>
        <w:rPr>
          <w:rFonts w:hint="eastAsia" w:asciiTheme="majorEastAsia" w:hAnsiTheme="majorEastAsia" w:eastAsiaTheme="majorEastAsia" w:cstheme="majorEastAsia"/>
          <w:b/>
          <w:bCs w:val="0"/>
          <w:sz w:val="24"/>
          <w:szCs w:val="24"/>
          <w:lang w:val="en-US" w:eastAsia="zh-CN"/>
        </w:rPr>
        <w:t>2.主要分摊对象</w:t>
      </w:r>
    </w:p>
    <w:p w14:paraId="6166E9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分摊对象，是指在费用分摊过程中作为分配依据的基础记录数据。根据国家税务总局公告2017年第40号的规定以及实务操作惯例，研发活动动因类的分摊对象包括以下几类：</w:t>
      </w:r>
    </w:p>
    <w:tbl>
      <w:tblPr>
        <w:tblStyle w:val="13"/>
        <w:tblW w:w="5000"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2084"/>
        <w:gridCol w:w="2286"/>
        <w:gridCol w:w="2640"/>
      </w:tblGrid>
      <w:tr w14:paraId="0074D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tcBorders>
              <w:top w:val="single" w:color="000000" w:sz="2" w:space="0"/>
              <w:left w:val="single" w:color="000000" w:sz="2" w:space="0"/>
              <w:bottom w:val="single" w:color="000000" w:sz="2" w:space="0"/>
              <w:right w:val="single" w:color="000000" w:sz="2" w:space="0"/>
            </w:tcBorders>
            <w:vAlign w:val="center"/>
          </w:tcPr>
          <w:p w14:paraId="17D5B592">
            <w:pPr>
              <w:jc w:val="center"/>
              <w:rPr>
                <w:b/>
              </w:rPr>
            </w:pPr>
            <w:r>
              <w:rPr>
                <w:b/>
              </w:rPr>
              <w:t>分摊对象</w:t>
            </w:r>
          </w:p>
        </w:tc>
        <w:tc>
          <w:tcPr>
            <w:tcW w:w="1222" w:type="pct"/>
            <w:tcBorders>
              <w:top w:val="single" w:color="000000" w:sz="2" w:space="0"/>
              <w:left w:val="single" w:color="000000" w:sz="2" w:space="0"/>
              <w:bottom w:val="single" w:color="000000" w:sz="2" w:space="0"/>
              <w:right w:val="single" w:color="000000" w:sz="2" w:space="0"/>
            </w:tcBorders>
            <w:vAlign w:val="center"/>
          </w:tcPr>
          <w:p w14:paraId="1CC9721B">
            <w:pPr>
              <w:jc w:val="center"/>
              <w:rPr>
                <w:b/>
              </w:rPr>
            </w:pPr>
            <w:r>
              <w:rPr>
                <w:b/>
              </w:rPr>
              <w:t>适用费用类型</w:t>
            </w:r>
          </w:p>
        </w:tc>
        <w:tc>
          <w:tcPr>
            <w:tcW w:w="1341" w:type="pct"/>
            <w:tcBorders>
              <w:top w:val="single" w:color="000000" w:sz="2" w:space="0"/>
              <w:left w:val="single" w:color="000000" w:sz="2" w:space="0"/>
              <w:bottom w:val="single" w:color="000000" w:sz="2" w:space="0"/>
              <w:right w:val="single" w:color="000000" w:sz="2" w:space="0"/>
            </w:tcBorders>
            <w:vAlign w:val="center"/>
          </w:tcPr>
          <w:p w14:paraId="60EA1800">
            <w:pPr>
              <w:jc w:val="center"/>
              <w:rPr>
                <w:b/>
              </w:rPr>
            </w:pPr>
            <w:r>
              <w:rPr>
                <w:b/>
              </w:rPr>
              <w:t>记录来源</w:t>
            </w:r>
          </w:p>
        </w:tc>
        <w:tc>
          <w:tcPr>
            <w:tcW w:w="1548" w:type="pct"/>
            <w:tcBorders>
              <w:top w:val="single" w:color="000000" w:sz="2" w:space="0"/>
              <w:left w:val="single" w:color="000000" w:sz="2" w:space="0"/>
              <w:bottom w:val="single" w:color="000000" w:sz="2" w:space="0"/>
              <w:right w:val="single" w:color="000000" w:sz="2" w:space="0"/>
            </w:tcBorders>
            <w:vAlign w:val="center"/>
          </w:tcPr>
          <w:p w14:paraId="00C95CFA">
            <w:pPr>
              <w:jc w:val="center"/>
              <w:rPr>
                <w:b/>
              </w:rPr>
            </w:pPr>
            <w:r>
              <w:rPr>
                <w:b/>
              </w:rPr>
              <w:t>税务政策依据</w:t>
            </w:r>
          </w:p>
        </w:tc>
      </w:tr>
      <w:tr w14:paraId="71F84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tcBorders>
              <w:top w:val="single" w:color="000000" w:sz="2" w:space="0"/>
              <w:left w:val="single" w:color="000000" w:sz="2" w:space="0"/>
              <w:bottom w:val="single" w:color="000000" w:sz="2" w:space="0"/>
              <w:right w:val="single" w:color="000000" w:sz="2" w:space="0"/>
            </w:tcBorders>
            <w:vAlign w:val="center"/>
          </w:tcPr>
          <w:p w14:paraId="7961A317">
            <w:r>
              <w:t>研发工时记录</w:t>
            </w:r>
          </w:p>
        </w:tc>
        <w:tc>
          <w:tcPr>
            <w:tcW w:w="1222" w:type="pct"/>
            <w:tcBorders>
              <w:top w:val="single" w:color="000000" w:sz="2" w:space="0"/>
              <w:left w:val="single" w:color="000000" w:sz="2" w:space="0"/>
              <w:bottom w:val="single" w:color="000000" w:sz="2" w:space="0"/>
              <w:right w:val="single" w:color="000000" w:sz="2" w:space="0"/>
            </w:tcBorders>
            <w:vAlign w:val="center"/>
          </w:tcPr>
          <w:p w14:paraId="0642D1BF">
            <w:r>
              <w:t>人员人工费用、共用间接费用</w:t>
            </w:r>
          </w:p>
        </w:tc>
        <w:tc>
          <w:tcPr>
            <w:tcW w:w="1341" w:type="pct"/>
            <w:tcBorders>
              <w:top w:val="single" w:color="000000" w:sz="2" w:space="0"/>
              <w:left w:val="single" w:color="000000" w:sz="2" w:space="0"/>
              <w:bottom w:val="single" w:color="000000" w:sz="2" w:space="0"/>
              <w:right w:val="single" w:color="000000" w:sz="2" w:space="0"/>
            </w:tcBorders>
            <w:vAlign w:val="center"/>
          </w:tcPr>
          <w:p w14:paraId="23697A23">
            <w:r>
              <w:t>工时管理系统/研发管理系统</w:t>
            </w:r>
          </w:p>
        </w:tc>
        <w:tc>
          <w:tcPr>
            <w:tcW w:w="1548" w:type="pct"/>
            <w:tcBorders>
              <w:top w:val="single" w:color="000000" w:sz="2" w:space="0"/>
              <w:left w:val="single" w:color="000000" w:sz="2" w:space="0"/>
              <w:bottom w:val="single" w:color="000000" w:sz="2" w:space="0"/>
              <w:right w:val="single" w:color="000000" w:sz="2" w:space="0"/>
            </w:tcBorders>
            <w:vAlign w:val="center"/>
          </w:tcPr>
          <w:p w14:paraId="5AAB6327">
            <w:r>
              <w:rPr>
                <w:rFonts w:hint="eastAsia"/>
                <w:lang w:eastAsia="zh-CN"/>
              </w:rPr>
              <w:t>“</w:t>
            </w:r>
            <w:r>
              <w:t>按实际工时占比等合理方法</w:t>
            </w:r>
            <w:r>
              <w:rPr>
                <w:rFonts w:hint="eastAsia"/>
                <w:lang w:eastAsia="zh-CN"/>
              </w:rPr>
              <w:t>”</w:t>
            </w:r>
            <w:r>
              <w:t>分摊</w:t>
            </w:r>
          </w:p>
        </w:tc>
      </w:tr>
      <w:tr w14:paraId="17205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tcBorders>
              <w:top w:val="single" w:color="000000" w:sz="2" w:space="0"/>
              <w:left w:val="single" w:color="000000" w:sz="2" w:space="0"/>
              <w:bottom w:val="single" w:color="000000" w:sz="2" w:space="0"/>
              <w:right w:val="single" w:color="000000" w:sz="2" w:space="0"/>
            </w:tcBorders>
            <w:vAlign w:val="center"/>
          </w:tcPr>
          <w:p w14:paraId="639A4820">
            <w:r>
              <w:t>设备使用记录</w:t>
            </w:r>
          </w:p>
        </w:tc>
        <w:tc>
          <w:tcPr>
            <w:tcW w:w="1222" w:type="pct"/>
            <w:tcBorders>
              <w:top w:val="single" w:color="000000" w:sz="2" w:space="0"/>
              <w:left w:val="single" w:color="000000" w:sz="2" w:space="0"/>
              <w:bottom w:val="single" w:color="000000" w:sz="2" w:space="0"/>
              <w:right w:val="single" w:color="000000" w:sz="2" w:space="0"/>
            </w:tcBorders>
            <w:vAlign w:val="center"/>
          </w:tcPr>
          <w:p w14:paraId="771247B5">
            <w:r>
              <w:t>折旧费用、设备租赁费</w:t>
            </w:r>
          </w:p>
        </w:tc>
        <w:tc>
          <w:tcPr>
            <w:tcW w:w="1341" w:type="pct"/>
            <w:tcBorders>
              <w:top w:val="single" w:color="000000" w:sz="2" w:space="0"/>
              <w:left w:val="single" w:color="000000" w:sz="2" w:space="0"/>
              <w:bottom w:val="single" w:color="000000" w:sz="2" w:space="0"/>
              <w:right w:val="single" w:color="000000" w:sz="2" w:space="0"/>
            </w:tcBorders>
            <w:vAlign w:val="center"/>
          </w:tcPr>
          <w:p w14:paraId="1D585530">
            <w:r>
              <w:t>设备运行日志/设备管理系统</w:t>
            </w:r>
          </w:p>
        </w:tc>
        <w:tc>
          <w:tcPr>
            <w:tcW w:w="1548" w:type="pct"/>
            <w:tcBorders>
              <w:top w:val="single" w:color="000000" w:sz="2" w:space="0"/>
              <w:left w:val="single" w:color="000000" w:sz="2" w:space="0"/>
              <w:bottom w:val="single" w:color="000000" w:sz="2" w:space="0"/>
              <w:right w:val="single" w:color="000000" w:sz="2" w:space="0"/>
            </w:tcBorders>
            <w:vAlign w:val="center"/>
          </w:tcPr>
          <w:p w14:paraId="4FE7BD2E">
            <w:r>
              <w:rPr>
                <w:rFonts w:hint="eastAsia"/>
                <w:lang w:eastAsia="zh-CN"/>
              </w:rPr>
              <w:t>“</w:t>
            </w:r>
            <w:r>
              <w:t>应对其仪器设备使用情况做必要记录</w:t>
            </w:r>
            <w:r>
              <w:rPr>
                <w:rFonts w:hint="eastAsia"/>
                <w:lang w:eastAsia="zh-CN"/>
              </w:rPr>
              <w:t>”</w:t>
            </w:r>
          </w:p>
        </w:tc>
      </w:tr>
      <w:tr w14:paraId="03FA6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tcBorders>
              <w:top w:val="single" w:color="000000" w:sz="2" w:space="0"/>
              <w:left w:val="single" w:color="000000" w:sz="2" w:space="0"/>
              <w:bottom w:val="single" w:color="000000" w:sz="2" w:space="0"/>
              <w:right w:val="single" w:color="000000" w:sz="2" w:space="0"/>
            </w:tcBorders>
            <w:vAlign w:val="center"/>
          </w:tcPr>
          <w:p w14:paraId="2F374AF6">
            <w:r>
              <w:t>物料领用记录</w:t>
            </w:r>
          </w:p>
        </w:tc>
        <w:tc>
          <w:tcPr>
            <w:tcW w:w="1222" w:type="pct"/>
            <w:tcBorders>
              <w:top w:val="single" w:color="000000" w:sz="2" w:space="0"/>
              <w:left w:val="single" w:color="000000" w:sz="2" w:space="0"/>
              <w:bottom w:val="single" w:color="000000" w:sz="2" w:space="0"/>
              <w:right w:val="single" w:color="000000" w:sz="2" w:space="0"/>
            </w:tcBorders>
            <w:vAlign w:val="center"/>
          </w:tcPr>
          <w:p w14:paraId="3C6034AF">
            <w:r>
              <w:t>直接投入费用（多项目共用材料）</w:t>
            </w:r>
          </w:p>
        </w:tc>
        <w:tc>
          <w:tcPr>
            <w:tcW w:w="1341" w:type="pct"/>
            <w:tcBorders>
              <w:top w:val="single" w:color="000000" w:sz="2" w:space="0"/>
              <w:left w:val="single" w:color="000000" w:sz="2" w:space="0"/>
              <w:bottom w:val="single" w:color="000000" w:sz="2" w:space="0"/>
              <w:right w:val="single" w:color="000000" w:sz="2" w:space="0"/>
            </w:tcBorders>
            <w:vAlign w:val="center"/>
          </w:tcPr>
          <w:p w14:paraId="34F73521">
            <w:r>
              <w:t>研发领料单</w:t>
            </w:r>
          </w:p>
        </w:tc>
        <w:tc>
          <w:tcPr>
            <w:tcW w:w="1548" w:type="pct"/>
            <w:tcBorders>
              <w:top w:val="single" w:color="000000" w:sz="2" w:space="0"/>
              <w:left w:val="single" w:color="000000" w:sz="2" w:space="0"/>
              <w:bottom w:val="single" w:color="000000" w:sz="2" w:space="0"/>
              <w:right w:val="single" w:color="000000" w:sz="2" w:space="0"/>
            </w:tcBorders>
            <w:vAlign w:val="center"/>
          </w:tcPr>
          <w:p w14:paraId="4065C3E7">
            <w:r>
              <w:t>领料单须注明项目编号，共用物料按工时等分摊</w:t>
            </w:r>
          </w:p>
        </w:tc>
      </w:tr>
      <w:tr w14:paraId="7AF5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pct"/>
            <w:tcBorders>
              <w:top w:val="single" w:color="000000" w:sz="2" w:space="0"/>
              <w:left w:val="single" w:color="000000" w:sz="2" w:space="0"/>
              <w:bottom w:val="single" w:color="000000" w:sz="2" w:space="0"/>
              <w:right w:val="single" w:color="000000" w:sz="2" w:space="0"/>
            </w:tcBorders>
            <w:vAlign w:val="center"/>
          </w:tcPr>
          <w:p w14:paraId="120E9A81">
            <w:r>
              <w:t>任务分配记录</w:t>
            </w:r>
          </w:p>
        </w:tc>
        <w:tc>
          <w:tcPr>
            <w:tcW w:w="1222" w:type="pct"/>
            <w:tcBorders>
              <w:top w:val="single" w:color="000000" w:sz="2" w:space="0"/>
              <w:left w:val="single" w:color="000000" w:sz="2" w:space="0"/>
              <w:bottom w:val="single" w:color="000000" w:sz="2" w:space="0"/>
              <w:right w:val="single" w:color="000000" w:sz="2" w:space="0"/>
            </w:tcBorders>
            <w:vAlign w:val="center"/>
          </w:tcPr>
          <w:p w14:paraId="2A0D85B8">
            <w:r>
              <w:t>设计费、试验费等间接关联费用</w:t>
            </w:r>
          </w:p>
        </w:tc>
        <w:tc>
          <w:tcPr>
            <w:tcW w:w="1341" w:type="pct"/>
            <w:tcBorders>
              <w:top w:val="single" w:color="000000" w:sz="2" w:space="0"/>
              <w:left w:val="single" w:color="000000" w:sz="2" w:space="0"/>
              <w:bottom w:val="single" w:color="000000" w:sz="2" w:space="0"/>
              <w:right w:val="single" w:color="000000" w:sz="2" w:space="0"/>
            </w:tcBorders>
            <w:vAlign w:val="center"/>
          </w:tcPr>
          <w:p w14:paraId="5D4D1B4B">
            <w:r>
              <w:t>项目管理系统</w:t>
            </w:r>
          </w:p>
        </w:tc>
        <w:tc>
          <w:tcPr>
            <w:tcW w:w="1548" w:type="pct"/>
            <w:tcBorders>
              <w:top w:val="single" w:color="000000" w:sz="2" w:space="0"/>
              <w:left w:val="single" w:color="000000" w:sz="2" w:space="0"/>
              <w:bottom w:val="single" w:color="000000" w:sz="2" w:space="0"/>
              <w:right w:val="single" w:color="000000" w:sz="2" w:space="0"/>
            </w:tcBorders>
            <w:vAlign w:val="center"/>
          </w:tcPr>
          <w:p w14:paraId="604098B5">
            <w:r>
              <w:t>按任务归属或工时占比分摊</w:t>
            </w:r>
          </w:p>
        </w:tc>
      </w:tr>
    </w:tbl>
    <w:p w14:paraId="238A52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另外，集团集中研发费用的分摊，在“权利和义务相一致、费用支出和收益分享相配比”的核心原则下，还衍生出以下几种分摊对象。</w:t>
      </w:r>
    </w:p>
    <w:p w14:paraId="4F6841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营业收入：按各受益成员企业的营业收入占比进行分摊，主要适用于研发成果预期能普遍提升各公司产品竞争力或收入，且成果应用与销售收入存在较强正相关性。</w:t>
      </w:r>
    </w:p>
    <w:p w14:paraId="22B025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预期/实际收益：依据事前在分摊协议中约定的、基于合理商业逻辑的收益分享比例进行分摊。主要适用于研发项目预期收益在各成员企业间不均衡，或可以根据研发成果应用率等指标清晰划分收益。</w:t>
      </w:r>
    </w:p>
    <w:p w14:paraId="05D109A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heme="majorEastAsia" w:hAnsiTheme="majorEastAsia" w:eastAsiaTheme="majorEastAsia" w:cstheme="majorEastAsia"/>
          <w:b/>
          <w:bCs w:val="0"/>
          <w:sz w:val="24"/>
          <w:szCs w:val="24"/>
          <w:lang w:val="en-US" w:eastAsia="zh-CN"/>
        </w:rPr>
      </w:pPr>
      <w:r>
        <w:rPr>
          <w:rFonts w:hint="eastAsia" w:asciiTheme="majorEastAsia" w:hAnsiTheme="majorEastAsia" w:eastAsiaTheme="majorEastAsia" w:cstheme="majorEastAsia"/>
          <w:b/>
          <w:bCs w:val="0"/>
          <w:sz w:val="24"/>
          <w:szCs w:val="24"/>
          <w:lang w:val="en-US" w:eastAsia="zh-CN"/>
        </w:rPr>
        <w:t>3.分摊规则及逻辑路径</w:t>
      </w:r>
    </w:p>
    <w:p w14:paraId="5BDDB6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（1） 研发工时记录——人员人工费用的分摊基础</w:t>
      </w:r>
    </w:p>
    <w:p w14:paraId="6DDC0E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分摊对象说明：研发工时记录是最核心的分摊对象，适用于人员人工费用（工资薪金、社保公积金等）的分摊。对于非全职研发人员或同时参与多个研发项目的人员，其人工成本需按工时占比在不同项目间合理分摊。最为关键的是，需按研发项目建立并严格执行工时记录台账，由研发人员按时填写、项目负责人审核确认，以此作为费用分摊的客观依据。</w:t>
      </w:r>
    </w:p>
    <w:p w14:paraId="457262E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分摊规则配置：</w:t>
      </w:r>
    </w:p>
    <w:p w14:paraId="3085C1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动因类型：实际研发工时</w:t>
      </w:r>
    </w:p>
    <w:p w14:paraId="0D0B6D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数据来源：工时管理系统（如TAPD、8Manage、iTimes等）</w:t>
      </w:r>
    </w:p>
    <w:p w14:paraId="1D0AA5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关联字段：人员工号</w:t>
      </w:r>
      <w:r>
        <w:rPr>
          <w:rFonts w:hint="eastAsia" w:asciiTheme="majorEastAsia" w:hAnsiTheme="majorEastAsia" w:eastAsiaTheme="majorEastAsia" w:cstheme="majorEastAsia"/>
          <w:b w:val="0"/>
          <w:bCs/>
          <w:sz w:val="24"/>
          <w:szCs w:val="24"/>
          <w:lang w:val="en-US" w:eastAsia="zh-CN"/>
        </w:rPr>
        <w:drawing>
          <wp:inline distT="0" distB="0" distL="114300" distR="114300">
            <wp:extent cx="203200" cy="151130"/>
            <wp:effectExtent l="0" t="0" r="6350" b="0"/>
            <wp:docPr id="8" name="图片 8" descr="箭头-连线-左右"/>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59163&quot;,&quot;origin&quot;:0,&quot;type&quot;:&quot;icons&quot;,&quot;user&quot;:&quot;235362885&quot;}"/>
                  </s:tag>
                </a:ext>
              </a:extLst>
            </wp:cNvGraphicFramePr>
            <a:graphic xmlns:a="http://schemas.openxmlformats.org/drawingml/2006/main">
              <a:graphicData uri="http://schemas.openxmlformats.org/drawingml/2006/picture">
                <pic:pic xmlns:pic="http://schemas.openxmlformats.org/drawingml/2006/picture">
                  <pic:nvPicPr>
                    <pic:cNvPr id="8" name="图片 8" descr="箭头-连线-左右"/>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203200" cy="151130"/>
                    </a:xfrm>
                    <a:prstGeom prst="rect">
                      <a:avLst/>
                    </a:prstGeom>
                  </pic:spPr>
                </pic:pic>
              </a:graphicData>
            </a:graphic>
          </wp:inline>
        </w:drawing>
      </w:r>
      <w:r>
        <w:rPr>
          <w:rFonts w:hint="eastAsia" w:asciiTheme="majorEastAsia" w:hAnsiTheme="majorEastAsia" w:eastAsiaTheme="majorEastAsia" w:cstheme="majorEastAsia"/>
          <w:b w:val="0"/>
          <w:bCs/>
          <w:sz w:val="24"/>
          <w:szCs w:val="24"/>
          <w:lang w:val="en-US" w:eastAsia="zh-CN"/>
        </w:rPr>
        <w:t>薪酬数据（来自HR系统）</w:t>
      </w:r>
    </w:p>
    <w:p w14:paraId="42711D26">
      <w:pPr>
        <w:keepNext w:val="0"/>
        <w:keepLines w:val="0"/>
        <w:pageBreakBefore w:val="0"/>
        <w:widowControl w:val="0"/>
        <w:kinsoku/>
        <w:wordWrap/>
        <w:overflowPunct/>
        <w:topLinePunct w:val="0"/>
        <w:autoSpaceDE/>
        <w:autoSpaceDN/>
        <w:bidi w:val="0"/>
        <w:adjustRightInd/>
        <w:snapToGrid/>
        <w:spacing w:line="360" w:lineRule="auto"/>
        <w:ind w:left="2538" w:leftChars="228" w:hanging="2059" w:hangingChars="858"/>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分摊公式：某项目应分摊薪酬=该人员当月薪酬×（该人员在项目A的研发工时÷该人员当月总研发工时）</w:t>
      </w:r>
    </w:p>
    <w:p w14:paraId="0486C4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校验规则：工时记录已经项目经理审批。</w:t>
      </w:r>
    </w:p>
    <w:p w14:paraId="3A5182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根据研发部门的人员薪酬和不同研发项目的实际参与人员、工时等情况，通过上述规则生成研发人员月度工时及薪酬分配表，据以分配计入不同研发项目。</w:t>
      </w:r>
    </w:p>
    <w:p w14:paraId="1590E9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对于同时从事非研发活动的人员，其工时记录还需区分研发工时与生产工时，其实际发生的相关费用按研发工时和生产工时占比，先在研发费用和生产经营费用之间进行分配，再在不同研发项目间进行二次分配。</w:t>
      </w:r>
    </w:p>
    <w:p w14:paraId="4F3DAA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人员范围界定：人员人工费用的分摊对象仅限于直接从事研发活动的人员，具体分为三类：研究人员（主要从事项目研发的专业人员）、技术人员（具备技术背景并参与研发的工程技术或辅助人员）、辅助人员（参与研发活动的技工）。非研发岗位（如专职行政、后勤、销售）的薪酬不应计入研发费用，也不应参与分摊。项目组人员信息中应当标记岗位类型，以自动识别人员范围。</w:t>
      </w:r>
    </w:p>
    <w:p w14:paraId="21EFBE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（2）设备使用记录——折旧费用的分摊基础</w:t>
      </w:r>
    </w:p>
    <w:p w14:paraId="202DBB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分摊对象说明：设备使用记录（包括设备运行日志、设备管理系统的使用时间记录等）是折旧费用分摊的核心依据。用于研发活动的仪器、设备，企业应对其仪器设备使用情况做必要记录，并将其实际发生的折旧费按实际工时占比等合理方法，在研发费用和生产经营费用，以及不同项目间分配。</w:t>
      </w:r>
    </w:p>
    <w:p w14:paraId="2EFBF6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分摊规则配置：</w:t>
      </w:r>
    </w:p>
    <w:p w14:paraId="73930F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动因类型：实际设备运行工时</w:t>
      </w:r>
    </w:p>
    <w:p w14:paraId="4B56FD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数据来源：设备管理系统/设备运行日志</w:t>
      </w:r>
    </w:p>
    <w:p w14:paraId="0E5039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关联字段：设备编号</w:t>
      </w:r>
      <w:r>
        <w:rPr>
          <w:rFonts w:hint="eastAsia" w:asciiTheme="majorEastAsia" w:hAnsiTheme="majorEastAsia" w:eastAsiaTheme="majorEastAsia" w:cstheme="majorEastAsia"/>
          <w:b w:val="0"/>
          <w:bCs/>
          <w:sz w:val="24"/>
          <w:szCs w:val="24"/>
          <w:lang w:val="en-US" w:eastAsia="zh-CN"/>
        </w:rPr>
        <w:drawing>
          <wp:inline distT="0" distB="0" distL="114300" distR="114300">
            <wp:extent cx="203200" cy="151130"/>
            <wp:effectExtent l="0" t="0" r="6350" b="0"/>
            <wp:docPr id="9" name="图片 9" descr="箭头-连线-左右"/>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59163&quot;,&quot;origin&quot;:0,&quot;type&quot;:&quot;icons&quot;,&quot;user&quot;:&quot;235362885&quot;}"/>
                  </s:tag>
                </a:ext>
              </a:extLst>
            </wp:cNvGraphicFramePr>
            <a:graphic xmlns:a="http://schemas.openxmlformats.org/drawingml/2006/main">
              <a:graphicData uri="http://schemas.openxmlformats.org/drawingml/2006/picture">
                <pic:pic xmlns:pic="http://schemas.openxmlformats.org/drawingml/2006/picture">
                  <pic:nvPicPr>
                    <pic:cNvPr id="9" name="图片 9" descr="箭头-连线-左右"/>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203200" cy="151130"/>
                    </a:xfrm>
                    <a:prstGeom prst="rect">
                      <a:avLst/>
                    </a:prstGeom>
                  </pic:spPr>
                </pic:pic>
              </a:graphicData>
            </a:graphic>
          </wp:inline>
        </w:drawing>
      </w:r>
      <w:r>
        <w:rPr>
          <w:rFonts w:hint="eastAsia" w:asciiTheme="majorEastAsia" w:hAnsiTheme="majorEastAsia" w:eastAsiaTheme="majorEastAsia" w:cstheme="majorEastAsia"/>
          <w:b w:val="0"/>
          <w:bCs/>
          <w:sz w:val="24"/>
          <w:szCs w:val="24"/>
          <w:lang w:val="en-US" w:eastAsia="zh-CN"/>
        </w:rPr>
        <w:t>固定资产台账（来自ERP系统）</w:t>
      </w:r>
    </w:p>
    <w:p w14:paraId="4B9883C3">
      <w:pPr>
        <w:keepNext w:val="0"/>
        <w:keepLines w:val="0"/>
        <w:pageBreakBefore w:val="0"/>
        <w:widowControl w:val="0"/>
        <w:kinsoku/>
        <w:wordWrap/>
        <w:overflowPunct/>
        <w:topLinePunct w:val="0"/>
        <w:autoSpaceDE/>
        <w:autoSpaceDN/>
        <w:bidi w:val="0"/>
        <w:adjustRightInd/>
        <w:snapToGrid/>
        <w:spacing w:line="360" w:lineRule="auto"/>
        <w:ind w:left="2639" w:leftChars="228" w:hanging="2160" w:hangingChars="9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分摊公式：某项目应分摊折旧=该设备月折旧额×（用于该项目的运行时长÷设备当月总运行时长）</w:t>
      </w:r>
    </w:p>
    <w:p w14:paraId="27E30D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校验规则：使用记录由使用人员填报并经研发主管及生产主管复核</w:t>
      </w:r>
    </w:p>
    <w:p w14:paraId="30C46B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企业应建立资产使用登记制度，详细记录设备或场地用于各研发项目的具体时长与事由，并以此作为费用分摊的计算基础。</w:t>
      </w:r>
    </w:p>
    <w:p w14:paraId="4A98B9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实践中，企业需注意：先区分研发/非研发用途，再在研发项目间分摊。即第一层分摊区分研发与生产，第二层分摊在不同研发项目间分配。由使用人员填报并经研发主管及生产主管复核审批的使用时间记录表，将实际发生的折旧费按用于研发活动和生产活动的时间占比，先在研发费用和生产经营费用之间进行分配，再在不同研发项目间进行二次分配。</w:t>
      </w:r>
    </w:p>
    <w:p w14:paraId="7C74DC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（3） 物料领用记录——直接投入费用的分摊基础</w:t>
      </w:r>
    </w:p>
    <w:p w14:paraId="7BA83E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分摊对象说明：物料领用记录（领料单）是直接投入费用分摊的重要依据。理想情况下，研发用料应注明对应的研发项目编号，直接归集到具体项目；但实务中常有多项目共用同一批材料的情形，此时需要按合理方法分摊。</w:t>
      </w:r>
    </w:p>
    <w:p w14:paraId="5274F6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分摊规则配置（直接归集优先）：</w:t>
      </w:r>
    </w:p>
    <w:p w14:paraId="786CF2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直接归集：领料单上标注了项目编号的，直接归集至对应项目</w:t>
      </w:r>
    </w:p>
    <w:p w14:paraId="373F139B">
      <w:pPr>
        <w:keepNext w:val="0"/>
        <w:keepLines w:val="0"/>
        <w:pageBreakBefore w:val="0"/>
        <w:widowControl w:val="0"/>
        <w:kinsoku/>
        <w:wordWrap/>
        <w:overflowPunct/>
        <w:topLinePunct w:val="0"/>
        <w:autoSpaceDE/>
        <w:autoSpaceDN/>
        <w:bidi w:val="0"/>
        <w:adjustRightInd/>
        <w:snapToGrid/>
        <w:spacing w:line="360" w:lineRule="auto"/>
        <w:ind w:left="2639" w:leftChars="228" w:hanging="2160" w:hangingChars="9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共用分摊：多项目共同领用的材料，按研发工时占比等合理方法进行分配</w:t>
      </w:r>
    </w:p>
    <w:p w14:paraId="16E19A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数据来源：ERP领料模块/研发领料单</w:t>
      </w:r>
    </w:p>
    <w:p w14:paraId="5DDF55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关联字段：领料单编号</w:t>
      </w:r>
      <w:r>
        <w:rPr>
          <w:rFonts w:hint="eastAsia" w:asciiTheme="majorEastAsia" w:hAnsiTheme="majorEastAsia" w:eastAsiaTheme="majorEastAsia" w:cstheme="majorEastAsia"/>
          <w:b w:val="0"/>
          <w:bCs/>
          <w:sz w:val="24"/>
          <w:szCs w:val="24"/>
          <w:lang w:val="en-US" w:eastAsia="zh-CN"/>
        </w:rPr>
        <w:drawing>
          <wp:inline distT="0" distB="0" distL="114300" distR="114300">
            <wp:extent cx="203200" cy="151130"/>
            <wp:effectExtent l="0" t="0" r="6350" b="0"/>
            <wp:docPr id="10" name="图片 10" descr="箭头-连线-左右"/>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59163&quot;,&quot;origin&quot;:0,&quot;type&quot;:&quot;icons&quot;,&quot;user&quot;:&quot;235362885&quot;}"/>
                  </s:tag>
                </a:ext>
              </a:extLst>
            </wp:cNvGraphicFramePr>
            <a:graphic xmlns:a="http://schemas.openxmlformats.org/drawingml/2006/main">
              <a:graphicData uri="http://schemas.openxmlformats.org/drawingml/2006/picture">
                <pic:pic xmlns:pic="http://schemas.openxmlformats.org/drawingml/2006/picture">
                  <pic:nvPicPr>
                    <pic:cNvPr id="10" name="图片 10" descr="箭头-连线-左右"/>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203200" cy="151130"/>
                    </a:xfrm>
                    <a:prstGeom prst="rect">
                      <a:avLst/>
                    </a:prstGeom>
                  </pic:spPr>
                </pic:pic>
              </a:graphicData>
            </a:graphic>
          </wp:inline>
        </w:drawing>
      </w:r>
      <w:r>
        <w:rPr>
          <w:rFonts w:hint="eastAsia" w:asciiTheme="majorEastAsia" w:hAnsiTheme="majorEastAsia" w:eastAsiaTheme="majorEastAsia" w:cstheme="majorEastAsia"/>
          <w:b w:val="0"/>
          <w:bCs/>
          <w:sz w:val="24"/>
          <w:szCs w:val="24"/>
          <w:lang w:val="en-US" w:eastAsia="zh-CN"/>
        </w:rPr>
        <w:t>项目编号</w:t>
      </w:r>
      <w:r>
        <w:rPr>
          <w:rFonts w:hint="eastAsia" w:asciiTheme="majorEastAsia" w:hAnsiTheme="majorEastAsia" w:eastAsiaTheme="majorEastAsia" w:cstheme="majorEastAsia"/>
          <w:b w:val="0"/>
          <w:bCs/>
          <w:sz w:val="24"/>
          <w:szCs w:val="24"/>
          <w:lang w:val="en-US" w:eastAsia="zh-CN"/>
        </w:rPr>
        <w:drawing>
          <wp:inline distT="0" distB="0" distL="114300" distR="114300">
            <wp:extent cx="203200" cy="151130"/>
            <wp:effectExtent l="0" t="0" r="6350" b="0"/>
            <wp:docPr id="11" name="图片 11" descr="箭头-连线-左右"/>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50059163&quot;,&quot;origin&quot;:0,&quot;type&quot;:&quot;icons&quot;,&quot;user&quot;:&quot;235362885&quot;}"/>
                  </s:tag>
                </a:ext>
              </a:extLst>
            </wp:cNvGraphicFramePr>
            <a:graphic xmlns:a="http://schemas.openxmlformats.org/drawingml/2006/main">
              <a:graphicData uri="http://schemas.openxmlformats.org/drawingml/2006/picture">
                <pic:pic xmlns:pic="http://schemas.openxmlformats.org/drawingml/2006/picture">
                  <pic:nvPicPr>
                    <pic:cNvPr id="11" name="图片 11" descr="箭头-连线-左右"/>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203200" cy="151130"/>
                    </a:xfrm>
                    <a:prstGeom prst="rect">
                      <a:avLst/>
                    </a:prstGeom>
                  </pic:spPr>
                </pic:pic>
              </a:graphicData>
            </a:graphic>
          </wp:inline>
        </w:drawing>
      </w:r>
      <w:r>
        <w:rPr>
          <w:rFonts w:hint="eastAsia" w:asciiTheme="majorEastAsia" w:hAnsiTheme="majorEastAsia" w:eastAsiaTheme="majorEastAsia" w:cstheme="majorEastAsia"/>
          <w:b w:val="0"/>
          <w:bCs/>
          <w:sz w:val="24"/>
          <w:szCs w:val="24"/>
          <w:lang w:val="en-US" w:eastAsia="zh-CN"/>
        </w:rPr>
        <w:t>费用科目</w:t>
      </w:r>
    </w:p>
    <w:p w14:paraId="36BB99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 校验规则：领料单须有项目相关人员签批，注明用途</w:t>
      </w:r>
    </w:p>
    <w:p w14:paraId="0876B1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日常管理中，研发用料与生产用料需清晰区分。启用专门的研发领料单，领用时必须注明对应的研发项目编号及名称，并由项目相关人员签批。</w:t>
      </w:r>
    </w:p>
    <w:p w14:paraId="509B71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实务中两种处理方式：一是研发部门按项目分别填写领料单，从源头将材料消耗绑定至具体项目；二是当不同研发项目共同领用研发材料时，可按照研发工时占比进行分配。</w:t>
      </w:r>
    </w:p>
    <w:p w14:paraId="13C808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特殊事项提示——形成产品对外销售的处理：当研发活动直接形成产品或作为组成部分形成产品对外销售时，对应的材料费用不得加计扣除。企业应在辅助账中单独标识并冲减相关材料费用。建议在系统中设置“是否形成产品”标记字段，当标记为“是”时自动触发费用冲减计算。</w:t>
      </w:r>
    </w:p>
    <w:p w14:paraId="329FD2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（4） 项目任务分配记录——设计费等间接费用的分摊参考</w:t>
      </w:r>
    </w:p>
    <w:p w14:paraId="17B793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对于新产品设计费、新工艺规程制定费等间接费用，项目管理系统中的任务分配记录可作为分摊的辅助依据，确保每笔费用都有对应的业务活动支撑。</w:t>
      </w:r>
    </w:p>
    <w:p w14:paraId="511339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（5） 财务决算数据——集中研发费用的分摊参考</w:t>
      </w:r>
    </w:p>
    <w:p w14:paraId="1B0DE9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对于集中研发项目，研发费用分摊最为关键的是签订正式的《集中研发费用分摊协议》，明确费用分摊方法、收益分享比例、知识产权归属及各方权利义务。执行时，按协议规定统计相关动因数据，完成集中研发费用的分摊。</w:t>
      </w:r>
    </w:p>
    <w:p w14:paraId="6837310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cstheme="majorEastAsia"/>
          <w:b w:val="0"/>
          <w:bCs/>
          <w:sz w:val="24"/>
          <w:szCs w:val="24"/>
          <w:lang w:val="en-US" w:eastAsia="zh-CN"/>
        </w:rPr>
      </w:pPr>
      <w:r>
        <w:rPr>
          <w:sz w:val="24"/>
        </w:rPr>
        <mc:AlternateContent>
          <mc:Choice Requires="wpg">
            <w:drawing>
              <wp:anchor distT="0" distB="0" distL="114300" distR="114300" simplePos="0" relativeHeight="251661312" behindDoc="0" locked="0" layoutInCell="1" allowOverlap="1">
                <wp:simplePos x="0" y="0"/>
                <wp:positionH relativeFrom="column">
                  <wp:posOffset>212725</wp:posOffset>
                </wp:positionH>
                <wp:positionV relativeFrom="paragraph">
                  <wp:posOffset>137795</wp:posOffset>
                </wp:positionV>
                <wp:extent cx="4960620" cy="4710430"/>
                <wp:effectExtent l="6350" t="6350" r="14605" b="7620"/>
                <wp:wrapNone/>
                <wp:docPr id="57" name="组合 57"/>
                <wp:cNvGraphicFramePr/>
                <a:graphic xmlns:a="http://schemas.openxmlformats.org/drawingml/2006/main">
                  <a:graphicData uri="http://schemas.microsoft.com/office/word/2010/wordprocessingGroup">
                    <wpg:wgp>
                      <wpg:cNvGrpSpPr/>
                      <wpg:grpSpPr>
                        <a:xfrm>
                          <a:off x="0" y="0"/>
                          <a:ext cx="4960620" cy="4710430"/>
                          <a:chOff x="7613" y="260140"/>
                          <a:chExt cx="7812" cy="7418"/>
                        </a:xfrm>
                      </wpg:grpSpPr>
                      <wpg:grpSp>
                        <wpg:cNvPr id="37" name="组合 37"/>
                        <wpg:cNvGrpSpPr/>
                        <wpg:grpSpPr>
                          <a:xfrm>
                            <a:off x="7613" y="261538"/>
                            <a:ext cx="7813" cy="1479"/>
                            <a:chOff x="5661" y="261172"/>
                            <a:chExt cx="7813" cy="1479"/>
                          </a:xfrm>
                        </wpg:grpSpPr>
                        <wps:wsp>
                          <wps:cNvPr id="31" name="圆角矩形 31"/>
                          <wps:cNvSpPr/>
                          <wps:spPr>
                            <a:xfrm>
                              <a:off x="5661" y="261172"/>
                              <a:ext cx="7813" cy="1479"/>
                            </a:xfrm>
                            <a:prstGeom prst="roundRect">
                              <a:avLst/>
                            </a:prstGeom>
                            <a:solidFill>
                              <a:schemeClr val="accent3">
                                <a:lumMod val="20000"/>
                                <a:lumOff val="80000"/>
                              </a:schemeClr>
                            </a:solidFill>
                            <a:ln>
                              <a:solidFill>
                                <a:schemeClr val="accent3"/>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6C1382D">
                                <w:pPr>
                                  <w:jc w:val="center"/>
                                  <w:rPr>
                                    <w:rFonts w:hint="eastAsia" w:ascii="黑体" w:hAnsi="黑体" w:eastAsia="黑体" w:cs="黑体"/>
                                    <w:color w:val="000000" w:themeColor="text1"/>
                                    <w:lang w:val="en-US" w:eastAsia="zh-CN"/>
                                    <w14:textFill>
                                      <w14:solidFill>
                                        <w14:schemeClr w14:val="tx1"/>
                                      </w14:solidFill>
                                    </w14:textFill>
                                  </w:rPr>
                                </w:pPr>
                                <w:r>
                                  <w:rPr>
                                    <w:rFonts w:hint="eastAsia" w:ascii="黑体" w:hAnsi="黑体" w:eastAsia="黑体" w:cs="黑体"/>
                                    <w:color w:val="000000" w:themeColor="text1"/>
                                    <w:lang w:val="en-US" w:eastAsia="zh-CN"/>
                                    <w14:textFill>
                                      <w14:solidFill>
                                        <w14:schemeClr w14:val="tx1"/>
                                      </w14:solidFill>
                                    </w14:textFill>
                                  </w:rPr>
                                  <w:t>分摊对象层</w:t>
                                </w:r>
                              </w:p>
                              <w:p w14:paraId="12A4241F">
                                <w:pPr>
                                  <w:jc w:val="center"/>
                                  <w:rPr>
                                    <w:rFonts w:hint="eastAsia"/>
                                    <w:color w:val="000000" w:themeColor="text1"/>
                                    <w:lang w:val="en-US" w:eastAsia="zh-CN"/>
                                    <w14:textFill>
                                      <w14:solidFill>
                                        <w14:schemeClr w14:val="tx1"/>
                                      </w14:solidFill>
                                    </w14:textFill>
                                  </w:rPr>
                                </w:pPr>
                              </w:p>
                              <w:p w14:paraId="6386C80C">
                                <w:pPr>
                                  <w:jc w:val="center"/>
                                  <w:rPr>
                                    <w:rFonts w:hint="eastAsia"/>
                                    <w:color w:val="000000" w:themeColor="text1"/>
                                    <w:lang w:val="en-US" w:eastAsia="zh-CN"/>
                                    <w14:textFill>
                                      <w14:solidFill>
                                        <w14:schemeClr w14:val="tx1"/>
                                      </w14:solidFill>
                                    </w14:textFill>
                                  </w:rPr>
                                </w:pPr>
                              </w:p>
                              <w:p w14:paraId="64419B7F">
                                <w:pPr>
                                  <w:jc w:val="center"/>
                                  <w:rPr>
                                    <w:rFonts w:hint="default"/>
                                    <w:color w:val="000000" w:themeColor="text1"/>
                                    <w:lang w:val="en-US" w:eastAsia="zh-CN"/>
                                    <w14:textFill>
                                      <w14:solidFill>
                                        <w14:schemeClr w14:val="tx1"/>
                                      </w14:solidFill>
                                    </w14:textFill>
                                  </w:rPr>
                                </w:pPr>
                              </w:p>
                            </w:txbxContent>
                          </wps:txbx>
                          <wps:bodyPr rot="0" spcFirstLastPara="0" vertOverflow="overflow" horzOverflow="overflow" vert="horz" wrap="square" lIns="91440" tIns="0" rIns="91440" bIns="45720" numCol="1" spcCol="0" rtlCol="0" fromWordArt="0" anchor="ctr" anchorCtr="0" forceAA="0" compatLnSpc="1">
                            <a:noAutofit/>
                          </wps:bodyPr>
                        </wps:wsp>
                        <wps:wsp>
                          <wps:cNvPr id="16" name="矩形 16"/>
                          <wps:cNvSpPr/>
                          <wps:spPr>
                            <a:xfrm>
                              <a:off x="5828" y="261647"/>
                              <a:ext cx="1688" cy="821"/>
                            </a:xfrm>
                            <a:prstGeom prst="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1C3E785">
                                <w:pPr>
                                  <w:jc w:val="center"/>
                                  <w:rPr>
                                    <w:rFonts w:hint="default" w:eastAsiaTheme="minor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研发工时记录工时管理系统</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 name="矩形 17"/>
                          <wps:cNvSpPr/>
                          <wps:spPr>
                            <a:xfrm>
                              <a:off x="7770" y="261653"/>
                              <a:ext cx="1688" cy="821"/>
                            </a:xfrm>
                            <a:prstGeom prst="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87D578A">
                                <w:pPr>
                                  <w:jc w:val="center"/>
                                  <w:rPr>
                                    <w:rFonts w:hint="default" w:eastAsiaTheme="minor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设备使用记录设备运行日志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 name="矩形 18"/>
                          <wps:cNvSpPr/>
                          <wps:spPr>
                            <a:xfrm>
                              <a:off x="9706" y="261646"/>
                              <a:ext cx="1688" cy="821"/>
                            </a:xfrm>
                            <a:prstGeom prst="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88D3074">
                                <w:pPr>
                                  <w:jc w:val="cente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物料领用记录</w:t>
                                </w:r>
                              </w:p>
                              <w:p w14:paraId="730D91F7">
                                <w:pPr>
                                  <w:jc w:val="cente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研发领料单</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 name="矩形 19"/>
                          <wps:cNvSpPr/>
                          <wps:spPr>
                            <a:xfrm>
                              <a:off x="11643" y="261642"/>
                              <a:ext cx="1688" cy="821"/>
                            </a:xfrm>
                            <a:prstGeom prst="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9A57C6A">
                                <w:pPr>
                                  <w:jc w:val="cente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任务分配记录</w:t>
                                </w:r>
                              </w:p>
                              <w:p w14:paraId="4388FD3B">
                                <w:pPr>
                                  <w:jc w:val="cente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项目管理系统</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grpSp>
                        <wpg:cNvPr id="33" name="组合 33"/>
                        <wpg:cNvGrpSpPr/>
                        <wpg:grpSpPr>
                          <a:xfrm>
                            <a:off x="7613" y="260140"/>
                            <a:ext cx="7813" cy="1179"/>
                            <a:chOff x="5538" y="259950"/>
                            <a:chExt cx="7813" cy="1179"/>
                          </a:xfrm>
                        </wpg:grpSpPr>
                        <wps:wsp>
                          <wps:cNvPr id="32" name="圆角矩形 32"/>
                          <wps:cNvSpPr/>
                          <wps:spPr>
                            <a:xfrm>
                              <a:off x="5538" y="259950"/>
                              <a:ext cx="7813" cy="1179"/>
                            </a:xfrm>
                            <a:prstGeom prst="roundRect">
                              <a:avLst/>
                            </a:prstGeom>
                            <a:solidFill>
                              <a:schemeClr val="accent3">
                                <a:lumMod val="20000"/>
                                <a:lumOff val="80000"/>
                              </a:schemeClr>
                            </a:solidFill>
                            <a:ln>
                              <a:solidFill>
                                <a:schemeClr val="accent3"/>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8A15726">
                                <w:pPr>
                                  <w:jc w:val="center"/>
                                  <w:rPr>
                                    <w:rFonts w:hint="eastAsia" w:ascii="黑体" w:hAnsi="黑体" w:eastAsia="黑体" w:cs="黑体"/>
                                    <w:color w:val="000000" w:themeColor="text1"/>
                                    <w:lang w:val="en-US" w:eastAsia="zh-CN"/>
                                    <w14:textFill>
                                      <w14:solidFill>
                                        <w14:schemeClr w14:val="tx1"/>
                                      </w14:solidFill>
                                    </w14:textFill>
                                  </w:rPr>
                                </w:pPr>
                                <w:r>
                                  <w:rPr>
                                    <w:rFonts w:hint="eastAsia" w:ascii="黑体" w:hAnsi="黑体" w:eastAsia="黑体" w:cs="黑体"/>
                                    <w:color w:val="000000" w:themeColor="text1"/>
                                    <w:lang w:val="en-US" w:eastAsia="zh-CN"/>
                                    <w14:textFill>
                                      <w14:solidFill>
                                        <w14:schemeClr w14:val="tx1"/>
                                      </w14:solidFill>
                                    </w14:textFill>
                                  </w:rPr>
                                  <w:t>费用发生层</w:t>
                                </w:r>
                              </w:p>
                              <w:p w14:paraId="15E319EB">
                                <w:pPr>
                                  <w:jc w:val="center"/>
                                  <w:rPr>
                                    <w:rFonts w:hint="eastAsia"/>
                                    <w:color w:val="000000" w:themeColor="text1"/>
                                    <w:lang w:val="en-US" w:eastAsia="zh-CN"/>
                                    <w14:textFill>
                                      <w14:solidFill>
                                        <w14:schemeClr w14:val="tx1"/>
                                      </w14:solidFill>
                                    </w14:textFill>
                                  </w:rPr>
                                </w:pPr>
                              </w:p>
                              <w:p w14:paraId="01FACC8B">
                                <w:pPr>
                                  <w:jc w:val="center"/>
                                  <w:rPr>
                                    <w:rFonts w:hint="eastAsia"/>
                                    <w:color w:val="000000" w:themeColor="text1"/>
                                    <w:lang w:val="en-US" w:eastAsia="zh-CN"/>
                                    <w14:textFill>
                                      <w14:solidFill>
                                        <w14:schemeClr w14:val="tx1"/>
                                      </w14:solidFill>
                                    </w14:textFill>
                                  </w:rPr>
                                </w:pPr>
                              </w:p>
                              <w:p w14:paraId="6E2EB2FA">
                                <w:pPr>
                                  <w:jc w:val="center"/>
                                  <w:rPr>
                                    <w:rFonts w:hint="default"/>
                                    <w:color w:val="000000" w:themeColor="text1"/>
                                    <w:lang w:val="en-US" w:eastAsia="zh-CN"/>
                                    <w14:textFill>
                                      <w14:solidFill>
                                        <w14:schemeClr w14:val="tx1"/>
                                      </w14:solidFill>
                                    </w14:textFill>
                                  </w:rPr>
                                </w:pPr>
                              </w:p>
                            </w:txbxContent>
                          </wps:txbx>
                          <wps:bodyPr rot="0" spcFirstLastPara="0" vertOverflow="overflow" horzOverflow="overflow" vert="horz" wrap="square" lIns="91440" tIns="0" rIns="91440" bIns="45720" numCol="1" spcCol="0" rtlCol="0" fromWordArt="0" anchor="ctr" anchorCtr="0" forceAA="0" compatLnSpc="1">
                            <a:noAutofit/>
                          </wps:bodyPr>
                        </wps:wsp>
                        <wps:wsp>
                          <wps:cNvPr id="12" name="矩形 12"/>
                          <wps:cNvSpPr/>
                          <wps:spPr>
                            <a:xfrm>
                              <a:off x="5913" y="260436"/>
                              <a:ext cx="1273" cy="540"/>
                            </a:xfrm>
                            <a:prstGeom prst="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F7833E2">
                                <w:pPr>
                                  <w:jc w:val="center"/>
                                  <w:rPr>
                                    <w:rFonts w:hint="default" w:eastAsiaTheme="minor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人员薪酬</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 name="矩形 13"/>
                          <wps:cNvSpPr/>
                          <wps:spPr>
                            <a:xfrm>
                              <a:off x="7843" y="260429"/>
                              <a:ext cx="1273" cy="540"/>
                            </a:xfrm>
                            <a:prstGeom prst="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AE1EE81">
                                <w:pPr>
                                  <w:jc w:val="center"/>
                                  <w:rPr>
                                    <w:rFonts w:hint="default" w:eastAsiaTheme="minor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设备折旧</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 name="矩形 14"/>
                          <wps:cNvSpPr/>
                          <wps:spPr>
                            <a:xfrm>
                              <a:off x="9792" y="260429"/>
                              <a:ext cx="1273" cy="540"/>
                            </a:xfrm>
                            <a:prstGeom prst="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90567F8">
                                <w:pPr>
                                  <w:jc w:val="center"/>
                                  <w:rPr>
                                    <w:rFonts w:hint="default" w:eastAsiaTheme="minor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物料消耗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 name="矩形 15"/>
                          <wps:cNvSpPr/>
                          <wps:spPr>
                            <a:xfrm>
                              <a:off x="11729" y="260429"/>
                              <a:ext cx="1273" cy="540"/>
                            </a:xfrm>
                            <a:prstGeom prst="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15E7805">
                                <w:pPr>
                                  <w:jc w:val="center"/>
                                  <w:rPr>
                                    <w:rFonts w:hint="default" w:eastAsiaTheme="minor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设计费等</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grpSp>
                        <wpg:cNvPr id="38" name="组合 38"/>
                        <wpg:cNvGrpSpPr/>
                        <wpg:grpSpPr>
                          <a:xfrm>
                            <a:off x="7613" y="263218"/>
                            <a:ext cx="7813" cy="1479"/>
                            <a:chOff x="5833" y="264664"/>
                            <a:chExt cx="7813" cy="1479"/>
                          </a:xfrm>
                        </wpg:grpSpPr>
                        <wps:wsp>
                          <wps:cNvPr id="35" name="圆角矩形 35"/>
                          <wps:cNvSpPr/>
                          <wps:spPr>
                            <a:xfrm>
                              <a:off x="5833" y="264664"/>
                              <a:ext cx="7813" cy="1479"/>
                            </a:xfrm>
                            <a:prstGeom prst="roundRect">
                              <a:avLst/>
                            </a:prstGeom>
                            <a:solidFill>
                              <a:schemeClr val="accent3">
                                <a:lumMod val="20000"/>
                                <a:lumOff val="80000"/>
                              </a:schemeClr>
                            </a:solidFill>
                            <a:ln>
                              <a:solidFill>
                                <a:schemeClr val="accent3"/>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921D630">
                                <w:pPr>
                                  <w:jc w:val="center"/>
                                  <w:rPr>
                                    <w:rFonts w:hint="eastAsia" w:ascii="黑体" w:hAnsi="黑体" w:eastAsia="黑体" w:cs="黑体"/>
                                    <w:color w:val="000000" w:themeColor="text1"/>
                                    <w:lang w:val="en-US" w:eastAsia="zh-CN"/>
                                    <w14:textFill>
                                      <w14:solidFill>
                                        <w14:schemeClr w14:val="tx1"/>
                                      </w14:solidFill>
                                    </w14:textFill>
                                  </w:rPr>
                                </w:pPr>
                                <w:r>
                                  <w:rPr>
                                    <w:rFonts w:hint="eastAsia" w:ascii="黑体" w:hAnsi="黑体" w:eastAsia="黑体" w:cs="黑体"/>
                                    <w:color w:val="000000" w:themeColor="text1"/>
                                    <w:lang w:val="en-US" w:eastAsia="zh-CN"/>
                                    <w14:textFill>
                                      <w14:solidFill>
                                        <w14:schemeClr w14:val="tx1"/>
                                      </w14:solidFill>
                                    </w14:textFill>
                                  </w:rPr>
                                  <w:t>规则引擎层</w:t>
                                </w:r>
                              </w:p>
                              <w:p w14:paraId="6B25EF45">
                                <w:pPr>
                                  <w:jc w:val="center"/>
                                  <w:rPr>
                                    <w:rFonts w:hint="eastAsia"/>
                                    <w:color w:val="000000" w:themeColor="text1"/>
                                    <w:lang w:val="en-US" w:eastAsia="zh-CN"/>
                                    <w14:textFill>
                                      <w14:solidFill>
                                        <w14:schemeClr w14:val="tx1"/>
                                      </w14:solidFill>
                                    </w14:textFill>
                                  </w:rPr>
                                </w:pPr>
                              </w:p>
                              <w:p w14:paraId="48900F75">
                                <w:pPr>
                                  <w:jc w:val="center"/>
                                  <w:rPr>
                                    <w:rFonts w:hint="eastAsia"/>
                                    <w:color w:val="000000" w:themeColor="text1"/>
                                    <w:lang w:val="en-US" w:eastAsia="zh-CN"/>
                                    <w14:textFill>
                                      <w14:solidFill>
                                        <w14:schemeClr w14:val="tx1"/>
                                      </w14:solidFill>
                                    </w14:textFill>
                                  </w:rPr>
                                </w:pPr>
                              </w:p>
                              <w:p w14:paraId="318AB662">
                                <w:pPr>
                                  <w:jc w:val="center"/>
                                  <w:rPr>
                                    <w:rFonts w:hint="default"/>
                                    <w:color w:val="000000" w:themeColor="text1"/>
                                    <w:lang w:val="en-US" w:eastAsia="zh-CN"/>
                                    <w14:textFill>
                                      <w14:solidFill>
                                        <w14:schemeClr w14:val="tx1"/>
                                      </w14:solidFill>
                                    </w14:textFill>
                                  </w:rPr>
                                </w:pPr>
                              </w:p>
                            </w:txbxContent>
                          </wps:txbx>
                          <wps:bodyPr rot="0" spcFirstLastPara="0" vertOverflow="overflow" horzOverflow="overflow" vert="horz" wrap="square" lIns="91440" tIns="0" rIns="91440" bIns="45720" numCol="1" spcCol="0" rtlCol="0" fromWordArt="0" anchor="ctr" anchorCtr="0" forceAA="0" compatLnSpc="1">
                            <a:noAutofit/>
                          </wps:bodyPr>
                        </wps:wsp>
                        <wps:wsp>
                          <wps:cNvPr id="20" name="矩形 20"/>
                          <wps:cNvSpPr/>
                          <wps:spPr>
                            <a:xfrm>
                              <a:off x="5965" y="265202"/>
                              <a:ext cx="1774" cy="828"/>
                            </a:xfrm>
                            <a:prstGeom prst="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14D033A">
                                <w:pPr>
                                  <w:jc w:val="center"/>
                                  <w:rPr>
                                    <w:rFonts w:hint="default" w:eastAsiaTheme="minor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人工</w:t>
                                </w:r>
                                <w:r>
                                  <w:rPr>
                                    <w:rFonts w:hint="default" w:eastAsiaTheme="minorEastAsia"/>
                                    <w:color w:val="000000" w:themeColor="text1"/>
                                    <w:sz w:val="18"/>
                                    <w:szCs w:val="18"/>
                                    <w:highlight w:val="none"/>
                                    <w:lang w:val="en-US" w:eastAsia="zh-CN"/>
                                    <w14:textFill>
                                      <w14:solidFill>
                                        <w14:schemeClr w14:val="tx1"/>
                                      </w14:solidFill>
                                    </w14:textFill>
                                  </w:rPr>
                                  <w:t>项</w:t>
                                </w:r>
                                <w:r>
                                  <w:rPr>
                                    <w:rFonts w:hint="eastAsia"/>
                                    <w:color w:val="000000" w:themeColor="text1"/>
                                    <w:sz w:val="18"/>
                                    <w:szCs w:val="18"/>
                                    <w:highlight w:val="none"/>
                                    <w:lang w:val="en-US" w:eastAsia="zh-CN"/>
                                    <w14:textFill>
                                      <w14:solidFill>
                                        <w14:schemeClr w14:val="tx1"/>
                                      </w14:solidFill>
                                    </w14:textFill>
                                  </w:rPr>
                                  <w:t>目</w:t>
                                </w:r>
                                <w:r>
                                  <w:rPr>
                                    <w:rFonts w:hint="default" w:eastAsiaTheme="minorEastAsia"/>
                                    <w:color w:val="000000" w:themeColor="text1"/>
                                    <w:sz w:val="18"/>
                                    <w:szCs w:val="18"/>
                                    <w:highlight w:val="none"/>
                                    <w:lang w:val="en-US" w:eastAsia="zh-CN"/>
                                    <w14:textFill>
                                      <w14:solidFill>
                                        <w14:schemeClr w14:val="tx1"/>
                                      </w14:solidFill>
                                    </w14:textFill>
                                  </w:rPr>
                                  <w:t>分摊</w:t>
                                </w:r>
                              </w:p>
                              <w:p w14:paraId="06ACC4DF">
                                <w:pPr>
                                  <w:jc w:val="center"/>
                                  <w:rPr>
                                    <w:rFonts w:hint="default" w:eastAsiaTheme="minorEastAsia"/>
                                    <w:color w:val="000000" w:themeColor="text1"/>
                                    <w:sz w:val="18"/>
                                    <w:szCs w:val="18"/>
                                    <w:highlight w:val="none"/>
                                    <w:lang w:val="en-US" w:eastAsia="zh-CN"/>
                                    <w14:textFill>
                                      <w14:solidFill>
                                        <w14:schemeClr w14:val="tx1"/>
                                      </w14:solidFill>
                                    </w14:textFill>
                                  </w:rPr>
                                </w:pPr>
                                <w:r>
                                  <w:rPr>
                                    <w:rFonts w:hint="default" w:eastAsiaTheme="minorEastAsia"/>
                                    <w:color w:val="000000" w:themeColor="text1"/>
                                    <w:sz w:val="18"/>
                                    <w:szCs w:val="18"/>
                                    <w:highlight w:val="none"/>
                                    <w:lang w:val="en-US" w:eastAsia="zh-CN"/>
                                    <w14:textFill>
                                      <w14:solidFill>
                                        <w14:schemeClr w14:val="tx1"/>
                                      </w14:solidFill>
                                    </w14:textFill>
                                  </w:rPr>
                                  <w:t>薪酬按研发工时占比</w:t>
                                </w:r>
                              </w:p>
                            </w:txbxContent>
                          </wps:txbx>
                          <wps:bodyPr rot="0" spcFirstLastPara="0" vertOverflow="overflow" horzOverflow="overflow" vert="horz" wrap="square" lIns="0" tIns="45720" rIns="0" bIns="45720" numCol="1" spcCol="0" rtlCol="0" fromWordArt="0" anchor="ctr" anchorCtr="0" forceAA="0" compatLnSpc="1">
                            <a:noAutofit/>
                          </wps:bodyPr>
                        </wps:wsp>
                        <wps:wsp>
                          <wps:cNvPr id="26" name="矩形 26"/>
                          <wps:cNvSpPr/>
                          <wps:spPr>
                            <a:xfrm>
                              <a:off x="7921" y="265196"/>
                              <a:ext cx="1757" cy="828"/>
                            </a:xfrm>
                            <a:prstGeom prst="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4DB4CD6">
                                <w:pPr>
                                  <w:jc w:val="center"/>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设备使用项目分摊</w:t>
                                </w:r>
                              </w:p>
                              <w:p w14:paraId="0F9C5609">
                                <w:pPr>
                                  <w:jc w:val="center"/>
                                  <w:rPr>
                                    <w:rFonts w:hint="default" w:eastAsiaTheme="minor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折旧按运行时长占比</w:t>
                                </w:r>
                              </w:p>
                            </w:txbxContent>
                          </wps:txbx>
                          <wps:bodyPr rot="0" spcFirstLastPara="0" vertOverflow="overflow" horzOverflow="overflow" vert="horz" wrap="square" lIns="0" tIns="45720" rIns="0" bIns="45720" numCol="1" spcCol="0" rtlCol="0" fromWordArt="0" anchor="ctr" anchorCtr="0" forceAA="0" compatLnSpc="1">
                            <a:noAutofit/>
                          </wps:bodyPr>
                        </wps:wsp>
                        <wps:wsp>
                          <wps:cNvPr id="27" name="矩形 27"/>
                          <wps:cNvSpPr/>
                          <wps:spPr>
                            <a:xfrm>
                              <a:off x="9857" y="265208"/>
                              <a:ext cx="1756" cy="834"/>
                            </a:xfrm>
                            <a:prstGeom prst="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3CDBF49">
                                <w:pPr>
                                  <w:keepNext w:val="0"/>
                                  <w:keepLines w:val="0"/>
                                  <w:pageBreakBefore w:val="0"/>
                                  <w:widowControl w:val="0"/>
                                  <w:kinsoku/>
                                  <w:wordWrap/>
                                  <w:overflowPunct/>
                                  <w:topLinePunct w:val="0"/>
                                  <w:bidi w:val="0"/>
                                  <w:adjustRightInd/>
                                  <w:snapToGrid/>
                                  <w:spacing w:line="240" w:lineRule="exact"/>
                                  <w:jc w:val="center"/>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物料项目归集分摊</w:t>
                                </w:r>
                              </w:p>
                              <w:p w14:paraId="03F4FD87">
                                <w:pPr>
                                  <w:keepNext w:val="0"/>
                                  <w:keepLines w:val="0"/>
                                  <w:pageBreakBefore w:val="0"/>
                                  <w:widowControl w:val="0"/>
                                  <w:kinsoku/>
                                  <w:wordWrap/>
                                  <w:overflowPunct/>
                                  <w:topLinePunct w:val="0"/>
                                  <w:bidi w:val="0"/>
                                  <w:adjustRightInd/>
                                  <w:snapToGrid/>
                                  <w:spacing w:line="240" w:lineRule="exact"/>
                                  <w:jc w:val="center"/>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直接归集优先</w:t>
                                </w:r>
                              </w:p>
                              <w:p w14:paraId="41585BC8">
                                <w:pPr>
                                  <w:keepNext w:val="0"/>
                                  <w:keepLines w:val="0"/>
                                  <w:pageBreakBefore w:val="0"/>
                                  <w:widowControl w:val="0"/>
                                  <w:kinsoku/>
                                  <w:wordWrap/>
                                  <w:overflowPunct/>
                                  <w:topLinePunct w:val="0"/>
                                  <w:bidi w:val="0"/>
                                  <w:adjustRightInd/>
                                  <w:snapToGrid/>
                                  <w:spacing w:line="240" w:lineRule="exact"/>
                                  <w:jc w:val="center"/>
                                  <w:textAlignment w:val="auto"/>
                                  <w:rPr>
                                    <w:rFonts w:hint="default" w:eastAsiaTheme="minor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共用按工时</w:t>
                                </w:r>
                              </w:p>
                            </w:txbxContent>
                          </wps:txbx>
                          <wps:bodyPr rot="0" spcFirstLastPara="0" vertOverflow="overflow" horzOverflow="overflow" vert="horz" wrap="square" lIns="0" tIns="0" rIns="0" bIns="0" numCol="1" spcCol="0" rtlCol="0" fromWordArt="0" anchor="ctr" anchorCtr="0" forceAA="0" compatLnSpc="1">
                            <a:noAutofit/>
                          </wps:bodyPr>
                        </wps:wsp>
                        <wps:wsp>
                          <wps:cNvPr id="28" name="矩形 28"/>
                          <wps:cNvSpPr/>
                          <wps:spPr>
                            <a:xfrm>
                              <a:off x="11787" y="265197"/>
                              <a:ext cx="1763" cy="828"/>
                            </a:xfrm>
                            <a:prstGeom prst="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467813A">
                                <w:pPr>
                                  <w:jc w:val="center"/>
                                  <w:rPr>
                                    <w:rFonts w:hint="default" w:eastAsiaTheme="minor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设计等</w:t>
                                </w:r>
                                <w:r>
                                  <w:rPr>
                                    <w:rFonts w:hint="default" w:eastAsiaTheme="minorEastAsia"/>
                                    <w:color w:val="000000" w:themeColor="text1"/>
                                    <w:sz w:val="18"/>
                                    <w:szCs w:val="18"/>
                                    <w:highlight w:val="none"/>
                                    <w:lang w:val="en-US" w:eastAsia="zh-CN"/>
                                    <w14:textFill>
                                      <w14:solidFill>
                                        <w14:schemeClr w14:val="tx1"/>
                                      </w14:solidFill>
                                    </w14:textFill>
                                  </w:rPr>
                                  <w:t>项</w:t>
                                </w:r>
                                <w:r>
                                  <w:rPr>
                                    <w:rFonts w:hint="eastAsia"/>
                                    <w:color w:val="000000" w:themeColor="text1"/>
                                    <w:sz w:val="18"/>
                                    <w:szCs w:val="18"/>
                                    <w:highlight w:val="none"/>
                                    <w:lang w:val="en-US" w:eastAsia="zh-CN"/>
                                    <w14:textFill>
                                      <w14:solidFill>
                                        <w14:schemeClr w14:val="tx1"/>
                                      </w14:solidFill>
                                    </w14:textFill>
                                  </w:rPr>
                                  <w:t>目</w:t>
                                </w:r>
                                <w:r>
                                  <w:rPr>
                                    <w:rFonts w:hint="default" w:eastAsiaTheme="minorEastAsia"/>
                                    <w:color w:val="000000" w:themeColor="text1"/>
                                    <w:sz w:val="18"/>
                                    <w:szCs w:val="18"/>
                                    <w:highlight w:val="none"/>
                                    <w:lang w:val="en-US" w:eastAsia="zh-CN"/>
                                    <w14:textFill>
                                      <w14:solidFill>
                                        <w14:schemeClr w14:val="tx1"/>
                                      </w14:solidFill>
                                    </w14:textFill>
                                  </w:rPr>
                                  <w:t>分摊</w:t>
                                </w:r>
                              </w:p>
                              <w:p w14:paraId="5D883D5D">
                                <w:pPr>
                                  <w:jc w:val="center"/>
                                  <w:rPr>
                                    <w:rFonts w:hint="default" w:eastAsiaTheme="minor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任务分配记录</w:t>
                                </w:r>
                              </w:p>
                            </w:txbxContent>
                          </wps:txbx>
                          <wps:bodyPr rot="0" spcFirstLastPara="0" vertOverflow="overflow" horzOverflow="overflow" vert="horz" wrap="square" lIns="0" tIns="45720" rIns="0" bIns="45720" numCol="1" spcCol="0" rtlCol="0" fromWordArt="0" anchor="ctr" anchorCtr="0" forceAA="0" compatLnSpc="1">
                            <a:noAutofit/>
                          </wps:bodyPr>
                        </wps:wsp>
                      </wpg:grpSp>
                      <wpg:grpSp>
                        <wpg:cNvPr id="48" name="组合 48"/>
                        <wpg:cNvGrpSpPr/>
                        <wpg:grpSpPr>
                          <a:xfrm>
                            <a:off x="8858" y="264900"/>
                            <a:ext cx="5324" cy="2658"/>
                            <a:chOff x="8989" y="265008"/>
                            <a:chExt cx="5324" cy="2658"/>
                          </a:xfrm>
                        </wpg:grpSpPr>
                        <wps:wsp>
                          <wps:cNvPr id="36" name="圆角矩形 36"/>
                          <wps:cNvSpPr/>
                          <wps:spPr>
                            <a:xfrm>
                              <a:off x="8989" y="265008"/>
                              <a:ext cx="5324" cy="2659"/>
                            </a:xfrm>
                            <a:prstGeom prst="roundRect">
                              <a:avLst/>
                            </a:prstGeom>
                            <a:solidFill>
                              <a:schemeClr val="accent3">
                                <a:lumMod val="20000"/>
                                <a:lumOff val="80000"/>
                              </a:schemeClr>
                            </a:solidFill>
                            <a:ln>
                              <a:solidFill>
                                <a:schemeClr val="accent3"/>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80A994A">
                                <w:pPr>
                                  <w:jc w:val="center"/>
                                  <w:rPr>
                                    <w:rFonts w:hint="eastAsia" w:ascii="黑体" w:hAnsi="黑体" w:eastAsia="黑体" w:cs="黑体"/>
                                    <w:color w:val="000000" w:themeColor="text1"/>
                                    <w:lang w:val="en-US" w:eastAsia="zh-CN"/>
                                    <w14:textFill>
                                      <w14:solidFill>
                                        <w14:schemeClr w14:val="tx1"/>
                                      </w14:solidFill>
                                    </w14:textFill>
                                  </w:rPr>
                                </w:pPr>
                                <w:r>
                                  <w:rPr>
                                    <w:rFonts w:hint="eastAsia" w:ascii="黑体" w:hAnsi="黑体" w:eastAsia="黑体" w:cs="黑体"/>
                                    <w:color w:val="000000" w:themeColor="text1"/>
                                    <w:lang w:val="en-US" w:eastAsia="zh-CN"/>
                                    <w14:textFill>
                                      <w14:solidFill>
                                        <w14:schemeClr w14:val="tx1"/>
                                      </w14:solidFill>
                                    </w14:textFill>
                                  </w:rPr>
                                  <w:t>信息输出层</w:t>
                                </w:r>
                              </w:p>
                              <w:p w14:paraId="6DFE7DC0">
                                <w:pPr>
                                  <w:jc w:val="center"/>
                                  <w:rPr>
                                    <w:rFonts w:hint="eastAsia"/>
                                    <w:color w:val="000000" w:themeColor="text1"/>
                                    <w:lang w:val="en-US" w:eastAsia="zh-CN"/>
                                    <w14:textFill>
                                      <w14:solidFill>
                                        <w14:schemeClr w14:val="tx1"/>
                                      </w14:solidFill>
                                    </w14:textFill>
                                  </w:rPr>
                                </w:pPr>
                              </w:p>
                              <w:p w14:paraId="04C6053F">
                                <w:pPr>
                                  <w:jc w:val="center"/>
                                  <w:rPr>
                                    <w:rFonts w:hint="eastAsia"/>
                                    <w:color w:val="000000" w:themeColor="text1"/>
                                    <w:lang w:val="en-US" w:eastAsia="zh-CN"/>
                                    <w14:textFill>
                                      <w14:solidFill>
                                        <w14:schemeClr w14:val="tx1"/>
                                      </w14:solidFill>
                                    </w14:textFill>
                                  </w:rPr>
                                </w:pPr>
                              </w:p>
                              <w:p w14:paraId="767B0FFB">
                                <w:pPr>
                                  <w:jc w:val="center"/>
                                  <w:rPr>
                                    <w:rFonts w:hint="default"/>
                                    <w:color w:val="000000" w:themeColor="text1"/>
                                    <w:lang w:val="en-US" w:eastAsia="zh-CN"/>
                                    <w14:textFill>
                                      <w14:solidFill>
                                        <w14:schemeClr w14:val="tx1"/>
                                      </w14:solidFill>
                                    </w14:textFill>
                                  </w:rPr>
                                </w:pPr>
                              </w:p>
                              <w:p w14:paraId="1075289D">
                                <w:pPr>
                                  <w:jc w:val="center"/>
                                  <w:rPr>
                                    <w:rFonts w:hint="default"/>
                                    <w:color w:val="000000" w:themeColor="text1"/>
                                    <w:lang w:val="en-US" w:eastAsia="zh-CN"/>
                                    <w14:textFill>
                                      <w14:solidFill>
                                        <w14:schemeClr w14:val="tx1"/>
                                      </w14:solidFill>
                                    </w14:textFill>
                                  </w:rPr>
                                </w:pPr>
                              </w:p>
                              <w:p w14:paraId="736172A1">
                                <w:pPr>
                                  <w:jc w:val="center"/>
                                  <w:rPr>
                                    <w:rFonts w:hint="default"/>
                                    <w:color w:val="000000" w:themeColor="text1"/>
                                    <w:lang w:val="en-US" w:eastAsia="zh-CN"/>
                                    <w14:textFill>
                                      <w14:solidFill>
                                        <w14:schemeClr w14:val="tx1"/>
                                      </w14:solidFill>
                                    </w14:textFill>
                                  </w:rPr>
                                </w:pPr>
                              </w:p>
                              <w:p w14:paraId="275B0199">
                                <w:pPr>
                                  <w:jc w:val="center"/>
                                  <w:rPr>
                                    <w:rFonts w:hint="default"/>
                                    <w:color w:val="000000" w:themeColor="text1"/>
                                    <w:lang w:val="en-US" w:eastAsia="zh-CN"/>
                                    <w14:textFill>
                                      <w14:solidFill>
                                        <w14:schemeClr w14:val="tx1"/>
                                      </w14:solidFill>
                                    </w14:textFill>
                                  </w:rPr>
                                </w:pPr>
                              </w:p>
                              <w:p w14:paraId="53F86EAB">
                                <w:pPr>
                                  <w:jc w:val="center"/>
                                  <w:rPr>
                                    <w:rFonts w:hint="default"/>
                                    <w:color w:val="000000" w:themeColor="text1"/>
                                    <w:lang w:val="en-US" w:eastAsia="zh-CN"/>
                                    <w14:textFill>
                                      <w14:solidFill>
                                        <w14:schemeClr w14:val="tx1"/>
                                      </w14:solidFill>
                                    </w14:textFill>
                                  </w:rPr>
                                </w:pPr>
                              </w:p>
                            </w:txbxContent>
                          </wps:txbx>
                          <wps:bodyPr rot="0" spcFirstLastPara="0" vertOverflow="overflow" horzOverflow="overflow" vert="horz" wrap="square" lIns="91440" tIns="0" rIns="91440" bIns="45720" numCol="1" spcCol="0" rtlCol="0" fromWordArt="0" anchor="ctr" anchorCtr="0" forceAA="0" compatLnSpc="1">
                            <a:noAutofit/>
                          </wps:bodyPr>
                        </wps:wsp>
                        <wps:wsp>
                          <wps:cNvPr id="29" name="矩形 29"/>
                          <wps:cNvSpPr/>
                          <wps:spPr>
                            <a:xfrm>
                              <a:off x="10840" y="266792"/>
                              <a:ext cx="1678" cy="821"/>
                            </a:xfrm>
                            <a:prstGeom prst="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401D788">
                                <w:pPr>
                                  <w:jc w:val="cente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各项目</w:t>
                                </w:r>
                              </w:p>
                              <w:p w14:paraId="1984E1AC">
                                <w:pPr>
                                  <w:jc w:val="center"/>
                                  <w:rPr>
                                    <w:rFonts w:hint="default" w:eastAsiaTheme="minor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研发支出辅助账</w:t>
                                </w:r>
                              </w:p>
                            </w:txbxContent>
                          </wps:txbx>
                          <wps:bodyPr rot="0" spcFirstLastPara="0" vertOverflow="overflow" horzOverflow="overflow" vert="horz" wrap="square" lIns="0" tIns="45720" rIns="0" bIns="45720" numCol="1" spcCol="0" rtlCol="0" fromWordArt="0" anchor="ctr" anchorCtr="0" forceAA="0" compatLnSpc="1">
                            <a:noAutofit/>
                          </wps:bodyPr>
                        </wps:wsp>
                        <wps:wsp>
                          <wps:cNvPr id="30" name="矩形 30"/>
                          <wps:cNvSpPr/>
                          <wps:spPr>
                            <a:xfrm>
                              <a:off x="10839" y="265569"/>
                              <a:ext cx="1688" cy="821"/>
                            </a:xfrm>
                            <a:prstGeom prst="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AD41FB9">
                                <w:pPr>
                                  <w:jc w:val="cente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各项目</w:t>
                                </w:r>
                              </w:p>
                              <w:p w14:paraId="18F5E073">
                                <w:pPr>
                                  <w:jc w:val="center"/>
                                  <w:rPr>
                                    <w:rFonts w:hint="default" w:eastAsiaTheme="minor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费用分摊明细</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id="_x0000_s1026" o:spid="_x0000_s1026" o:spt="203" style="position:absolute;left:0pt;margin-left:16.75pt;margin-top:10.85pt;height:370.9pt;width:390.6pt;z-index:251661312;mso-width-relative:page;mso-height-relative:page;" coordorigin="7613,260140" coordsize="7812,7418" o:gfxdata="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">
                <o:lock v:ext="edit" aspectratio="f"/>
                <v:group id="_x0000_s1026" o:spid="_x0000_s1026" o:spt="203" style="position:absolute;left:7613;top:261538;height:1479;width:7813;" coordorigin="5661,261172" coordsize="7813,1479"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roundrect id="_x0000_s1026" o:spid="_x0000_s1026" o:spt="2" style="position:absolute;left:5661;top:261172;height:1479;width:7813;v-text-anchor:middle;" fillcolor="#FFF2CA [662]" filled="t" stroked="t" coordsize="21600,21600" arcsize="0.166666666666667" o:gfxdata="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MVUqrsAAADb&#10;AAAADwAAAAAAAAABACAAAAAiAAAAZHJzL2Rvd25yZXYueG1sUEsBAhQAFAAAAAgAh07iQDMvBZ47&#10;AAAAOQAAABAAAAAAAAAAAQAgAAAACgEAAGRycy9zaGFwZXhtbC54bWxQSwUGAAAAAAYABgBbAQAA&#10;tAMAAAAA&#10;">
                    <v:fill on="t" focussize="0,0"/>
                    <v:stroke weight="1pt" color="#F2BA02 [3206]" miterlimit="8" joinstyle="miter"/>
                    <v:imagedata o:title=""/>
                    <o:lock v:ext="edit" aspectratio="f"/>
                    <v:textbox inset="2.54mm,0mm,2.54mm,1.27mm">
                      <w:txbxContent>
                        <w:p w14:paraId="06C1382D">
                          <w:pPr>
                            <w:jc w:val="center"/>
                            <w:rPr>
                              <w:rFonts w:hint="eastAsia" w:ascii="黑体" w:hAnsi="黑体" w:eastAsia="黑体" w:cs="黑体"/>
                              <w:color w:val="000000" w:themeColor="text1"/>
                              <w:lang w:val="en-US" w:eastAsia="zh-CN"/>
                              <w14:textFill>
                                <w14:solidFill>
                                  <w14:schemeClr w14:val="tx1"/>
                                </w14:solidFill>
                              </w14:textFill>
                            </w:rPr>
                          </w:pPr>
                          <w:r>
                            <w:rPr>
                              <w:rFonts w:hint="eastAsia" w:ascii="黑体" w:hAnsi="黑体" w:eastAsia="黑体" w:cs="黑体"/>
                              <w:color w:val="000000" w:themeColor="text1"/>
                              <w:lang w:val="en-US" w:eastAsia="zh-CN"/>
                              <w14:textFill>
                                <w14:solidFill>
                                  <w14:schemeClr w14:val="tx1"/>
                                </w14:solidFill>
                              </w14:textFill>
                            </w:rPr>
                            <w:t>分摊对象层</w:t>
                          </w:r>
                        </w:p>
                        <w:p w14:paraId="12A4241F">
                          <w:pPr>
                            <w:jc w:val="center"/>
                            <w:rPr>
                              <w:rFonts w:hint="eastAsia"/>
                              <w:color w:val="000000" w:themeColor="text1"/>
                              <w:lang w:val="en-US" w:eastAsia="zh-CN"/>
                              <w14:textFill>
                                <w14:solidFill>
                                  <w14:schemeClr w14:val="tx1"/>
                                </w14:solidFill>
                              </w14:textFill>
                            </w:rPr>
                          </w:pPr>
                        </w:p>
                        <w:p w14:paraId="6386C80C">
                          <w:pPr>
                            <w:jc w:val="center"/>
                            <w:rPr>
                              <w:rFonts w:hint="eastAsia"/>
                              <w:color w:val="000000" w:themeColor="text1"/>
                              <w:lang w:val="en-US" w:eastAsia="zh-CN"/>
                              <w14:textFill>
                                <w14:solidFill>
                                  <w14:schemeClr w14:val="tx1"/>
                                </w14:solidFill>
                              </w14:textFill>
                            </w:rPr>
                          </w:pPr>
                        </w:p>
                        <w:p w14:paraId="64419B7F">
                          <w:pPr>
                            <w:jc w:val="center"/>
                            <w:rPr>
                              <w:rFonts w:hint="default"/>
                              <w:color w:val="000000" w:themeColor="text1"/>
                              <w:lang w:val="en-US" w:eastAsia="zh-CN"/>
                              <w14:textFill>
                                <w14:solidFill>
                                  <w14:schemeClr w14:val="tx1"/>
                                </w14:solidFill>
                              </w14:textFill>
                            </w:rPr>
                          </w:pPr>
                        </w:p>
                      </w:txbxContent>
                    </v:textbox>
                  </v:roundrect>
                  <v:rect id="_x0000_s1026" o:spid="_x0000_s1026" o:spt="1" style="position:absolute;left:5828;top:261647;height:821;width:1688;v-text-anchor:middle;" fillcolor="#DAE3F5 [660]" filled="t" stroked="t" coordsize="21600,21600" o:gfxdata="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C8/GugAAANs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textbox>
                      <w:txbxContent>
                        <w:p w14:paraId="51C3E785">
                          <w:pPr>
                            <w:jc w:val="center"/>
                            <w:rPr>
                              <w:rFonts w:hint="default" w:eastAsiaTheme="minor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研发工时记录工时管理系统</w:t>
                          </w:r>
                        </w:p>
                      </w:txbxContent>
                    </v:textbox>
                  </v:rect>
                  <v:rect id="_x0000_s1026" o:spid="_x0000_s1026" o:spt="1" style="position:absolute;left:7770;top:261653;height:821;width:1688;v-text-anchor:middle;" fillcolor="#DAE3F5 [660]" filled="t" stroked="t" coordsize="21600,21600" o:gfxdata="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Hal28AAAA&#10;2wAAAA8AAAAAAAAAAQAgAAAAIgAAAGRycy9kb3ducmV2LnhtbFBLAQIUABQAAAAIAIdO4kAzLwWe&#10;OwAAADkAAAAQAAAAAAAAAAEAIAAAAAsBAABkcnMvc2hhcGV4bWwueG1sUEsFBgAAAAAGAAYAWwEA&#10;ALUDAAAAAA==&#10;">
                    <v:fill on="t" focussize="0,0"/>
                    <v:stroke weight="1pt" color="#2E54A1 [2404]" miterlimit="8" joinstyle="miter"/>
                    <v:imagedata o:title=""/>
                    <o:lock v:ext="edit" aspectratio="f"/>
                    <v:textbox>
                      <w:txbxContent>
                        <w:p w14:paraId="587D578A">
                          <w:pPr>
                            <w:jc w:val="center"/>
                            <w:rPr>
                              <w:rFonts w:hint="default" w:eastAsiaTheme="minor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设备使用记录设备运行日志</w:t>
                          </w:r>
                        </w:p>
                      </w:txbxContent>
                    </v:textbox>
                  </v:rect>
                  <v:rect id="_x0000_s1026" o:spid="_x0000_s1026" o:spt="1" style="position:absolute;left:9706;top:261646;height:821;width:1688;v-text-anchor:middle;" fillcolor="#DAE3F5 [660]" filled="t" stroked="t" coordsize="21600,21600" o:gfxdata="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2P4v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textbox>
                      <w:txbxContent>
                        <w:p w14:paraId="588D3074">
                          <w:pPr>
                            <w:jc w:val="cente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物料领用记录</w:t>
                          </w:r>
                        </w:p>
                        <w:p w14:paraId="730D91F7">
                          <w:pPr>
                            <w:jc w:val="cente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研发领料单</w:t>
                          </w:r>
                        </w:p>
                      </w:txbxContent>
                    </v:textbox>
                  </v:rect>
                  <v:rect id="_x0000_s1026" o:spid="_x0000_s1026" o:spt="1" style="position:absolute;left:11643;top:261642;height:821;width:1688;v-text-anchor:middle;" fillcolor="#DAE3F5 [660]" filled="t" stroked="t" coordsize="21600,21600" o:gfxdata="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lFu0ugAAANs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textbox>
                      <w:txbxContent>
                        <w:p w14:paraId="69A57C6A">
                          <w:pPr>
                            <w:jc w:val="cente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任务分配记录</w:t>
                          </w:r>
                        </w:p>
                        <w:p w14:paraId="4388FD3B">
                          <w:pPr>
                            <w:jc w:val="cente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项目管理系统</w:t>
                          </w:r>
                        </w:p>
                      </w:txbxContent>
                    </v:textbox>
                  </v:rect>
                </v:group>
                <v:group id="_x0000_s1026" o:spid="_x0000_s1026" o:spt="203" style="position:absolute;left:7613;top:260140;height:1179;width:7813;" coordorigin="5538,259950" coordsize="7813,1179" o:gfxdata="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lpUwK+AAAA2wAAAA8AAAAAAAAAAQAgAAAAIgAAAGRycy9kb3ducmV2Lnht&#10;bFBLAQIUABQAAAAIAIdO4kAzLwWeOwAAADkAAAAVAAAAAAAAAAEAIAAAAA0BAABkcnMvZ3JvdXBz&#10;aGFwZXhtbC54bWxQSwUGAAAAAAYABgBgAQAAygMAAAAA&#10;">
                  <o:lock v:ext="edit" aspectratio="f"/>
                  <v:roundrect id="_x0000_s1026" o:spid="_x0000_s1026" o:spt="2" style="position:absolute;left:5538;top:259950;height:1179;width:7813;v-text-anchor:middle;" fillcolor="#FFF2CA [662]" filled="t" stroked="t" coordsize="21600,21600" arcsize="0.166666666666667" o:gfxdata="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BfK3bsAAADb&#10;AAAADwAAAAAAAAABACAAAAAiAAAAZHJzL2Rvd25yZXYueG1sUEsBAhQAFAAAAAgAh07iQDMvBZ47&#10;AAAAOQAAABAAAAAAAAAAAQAgAAAACgEAAGRycy9zaGFwZXhtbC54bWxQSwUGAAAAAAYABgBbAQAA&#10;tAMAAAAA&#10;">
                    <v:fill on="t" focussize="0,0"/>
                    <v:stroke weight="1pt" color="#F2BA02 [3206]" miterlimit="8" joinstyle="miter"/>
                    <v:imagedata o:title=""/>
                    <o:lock v:ext="edit" aspectratio="f"/>
                    <v:textbox inset="2.54mm,0mm,2.54mm,1.27mm">
                      <w:txbxContent>
                        <w:p w14:paraId="68A15726">
                          <w:pPr>
                            <w:jc w:val="center"/>
                            <w:rPr>
                              <w:rFonts w:hint="eastAsia" w:ascii="黑体" w:hAnsi="黑体" w:eastAsia="黑体" w:cs="黑体"/>
                              <w:color w:val="000000" w:themeColor="text1"/>
                              <w:lang w:val="en-US" w:eastAsia="zh-CN"/>
                              <w14:textFill>
                                <w14:solidFill>
                                  <w14:schemeClr w14:val="tx1"/>
                                </w14:solidFill>
                              </w14:textFill>
                            </w:rPr>
                          </w:pPr>
                          <w:r>
                            <w:rPr>
                              <w:rFonts w:hint="eastAsia" w:ascii="黑体" w:hAnsi="黑体" w:eastAsia="黑体" w:cs="黑体"/>
                              <w:color w:val="000000" w:themeColor="text1"/>
                              <w:lang w:val="en-US" w:eastAsia="zh-CN"/>
                              <w14:textFill>
                                <w14:solidFill>
                                  <w14:schemeClr w14:val="tx1"/>
                                </w14:solidFill>
                              </w14:textFill>
                            </w:rPr>
                            <w:t>费用发生层</w:t>
                          </w:r>
                        </w:p>
                        <w:p w14:paraId="15E319EB">
                          <w:pPr>
                            <w:jc w:val="center"/>
                            <w:rPr>
                              <w:rFonts w:hint="eastAsia"/>
                              <w:color w:val="000000" w:themeColor="text1"/>
                              <w:lang w:val="en-US" w:eastAsia="zh-CN"/>
                              <w14:textFill>
                                <w14:solidFill>
                                  <w14:schemeClr w14:val="tx1"/>
                                </w14:solidFill>
                              </w14:textFill>
                            </w:rPr>
                          </w:pPr>
                        </w:p>
                        <w:p w14:paraId="01FACC8B">
                          <w:pPr>
                            <w:jc w:val="center"/>
                            <w:rPr>
                              <w:rFonts w:hint="eastAsia"/>
                              <w:color w:val="000000" w:themeColor="text1"/>
                              <w:lang w:val="en-US" w:eastAsia="zh-CN"/>
                              <w14:textFill>
                                <w14:solidFill>
                                  <w14:schemeClr w14:val="tx1"/>
                                </w14:solidFill>
                              </w14:textFill>
                            </w:rPr>
                          </w:pPr>
                        </w:p>
                        <w:p w14:paraId="6E2EB2FA">
                          <w:pPr>
                            <w:jc w:val="center"/>
                            <w:rPr>
                              <w:rFonts w:hint="default"/>
                              <w:color w:val="000000" w:themeColor="text1"/>
                              <w:lang w:val="en-US" w:eastAsia="zh-CN"/>
                              <w14:textFill>
                                <w14:solidFill>
                                  <w14:schemeClr w14:val="tx1"/>
                                </w14:solidFill>
                              </w14:textFill>
                            </w:rPr>
                          </w:pPr>
                        </w:p>
                      </w:txbxContent>
                    </v:textbox>
                  </v:roundrect>
                  <v:rect id="_x0000_s1026" o:spid="_x0000_s1026" o:spt="1" style="position:absolute;left:5913;top:260436;height:540;width:1273;v-text-anchor:middle;" fillcolor="#DAE3F5 [660]" filled="t" stroked="t" coordsize="21600,21600" o:gfxdata="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DDJxbsAAADb&#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textbox>
                      <w:txbxContent>
                        <w:p w14:paraId="0F7833E2">
                          <w:pPr>
                            <w:jc w:val="center"/>
                            <w:rPr>
                              <w:rFonts w:hint="default" w:eastAsiaTheme="minor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人员薪酬</w:t>
                          </w:r>
                        </w:p>
                      </w:txbxContent>
                    </v:textbox>
                  </v:rect>
                  <v:rect id="_x0000_s1026" o:spid="_x0000_s1026" o:spt="1" style="position:absolute;left:7843;top:260429;height:540;width:1273;v-text-anchor:middle;" fillcolor="#DAE3F5 [660]" filled="t" stroked="t" coordsize="21600,21600" o:gfxdata="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fGxeugAAANs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textbox>
                      <w:txbxContent>
                        <w:p w14:paraId="7AE1EE81">
                          <w:pPr>
                            <w:jc w:val="center"/>
                            <w:rPr>
                              <w:rFonts w:hint="default" w:eastAsiaTheme="minor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设备折旧</w:t>
                          </w:r>
                        </w:p>
                      </w:txbxContent>
                    </v:textbox>
                  </v:rect>
                  <v:rect id="_x0000_s1026" o:spid="_x0000_s1026" o:spt="1" style="position:absolute;left:9792;top:260429;height:540;width:1273;v-text-anchor:middle;" fillcolor="#DAE3F5 [660]" filled="t" stroked="t" coordsize="21600,21600" o:gfxdata="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lfQqugAAANsA&#10;AAAPAAAAAAAAAAEAIAAAACIAAABkcnMvZG93bnJldi54bWxQSwECFAAUAAAACACHTuJAMy8FnjsA&#10;AAA5AAAAEAAAAAAAAAABACAAAAAJAQAAZHJzL3NoYXBleG1sLnhtbFBLBQYAAAAABgAGAFsBAACz&#10;AwAAAAA=&#10;">
                    <v:fill on="t" focussize="0,0"/>
                    <v:stroke weight="1pt" color="#2E54A1 [2404]" miterlimit="8" joinstyle="miter"/>
                    <v:imagedata o:title=""/>
                    <o:lock v:ext="edit" aspectratio="f"/>
                    <v:textbox>
                      <w:txbxContent>
                        <w:p w14:paraId="590567F8">
                          <w:pPr>
                            <w:jc w:val="center"/>
                            <w:rPr>
                              <w:rFonts w:hint="default" w:eastAsiaTheme="minor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物料消耗</w:t>
                          </w:r>
                        </w:p>
                      </w:txbxContent>
                    </v:textbox>
                  </v:rect>
                  <v:rect id="_x0000_s1026" o:spid="_x0000_s1026" o:spt="1" style="position:absolute;left:11729;top:260429;height:540;width:1273;v-text-anchor:middle;" fillcolor="#DAE3F5 [660]" filled="t" stroked="t" coordsize="21600,21600" o:gfxdata="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9lRsbsAAADb&#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textbox>
                      <w:txbxContent>
                        <w:p w14:paraId="415E7805">
                          <w:pPr>
                            <w:jc w:val="center"/>
                            <w:rPr>
                              <w:rFonts w:hint="default" w:eastAsiaTheme="minor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设计费等</w:t>
                          </w:r>
                        </w:p>
                      </w:txbxContent>
                    </v:textbox>
                  </v:rect>
                </v:group>
                <v:group id="_x0000_s1026" o:spid="_x0000_s1026" o:spt="203" style="position:absolute;left:7613;top:263218;height:1479;width:7813;" coordorigin="5833,264664" coordsize="7813,1479" o:gfxdata="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R83Bc7oAAADbAAAADwAAAAAAAAABACAAAAAiAAAAZHJzL2Rvd25yZXYueG1sUEsB&#10;AhQAFAAAAAgAh07iQDMvBZ47AAAAOQAAABUAAAAAAAAAAQAgAAAACQEAAGRycy9ncm91cHNoYXBl&#10;eG1sLnhtbFBLBQYAAAAABgAGAGABAADGAwAAAAA=&#10;">
                  <o:lock v:ext="edit" aspectratio="f"/>
                  <v:roundrect id="_x0000_s1026" o:spid="_x0000_s1026" o:spt="2" style="position:absolute;left:5833;top:264664;height:1479;width:7813;v-text-anchor:middle;" fillcolor="#FFF2CA [662]" filled="t" stroked="t" coordsize="21600,21600" arcsize="0.166666666666667" o:gfxdata="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Uqm8AAAA&#10;2wAAAA8AAAAAAAAAAQAgAAAAIgAAAGRycy9kb3ducmV2LnhtbFBLAQIUABQAAAAIAIdO4kAzLwWe&#10;OwAAADkAAAAQAAAAAAAAAAEAIAAAAAsBAABkcnMvc2hhcGV4bWwueG1sUEsFBgAAAAAGAAYAWwEA&#10;ALUDAAAAAA==&#10;">
                    <v:fill on="t" focussize="0,0"/>
                    <v:stroke weight="1pt" color="#F2BA02 [3206]" miterlimit="8" joinstyle="miter"/>
                    <v:imagedata o:title=""/>
                    <o:lock v:ext="edit" aspectratio="f"/>
                    <v:textbox inset="2.54mm,0mm,2.54mm,1.27mm">
                      <w:txbxContent>
                        <w:p w14:paraId="4921D630">
                          <w:pPr>
                            <w:jc w:val="center"/>
                            <w:rPr>
                              <w:rFonts w:hint="eastAsia" w:ascii="黑体" w:hAnsi="黑体" w:eastAsia="黑体" w:cs="黑体"/>
                              <w:color w:val="000000" w:themeColor="text1"/>
                              <w:lang w:val="en-US" w:eastAsia="zh-CN"/>
                              <w14:textFill>
                                <w14:solidFill>
                                  <w14:schemeClr w14:val="tx1"/>
                                </w14:solidFill>
                              </w14:textFill>
                            </w:rPr>
                          </w:pPr>
                          <w:r>
                            <w:rPr>
                              <w:rFonts w:hint="eastAsia" w:ascii="黑体" w:hAnsi="黑体" w:eastAsia="黑体" w:cs="黑体"/>
                              <w:color w:val="000000" w:themeColor="text1"/>
                              <w:lang w:val="en-US" w:eastAsia="zh-CN"/>
                              <w14:textFill>
                                <w14:solidFill>
                                  <w14:schemeClr w14:val="tx1"/>
                                </w14:solidFill>
                              </w14:textFill>
                            </w:rPr>
                            <w:t>规则引擎层</w:t>
                          </w:r>
                        </w:p>
                        <w:p w14:paraId="6B25EF45">
                          <w:pPr>
                            <w:jc w:val="center"/>
                            <w:rPr>
                              <w:rFonts w:hint="eastAsia"/>
                              <w:color w:val="000000" w:themeColor="text1"/>
                              <w:lang w:val="en-US" w:eastAsia="zh-CN"/>
                              <w14:textFill>
                                <w14:solidFill>
                                  <w14:schemeClr w14:val="tx1"/>
                                </w14:solidFill>
                              </w14:textFill>
                            </w:rPr>
                          </w:pPr>
                        </w:p>
                        <w:p w14:paraId="48900F75">
                          <w:pPr>
                            <w:jc w:val="center"/>
                            <w:rPr>
                              <w:rFonts w:hint="eastAsia"/>
                              <w:color w:val="000000" w:themeColor="text1"/>
                              <w:lang w:val="en-US" w:eastAsia="zh-CN"/>
                              <w14:textFill>
                                <w14:solidFill>
                                  <w14:schemeClr w14:val="tx1"/>
                                </w14:solidFill>
                              </w14:textFill>
                            </w:rPr>
                          </w:pPr>
                        </w:p>
                        <w:p w14:paraId="318AB662">
                          <w:pPr>
                            <w:jc w:val="center"/>
                            <w:rPr>
                              <w:rFonts w:hint="default"/>
                              <w:color w:val="000000" w:themeColor="text1"/>
                              <w:lang w:val="en-US" w:eastAsia="zh-CN"/>
                              <w14:textFill>
                                <w14:solidFill>
                                  <w14:schemeClr w14:val="tx1"/>
                                </w14:solidFill>
                              </w14:textFill>
                            </w:rPr>
                          </w:pPr>
                        </w:p>
                      </w:txbxContent>
                    </v:textbox>
                  </v:roundrect>
                  <v:rect id="_x0000_s1026" o:spid="_x0000_s1026" o:spt="1" style="position:absolute;left:5965;top:265202;height:828;width:1774;v-text-anchor:middle;" fillcolor="#DAE3F5 [660]" filled="t" stroked="t" coordsize="21600,21600" o:gfxdata="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sRLQKLUAAADbAAAADwAA&#10;AAAAAAABACAAAAAiAAAAZHJzL2Rvd25yZXYueG1sUEsBAhQAFAAAAAgAh07iQDMvBZ47AAAAOQAA&#10;ABAAAAAAAAAAAQAgAAAABAEAAGRycy9zaGFwZXhtbC54bWxQSwUGAAAAAAYABgBbAQAArgMAAAAA&#10;">
                    <v:fill on="t" focussize="0,0"/>
                    <v:stroke weight="1pt" color="#2E54A1 [2404]" miterlimit="8" joinstyle="miter"/>
                    <v:imagedata o:title=""/>
                    <o:lock v:ext="edit" aspectratio="f"/>
                    <v:textbox inset="0mm,1.27mm,0mm,1.27mm">
                      <w:txbxContent>
                        <w:p w14:paraId="714D033A">
                          <w:pPr>
                            <w:jc w:val="center"/>
                            <w:rPr>
                              <w:rFonts w:hint="default" w:eastAsiaTheme="minor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人工</w:t>
                          </w:r>
                          <w:r>
                            <w:rPr>
                              <w:rFonts w:hint="default" w:eastAsiaTheme="minorEastAsia"/>
                              <w:color w:val="000000" w:themeColor="text1"/>
                              <w:sz w:val="18"/>
                              <w:szCs w:val="18"/>
                              <w:highlight w:val="none"/>
                              <w:lang w:val="en-US" w:eastAsia="zh-CN"/>
                              <w14:textFill>
                                <w14:solidFill>
                                  <w14:schemeClr w14:val="tx1"/>
                                </w14:solidFill>
                              </w14:textFill>
                            </w:rPr>
                            <w:t>项</w:t>
                          </w:r>
                          <w:r>
                            <w:rPr>
                              <w:rFonts w:hint="eastAsia"/>
                              <w:color w:val="000000" w:themeColor="text1"/>
                              <w:sz w:val="18"/>
                              <w:szCs w:val="18"/>
                              <w:highlight w:val="none"/>
                              <w:lang w:val="en-US" w:eastAsia="zh-CN"/>
                              <w14:textFill>
                                <w14:solidFill>
                                  <w14:schemeClr w14:val="tx1"/>
                                </w14:solidFill>
                              </w14:textFill>
                            </w:rPr>
                            <w:t>目</w:t>
                          </w:r>
                          <w:r>
                            <w:rPr>
                              <w:rFonts w:hint="default" w:eastAsiaTheme="minorEastAsia"/>
                              <w:color w:val="000000" w:themeColor="text1"/>
                              <w:sz w:val="18"/>
                              <w:szCs w:val="18"/>
                              <w:highlight w:val="none"/>
                              <w:lang w:val="en-US" w:eastAsia="zh-CN"/>
                              <w14:textFill>
                                <w14:solidFill>
                                  <w14:schemeClr w14:val="tx1"/>
                                </w14:solidFill>
                              </w14:textFill>
                            </w:rPr>
                            <w:t>分摊</w:t>
                          </w:r>
                        </w:p>
                        <w:p w14:paraId="06ACC4DF">
                          <w:pPr>
                            <w:jc w:val="center"/>
                            <w:rPr>
                              <w:rFonts w:hint="default" w:eastAsiaTheme="minorEastAsia"/>
                              <w:color w:val="000000" w:themeColor="text1"/>
                              <w:sz w:val="18"/>
                              <w:szCs w:val="18"/>
                              <w:highlight w:val="none"/>
                              <w:lang w:val="en-US" w:eastAsia="zh-CN"/>
                              <w14:textFill>
                                <w14:solidFill>
                                  <w14:schemeClr w14:val="tx1"/>
                                </w14:solidFill>
                              </w14:textFill>
                            </w:rPr>
                          </w:pPr>
                          <w:r>
                            <w:rPr>
                              <w:rFonts w:hint="default" w:eastAsiaTheme="minorEastAsia"/>
                              <w:color w:val="000000" w:themeColor="text1"/>
                              <w:sz w:val="18"/>
                              <w:szCs w:val="18"/>
                              <w:highlight w:val="none"/>
                              <w:lang w:val="en-US" w:eastAsia="zh-CN"/>
                              <w14:textFill>
                                <w14:solidFill>
                                  <w14:schemeClr w14:val="tx1"/>
                                </w14:solidFill>
                              </w14:textFill>
                            </w:rPr>
                            <w:t>薪酬按研发工时占比</w:t>
                          </w:r>
                        </w:p>
                      </w:txbxContent>
                    </v:textbox>
                  </v:rect>
                  <v:rect id="_x0000_s1026" o:spid="_x0000_s1026" o:spt="1" style="position:absolute;left:7921;top:265196;height:828;width:1757;v-text-anchor:middle;" fillcolor="#DAE3F5 [660]" filled="t" stroked="t" coordsize="21600,21600" o:gfxdata="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bftx7gAAADbAAAA&#10;DwAAAAAAAAABACAAAAAiAAAAZHJzL2Rvd25yZXYueG1sUEsBAhQAFAAAAAgAh07iQDMvBZ47AAAA&#10;OQAAABAAAAAAAAAAAQAgAAAABwEAAGRycy9zaGFwZXhtbC54bWxQSwUGAAAAAAYABgBbAQAAsQMA&#10;AAAA&#10;">
                    <v:fill on="t" focussize="0,0"/>
                    <v:stroke weight="1pt" color="#2E54A1 [2404]" miterlimit="8" joinstyle="miter"/>
                    <v:imagedata o:title=""/>
                    <o:lock v:ext="edit" aspectratio="f"/>
                    <v:textbox inset="0mm,1.27mm,0mm,1.27mm">
                      <w:txbxContent>
                        <w:p w14:paraId="24DB4CD6">
                          <w:pPr>
                            <w:jc w:val="center"/>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设备使用项目分摊</w:t>
                          </w:r>
                        </w:p>
                        <w:p w14:paraId="0F9C5609">
                          <w:pPr>
                            <w:jc w:val="center"/>
                            <w:rPr>
                              <w:rFonts w:hint="default" w:eastAsiaTheme="minor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折旧按运行时长占比</w:t>
                          </w:r>
                        </w:p>
                      </w:txbxContent>
                    </v:textbox>
                  </v:rect>
                  <v:rect id="_x0000_s1026" o:spid="_x0000_s1026" o:spt="1" style="position:absolute;left:9857;top:265208;height:834;width:1756;v-text-anchor:middle;" fillcolor="#DAE3F5 [660]" filled="t" stroked="t" coordsize="21600,21600" o:gfxdata="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R5vTvQAA&#10;ANsAAAAPAAAAAAAAAAEAIAAAACIAAABkcnMvZG93bnJldi54bWxQSwECFAAUAAAACACHTuJAMy8F&#10;njsAAAA5AAAAEAAAAAAAAAABACAAAAAMAQAAZHJzL3NoYXBleG1sLnhtbFBLBQYAAAAABgAGAFsB&#10;AAC2AwAAAAA=&#10;">
                    <v:fill on="t" focussize="0,0"/>
                    <v:stroke weight="1pt" color="#2E54A1 [2404]" miterlimit="8" joinstyle="miter"/>
                    <v:imagedata o:title=""/>
                    <o:lock v:ext="edit" aspectratio="f"/>
                    <v:textbox inset="0mm,0mm,0mm,0mm">
                      <w:txbxContent>
                        <w:p w14:paraId="23CDBF49">
                          <w:pPr>
                            <w:keepNext w:val="0"/>
                            <w:keepLines w:val="0"/>
                            <w:pageBreakBefore w:val="0"/>
                            <w:widowControl w:val="0"/>
                            <w:kinsoku/>
                            <w:wordWrap/>
                            <w:overflowPunct/>
                            <w:topLinePunct w:val="0"/>
                            <w:bidi w:val="0"/>
                            <w:adjustRightInd/>
                            <w:snapToGrid/>
                            <w:spacing w:line="240" w:lineRule="exact"/>
                            <w:jc w:val="center"/>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物料项目归集分摊</w:t>
                          </w:r>
                        </w:p>
                        <w:p w14:paraId="03F4FD87">
                          <w:pPr>
                            <w:keepNext w:val="0"/>
                            <w:keepLines w:val="0"/>
                            <w:pageBreakBefore w:val="0"/>
                            <w:widowControl w:val="0"/>
                            <w:kinsoku/>
                            <w:wordWrap/>
                            <w:overflowPunct/>
                            <w:topLinePunct w:val="0"/>
                            <w:bidi w:val="0"/>
                            <w:adjustRightInd/>
                            <w:snapToGrid/>
                            <w:spacing w:line="240" w:lineRule="exact"/>
                            <w:jc w:val="center"/>
                            <w:textAlignment w:val="auto"/>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直接归集优先</w:t>
                          </w:r>
                        </w:p>
                        <w:p w14:paraId="41585BC8">
                          <w:pPr>
                            <w:keepNext w:val="0"/>
                            <w:keepLines w:val="0"/>
                            <w:pageBreakBefore w:val="0"/>
                            <w:widowControl w:val="0"/>
                            <w:kinsoku/>
                            <w:wordWrap/>
                            <w:overflowPunct/>
                            <w:topLinePunct w:val="0"/>
                            <w:bidi w:val="0"/>
                            <w:adjustRightInd/>
                            <w:snapToGrid/>
                            <w:spacing w:line="240" w:lineRule="exact"/>
                            <w:jc w:val="center"/>
                            <w:textAlignment w:val="auto"/>
                            <w:rPr>
                              <w:rFonts w:hint="default" w:eastAsiaTheme="minor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共用按工时</w:t>
                          </w:r>
                        </w:p>
                      </w:txbxContent>
                    </v:textbox>
                  </v:rect>
                  <v:rect id="_x0000_s1026" o:spid="_x0000_s1026" o:spt="1" style="position:absolute;left:11787;top:265197;height:828;width:1763;v-text-anchor:middle;" fillcolor="#DAE3F5 [660]" filled="t" stroked="t" coordsize="21600,21600" o:gfxdata="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T2TcLrUAAADbAAAADwAA&#10;AAAAAAABACAAAAAiAAAAZHJzL2Rvd25yZXYueG1sUEsBAhQAFAAAAAgAh07iQDMvBZ47AAAAOQAA&#10;ABAAAAAAAAAAAQAgAAAABAEAAGRycy9zaGFwZXhtbC54bWxQSwUGAAAAAAYABgBbAQAArgMAAAAA&#10;">
                    <v:fill on="t" focussize="0,0"/>
                    <v:stroke weight="1pt" color="#2E54A1 [2404]" miterlimit="8" joinstyle="miter"/>
                    <v:imagedata o:title=""/>
                    <o:lock v:ext="edit" aspectratio="f"/>
                    <v:textbox inset="0mm,1.27mm,0mm,1.27mm">
                      <w:txbxContent>
                        <w:p w14:paraId="5467813A">
                          <w:pPr>
                            <w:jc w:val="center"/>
                            <w:rPr>
                              <w:rFonts w:hint="default" w:eastAsiaTheme="minor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设计等</w:t>
                          </w:r>
                          <w:r>
                            <w:rPr>
                              <w:rFonts w:hint="default" w:eastAsiaTheme="minorEastAsia"/>
                              <w:color w:val="000000" w:themeColor="text1"/>
                              <w:sz w:val="18"/>
                              <w:szCs w:val="18"/>
                              <w:highlight w:val="none"/>
                              <w:lang w:val="en-US" w:eastAsia="zh-CN"/>
                              <w14:textFill>
                                <w14:solidFill>
                                  <w14:schemeClr w14:val="tx1"/>
                                </w14:solidFill>
                              </w14:textFill>
                            </w:rPr>
                            <w:t>项</w:t>
                          </w:r>
                          <w:r>
                            <w:rPr>
                              <w:rFonts w:hint="eastAsia"/>
                              <w:color w:val="000000" w:themeColor="text1"/>
                              <w:sz w:val="18"/>
                              <w:szCs w:val="18"/>
                              <w:highlight w:val="none"/>
                              <w:lang w:val="en-US" w:eastAsia="zh-CN"/>
                              <w14:textFill>
                                <w14:solidFill>
                                  <w14:schemeClr w14:val="tx1"/>
                                </w14:solidFill>
                              </w14:textFill>
                            </w:rPr>
                            <w:t>目</w:t>
                          </w:r>
                          <w:r>
                            <w:rPr>
                              <w:rFonts w:hint="default" w:eastAsiaTheme="minorEastAsia"/>
                              <w:color w:val="000000" w:themeColor="text1"/>
                              <w:sz w:val="18"/>
                              <w:szCs w:val="18"/>
                              <w:highlight w:val="none"/>
                              <w:lang w:val="en-US" w:eastAsia="zh-CN"/>
                              <w14:textFill>
                                <w14:solidFill>
                                  <w14:schemeClr w14:val="tx1"/>
                                </w14:solidFill>
                              </w14:textFill>
                            </w:rPr>
                            <w:t>分摊</w:t>
                          </w:r>
                        </w:p>
                        <w:p w14:paraId="5D883D5D">
                          <w:pPr>
                            <w:jc w:val="center"/>
                            <w:rPr>
                              <w:rFonts w:hint="default" w:eastAsiaTheme="minor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任务分配记录</w:t>
                          </w:r>
                        </w:p>
                      </w:txbxContent>
                    </v:textbox>
                  </v:rect>
                </v:group>
                <v:group id="_x0000_s1026" o:spid="_x0000_s1026" o:spt="203" style="position:absolute;left:8858;top:264900;height:2658;width:5324;" coordorigin="8989,265008" coordsize="5324,2658" o:gfxdata="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Lsg67AAAA2wAAAA8AAAAAAAAAAQAgAAAAIgAAAGRycy9kb3ducmV2LnhtbFBL&#10;AQIUABQAAAAIAIdO4kAzLwWeOwAAADkAAAAVAAAAAAAAAAEAIAAAAAoBAABkcnMvZ3JvdXBzaGFw&#10;ZXhtbC54bWxQSwUGAAAAAAYABgBgAQAAxwMAAAAA&#10;">
                  <o:lock v:ext="edit" aspectratio="f"/>
                  <v:roundrect id="_x0000_s1026" o:spid="_x0000_s1026" o:spt="2" style="position:absolute;left:8989;top:265008;height:2659;width:5324;v-text-anchor:middle;" fillcolor="#FFF2CA [662]" filled="t" stroked="t" coordsize="21600,21600" arcsize="0.166666666666667" o:gfxdata="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LMzeugAAANsA&#10;AAAPAAAAAAAAAAEAIAAAACIAAABkcnMvZG93bnJldi54bWxQSwECFAAUAAAACACHTuJAMy8FnjsA&#10;AAA5AAAAEAAAAAAAAAABACAAAAAJAQAAZHJzL3NoYXBleG1sLnhtbFBLBQYAAAAABgAGAFsBAACz&#10;AwAAAAA=&#10;">
                    <v:fill on="t" focussize="0,0"/>
                    <v:stroke weight="1pt" color="#F2BA02 [3206]" miterlimit="8" joinstyle="miter"/>
                    <v:imagedata o:title=""/>
                    <o:lock v:ext="edit" aspectratio="f"/>
                    <v:textbox inset="2.54mm,0mm,2.54mm,1.27mm">
                      <w:txbxContent>
                        <w:p w14:paraId="280A994A">
                          <w:pPr>
                            <w:jc w:val="center"/>
                            <w:rPr>
                              <w:rFonts w:hint="eastAsia" w:ascii="黑体" w:hAnsi="黑体" w:eastAsia="黑体" w:cs="黑体"/>
                              <w:color w:val="000000" w:themeColor="text1"/>
                              <w:lang w:val="en-US" w:eastAsia="zh-CN"/>
                              <w14:textFill>
                                <w14:solidFill>
                                  <w14:schemeClr w14:val="tx1"/>
                                </w14:solidFill>
                              </w14:textFill>
                            </w:rPr>
                          </w:pPr>
                          <w:r>
                            <w:rPr>
                              <w:rFonts w:hint="eastAsia" w:ascii="黑体" w:hAnsi="黑体" w:eastAsia="黑体" w:cs="黑体"/>
                              <w:color w:val="000000" w:themeColor="text1"/>
                              <w:lang w:val="en-US" w:eastAsia="zh-CN"/>
                              <w14:textFill>
                                <w14:solidFill>
                                  <w14:schemeClr w14:val="tx1"/>
                                </w14:solidFill>
                              </w14:textFill>
                            </w:rPr>
                            <w:t>信息输出层</w:t>
                          </w:r>
                        </w:p>
                        <w:p w14:paraId="6DFE7DC0">
                          <w:pPr>
                            <w:jc w:val="center"/>
                            <w:rPr>
                              <w:rFonts w:hint="eastAsia"/>
                              <w:color w:val="000000" w:themeColor="text1"/>
                              <w:lang w:val="en-US" w:eastAsia="zh-CN"/>
                              <w14:textFill>
                                <w14:solidFill>
                                  <w14:schemeClr w14:val="tx1"/>
                                </w14:solidFill>
                              </w14:textFill>
                            </w:rPr>
                          </w:pPr>
                        </w:p>
                        <w:p w14:paraId="04C6053F">
                          <w:pPr>
                            <w:jc w:val="center"/>
                            <w:rPr>
                              <w:rFonts w:hint="eastAsia"/>
                              <w:color w:val="000000" w:themeColor="text1"/>
                              <w:lang w:val="en-US" w:eastAsia="zh-CN"/>
                              <w14:textFill>
                                <w14:solidFill>
                                  <w14:schemeClr w14:val="tx1"/>
                                </w14:solidFill>
                              </w14:textFill>
                            </w:rPr>
                          </w:pPr>
                        </w:p>
                        <w:p w14:paraId="767B0FFB">
                          <w:pPr>
                            <w:jc w:val="center"/>
                            <w:rPr>
                              <w:rFonts w:hint="default"/>
                              <w:color w:val="000000" w:themeColor="text1"/>
                              <w:lang w:val="en-US" w:eastAsia="zh-CN"/>
                              <w14:textFill>
                                <w14:solidFill>
                                  <w14:schemeClr w14:val="tx1"/>
                                </w14:solidFill>
                              </w14:textFill>
                            </w:rPr>
                          </w:pPr>
                        </w:p>
                        <w:p w14:paraId="1075289D">
                          <w:pPr>
                            <w:jc w:val="center"/>
                            <w:rPr>
                              <w:rFonts w:hint="default"/>
                              <w:color w:val="000000" w:themeColor="text1"/>
                              <w:lang w:val="en-US" w:eastAsia="zh-CN"/>
                              <w14:textFill>
                                <w14:solidFill>
                                  <w14:schemeClr w14:val="tx1"/>
                                </w14:solidFill>
                              </w14:textFill>
                            </w:rPr>
                          </w:pPr>
                        </w:p>
                        <w:p w14:paraId="736172A1">
                          <w:pPr>
                            <w:jc w:val="center"/>
                            <w:rPr>
                              <w:rFonts w:hint="default"/>
                              <w:color w:val="000000" w:themeColor="text1"/>
                              <w:lang w:val="en-US" w:eastAsia="zh-CN"/>
                              <w14:textFill>
                                <w14:solidFill>
                                  <w14:schemeClr w14:val="tx1"/>
                                </w14:solidFill>
                              </w14:textFill>
                            </w:rPr>
                          </w:pPr>
                        </w:p>
                        <w:p w14:paraId="275B0199">
                          <w:pPr>
                            <w:jc w:val="center"/>
                            <w:rPr>
                              <w:rFonts w:hint="default"/>
                              <w:color w:val="000000" w:themeColor="text1"/>
                              <w:lang w:val="en-US" w:eastAsia="zh-CN"/>
                              <w14:textFill>
                                <w14:solidFill>
                                  <w14:schemeClr w14:val="tx1"/>
                                </w14:solidFill>
                              </w14:textFill>
                            </w:rPr>
                          </w:pPr>
                        </w:p>
                        <w:p w14:paraId="53F86EAB">
                          <w:pPr>
                            <w:jc w:val="center"/>
                            <w:rPr>
                              <w:rFonts w:hint="default"/>
                              <w:color w:val="000000" w:themeColor="text1"/>
                              <w:lang w:val="en-US" w:eastAsia="zh-CN"/>
                              <w14:textFill>
                                <w14:solidFill>
                                  <w14:schemeClr w14:val="tx1"/>
                                </w14:solidFill>
                              </w14:textFill>
                            </w:rPr>
                          </w:pPr>
                        </w:p>
                      </w:txbxContent>
                    </v:textbox>
                  </v:roundrect>
                  <v:rect id="_x0000_s1026" o:spid="_x0000_s1026" o:spt="1" style="position:absolute;left:10840;top:266792;height:821;width:1678;v-text-anchor:middle;" fillcolor="#DAE3F5 [660]" filled="t" stroked="t" coordsize="21600,21600" o:gfxdata="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Ch5tbgAAADbAAAA&#10;DwAAAAAAAAABACAAAAAiAAAAZHJzL2Rvd25yZXYueG1sUEsBAhQAFAAAAAgAh07iQDMvBZ47AAAA&#10;OQAAABAAAAAAAAAAAQAgAAAABwEAAGRycy9zaGFwZXhtbC54bWxQSwUGAAAAAAYABgBbAQAAsQMA&#10;AAAA&#10;">
                    <v:fill on="t" focussize="0,0"/>
                    <v:stroke weight="1pt" color="#2E54A1 [2404]" miterlimit="8" joinstyle="miter"/>
                    <v:imagedata o:title=""/>
                    <o:lock v:ext="edit" aspectratio="f"/>
                    <v:textbox inset="0mm,1.27mm,0mm,1.27mm">
                      <w:txbxContent>
                        <w:p w14:paraId="3401D788">
                          <w:pPr>
                            <w:jc w:val="cente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各项目</w:t>
                          </w:r>
                        </w:p>
                        <w:p w14:paraId="1984E1AC">
                          <w:pPr>
                            <w:jc w:val="center"/>
                            <w:rPr>
                              <w:rFonts w:hint="default" w:eastAsiaTheme="minor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研发支出辅助账</w:t>
                          </w:r>
                        </w:p>
                      </w:txbxContent>
                    </v:textbox>
                  </v:rect>
                  <v:rect id="_x0000_s1026" o:spid="_x0000_s1026" o:spt="1" style="position:absolute;left:10839;top:265569;height:821;width:1688;v-text-anchor:middle;" fillcolor="#DAE3F5 [660]" filled="t" stroked="t" coordsize="21600,21600" o:gfxdata="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BuuSbsAAADb&#10;AAAADwAAAAAAAAABACAAAAAiAAAAZHJzL2Rvd25yZXYueG1sUEsBAhQAFAAAAAgAh07iQDMvBZ47&#10;AAAAOQAAABAAAAAAAAAAAQAgAAAACgEAAGRycy9zaGFwZXhtbC54bWxQSwUGAAAAAAYABgBbAQAA&#10;tAMAAAAA&#10;">
                    <v:fill on="t" focussize="0,0"/>
                    <v:stroke weight="1pt" color="#2E54A1 [2404]" miterlimit="8" joinstyle="miter"/>
                    <v:imagedata o:title=""/>
                    <o:lock v:ext="edit" aspectratio="f"/>
                    <v:textbox>
                      <w:txbxContent>
                        <w:p w14:paraId="7AD41FB9">
                          <w:pPr>
                            <w:jc w:val="cente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各项目</w:t>
                          </w:r>
                        </w:p>
                        <w:p w14:paraId="18F5E073">
                          <w:pPr>
                            <w:jc w:val="center"/>
                            <w:rPr>
                              <w:rFonts w:hint="default" w:eastAsiaTheme="minor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费用分摊明细</w:t>
                          </w:r>
                        </w:p>
                      </w:txbxContent>
                    </v:textbox>
                  </v:rect>
                </v:group>
              </v:group>
            </w:pict>
          </mc:Fallback>
        </mc:AlternateContent>
      </w:r>
    </w:p>
    <w:p w14:paraId="223C1D7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cstheme="majorEastAsia"/>
          <w:b w:val="0"/>
          <w:bCs/>
          <w:sz w:val="24"/>
          <w:szCs w:val="24"/>
          <w:lang w:val="en-US" w:eastAsia="zh-CN"/>
        </w:rPr>
      </w:pPr>
    </w:p>
    <w:p w14:paraId="5A86EF6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cstheme="majorEastAsia"/>
          <w:b w:val="0"/>
          <w:bCs/>
          <w:sz w:val="24"/>
          <w:szCs w:val="24"/>
          <w:lang w:val="en-US" w:eastAsia="zh-CN"/>
        </w:rPr>
      </w:pPr>
    </w:p>
    <w:p w14:paraId="30F7ECD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cstheme="majorEastAsia"/>
          <w:b w:val="0"/>
          <w:bCs/>
          <w:sz w:val="24"/>
          <w:szCs w:val="24"/>
          <w:lang w:val="en-US" w:eastAsia="zh-CN"/>
        </w:rPr>
      </w:pPr>
      <w:r>
        <w:rPr>
          <w:sz w:val="24"/>
        </w:rPr>
        <mc:AlternateContent>
          <mc:Choice Requires="wps">
            <w:drawing>
              <wp:anchor distT="0" distB="0" distL="114300" distR="114300" simplePos="0" relativeHeight="251674624" behindDoc="0" locked="0" layoutInCell="1" allowOverlap="1">
                <wp:simplePos x="0" y="0"/>
                <wp:positionH relativeFrom="column">
                  <wp:posOffset>4278630</wp:posOffset>
                </wp:positionH>
                <wp:positionV relativeFrom="paragraph">
                  <wp:posOffset>162560</wp:posOffset>
                </wp:positionV>
                <wp:extent cx="539115" cy="1270"/>
                <wp:effectExtent l="50800" t="635" r="52705" b="3175"/>
                <wp:wrapNone/>
                <wp:docPr id="42" name="曲线连接符 42"/>
                <wp:cNvGraphicFramePr/>
                <a:graphic xmlns:a="http://schemas.openxmlformats.org/drawingml/2006/main">
                  <a:graphicData uri="http://schemas.microsoft.com/office/word/2010/wordprocessingShape">
                    <wps:wsp>
                      <wps:cNvCnPr>
                        <a:stCxn id="15" idx="2"/>
                        <a:endCxn id="19" idx="0"/>
                      </wps:cNvCnPr>
                      <wps:spPr>
                        <a:xfrm rot="5400000">
                          <a:off x="5546090" y="2789555"/>
                          <a:ext cx="539115" cy="1270"/>
                        </a:xfrm>
                        <a:prstGeom prst="curvedConnector3">
                          <a:avLst>
                            <a:gd name="adj1" fmla="val 50000"/>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8" type="#_x0000_t38" style="position:absolute;left:0pt;margin-left:336.9pt;margin-top:12.8pt;height:0.1pt;width:42.45pt;rotation:5898240f;z-index:251674624;mso-width-relative:page;mso-height-relative:page;" filled="f" stroked="t" coordsize="21600,21600" o:gfxdata="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513j/dsAAAAJAQAADwAA&#10;AAAAAAABACAAAAAiAAAAZHJzL2Rvd25yZXYueG1sUEsBAhQAFAAAAAgAh07iQByebilMAgAAZAQA&#10;AA4AAAAAAAAAAQAgAAAAKgEAAGRycy9lMm9Eb2MueG1sUEsFBgAAAAAGAAYAWQEAAOgFAAAAAA==&#10;" adj="10800">
                <v:fill on="f" focussize="0,0"/>
                <v:stroke weight="1pt" color="#4874CB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73600" behindDoc="0" locked="0" layoutInCell="1" allowOverlap="1">
                <wp:simplePos x="0" y="0"/>
                <wp:positionH relativeFrom="column">
                  <wp:posOffset>3047365</wp:posOffset>
                </wp:positionH>
                <wp:positionV relativeFrom="paragraph">
                  <wp:posOffset>163830</wp:posOffset>
                </wp:positionV>
                <wp:extent cx="541655" cy="1270"/>
                <wp:effectExtent l="50800" t="635" r="52705" b="635"/>
                <wp:wrapNone/>
                <wp:docPr id="41" name="曲线连接符 41"/>
                <wp:cNvGraphicFramePr/>
                <a:graphic xmlns:a="http://schemas.openxmlformats.org/drawingml/2006/main">
                  <a:graphicData uri="http://schemas.microsoft.com/office/word/2010/wordprocessingShape">
                    <wps:wsp>
                      <wps:cNvCnPr>
                        <a:stCxn id="14" idx="2"/>
                        <a:endCxn id="18" idx="0"/>
                      </wps:cNvCnPr>
                      <wps:spPr>
                        <a:xfrm rot="5400000">
                          <a:off x="4326255" y="2818130"/>
                          <a:ext cx="541655" cy="1270"/>
                        </a:xfrm>
                        <a:prstGeom prst="curvedConnector3">
                          <a:avLst>
                            <a:gd name="adj1" fmla="val 50000"/>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8" type="#_x0000_t38" style="position:absolute;left:0pt;margin-left:239.95pt;margin-top:12.9pt;height:0.1pt;width:42.65pt;rotation:5898240f;z-index:251673600;mso-width-relative:page;mso-height-relative:page;" filled="f" stroked="t" coordsize="21600,21600" o:gfxdata="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VXiNC2gAAAAkBAAAPAAAA&#10;AAAAAAEAIAAAACIAAABkcnMvZG93bnJldi54bWxQSwECFAAUAAAACACHTuJAiEyMSEwCAABkBAAA&#10;DgAAAAAAAAABACAAAAApAQAAZHJzL2Uyb0RvYy54bWxQSwUGAAAAAAYABgBZAQAA5wUAAAAA&#10;" adj="10800">
                <v:fill on="f" focussize="0,0"/>
                <v:stroke weight="1pt" color="#4874CB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1811655</wp:posOffset>
                </wp:positionH>
                <wp:positionV relativeFrom="paragraph">
                  <wp:posOffset>163195</wp:posOffset>
                </wp:positionV>
                <wp:extent cx="546100" cy="6985"/>
                <wp:effectExtent l="44450" t="635" r="53340" b="5715"/>
                <wp:wrapNone/>
                <wp:docPr id="40" name="曲线连接符 40"/>
                <wp:cNvGraphicFramePr/>
                <a:graphic xmlns:a="http://schemas.openxmlformats.org/drawingml/2006/main">
                  <a:graphicData uri="http://schemas.microsoft.com/office/word/2010/wordprocessingShape">
                    <wps:wsp>
                      <wps:cNvCnPr>
                        <a:stCxn id="13" idx="2"/>
                        <a:endCxn id="17" idx="0"/>
                      </wps:cNvCnPr>
                      <wps:spPr>
                        <a:xfrm rot="5400000" flipV="1">
                          <a:off x="3070860" y="2831465"/>
                          <a:ext cx="546100" cy="6985"/>
                        </a:xfrm>
                        <a:prstGeom prst="curvedConnector3">
                          <a:avLst>
                            <a:gd name="adj1" fmla="val 49942"/>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8" type="#_x0000_t38" style="position:absolute;left:0pt;flip:y;margin-left:142.65pt;margin-top:12.85pt;height:0.55pt;width:43pt;rotation:-5898240f;z-index:251672576;mso-width-relative:page;mso-height-relative:page;" filled="f" stroked="t" coordsize="21600,21600" o:gfxdata="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DTWZnzYAAAACQEA&#10;AA8AAAAAAAAAAQAgAAAAIgAAAGRycy9kb3ducmV2LnhtbFBLAQIUABQAAAAIAIdO4kBVJBd2UwIA&#10;AG4EAAAOAAAAAAAAAAEAIAAAACcBAABkcnMvZTJvRG9jLnhtbFBLBQYAAAAABgAGAFkBAADsBQAA&#10;AAA=&#10;" adj="10787">
                <v:fill on="f" focussize="0,0"/>
                <v:stroke weight="1pt" color="#4874CB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586105</wp:posOffset>
                </wp:positionH>
                <wp:positionV relativeFrom="paragraph">
                  <wp:posOffset>166370</wp:posOffset>
                </wp:positionV>
                <wp:extent cx="537845" cy="635"/>
                <wp:effectExtent l="50800" t="0" r="53340" b="5080"/>
                <wp:wrapNone/>
                <wp:docPr id="39" name="曲线连接符 39"/>
                <wp:cNvGraphicFramePr/>
                <a:graphic xmlns:a="http://schemas.openxmlformats.org/drawingml/2006/main">
                  <a:graphicData uri="http://schemas.microsoft.com/office/word/2010/wordprocessingShape">
                    <wps:wsp>
                      <wps:cNvCnPr>
                        <a:stCxn id="12" idx="2"/>
                        <a:endCxn id="16" idx="0"/>
                      </wps:cNvCnPr>
                      <wps:spPr>
                        <a:xfrm rot="5400000">
                          <a:off x="1844040" y="2829560"/>
                          <a:ext cx="537845" cy="635"/>
                        </a:xfrm>
                        <a:prstGeom prst="curvedConnector3">
                          <a:avLst>
                            <a:gd name="adj1" fmla="val 50059"/>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8" type="#_x0000_t38" style="position:absolute;left:0pt;margin-left:46.15pt;margin-top:13.1pt;height:0.05pt;width:42.35pt;rotation:5898240f;z-index:251671552;mso-width-relative:page;mso-height-relative:page;" filled="f" stroked="t" coordsize="21600,21600" o:gfxdata="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0BXxX1wAAAAgBAAAPAAAA&#10;AAAAAAEAIAAAACIAAABkcnMvZG93bnJldi54bWxQSwECFAAUAAAACACHTuJANtS/1E8CAABjBAAA&#10;DgAAAAAAAAABACAAAAAmAQAAZHJzL2Uyb0RvYy54bWxQSwUGAAAAAAYABgBZAQAA5wUAAAAA&#10;" adj="10813">
                <v:fill on="f" focussize="0,0"/>
                <v:stroke weight="1pt" color="#4874CB [3204]" miterlimit="8" joinstyle="miter" endarrow="open"/>
                <v:imagedata o:title=""/>
                <o:lock v:ext="edit" aspectratio="f"/>
              </v:shape>
            </w:pict>
          </mc:Fallback>
        </mc:AlternateContent>
      </w:r>
    </w:p>
    <w:p w14:paraId="1C36FFD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sz w:val="24"/>
        </w:rPr>
      </w:pPr>
    </w:p>
    <w:p w14:paraId="0DF842C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sz w:val="24"/>
        </w:rPr>
      </w:pPr>
    </w:p>
    <w:p w14:paraId="628A46A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sz w:val="24"/>
        </w:rPr>
      </w:pPr>
      <w:r>
        <w:rPr>
          <w:sz w:val="24"/>
        </w:rPr>
        <mc:AlternateContent>
          <mc:Choice Requires="wps">
            <w:drawing>
              <wp:anchor distT="0" distB="0" distL="114300" distR="114300" simplePos="0" relativeHeight="251665408" behindDoc="0" locked="0" layoutInCell="1" allowOverlap="1">
                <wp:simplePos x="0" y="0"/>
                <wp:positionH relativeFrom="column">
                  <wp:posOffset>4547235</wp:posOffset>
                </wp:positionH>
                <wp:positionV relativeFrom="paragraph">
                  <wp:posOffset>62230</wp:posOffset>
                </wp:positionV>
                <wp:extent cx="6350" cy="585470"/>
                <wp:effectExtent l="45085" t="0" r="53340" b="5080"/>
                <wp:wrapNone/>
                <wp:docPr id="47" name="直接箭头连接符 47"/>
                <wp:cNvGraphicFramePr/>
                <a:graphic xmlns:a="http://schemas.openxmlformats.org/drawingml/2006/main">
                  <a:graphicData uri="http://schemas.microsoft.com/office/word/2010/wordprocessingShape">
                    <wps:wsp>
                      <wps:cNvCnPr>
                        <a:stCxn id="19" idx="2"/>
                        <a:endCxn id="28" idx="0"/>
                      </wps:cNvCnPr>
                      <wps:spPr>
                        <a:xfrm>
                          <a:off x="5830570" y="3639185"/>
                          <a:ext cx="6350" cy="58547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58.05pt;margin-top:4.9pt;height:46.1pt;width:0.5pt;z-index:251665408;mso-width-relative:page;mso-height-relative:page;" filled="f" stroked="t" coordsize="21600,21600" o:gfxdata="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G13wLVAAAACQEAAA8AAAAAAAAAAQAgAAAAIgAAAGRycy9kb3ducmV2Lnht&#10;bFBLAQIUABQAAAAIAIdO4kAj/ptpNQIAADEEAAAOAAAAAAAAAAEAIAAAACQBAABkcnMvZTJvRG9j&#10;LnhtbFBLBQYAAAAABgAGAFkBAADLBQAAAAA=&#10;">
                <v:fill on="f" focussize="0,0"/>
                <v:stroke weight="1pt" color="#4874CB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3317240</wp:posOffset>
                </wp:positionH>
                <wp:positionV relativeFrom="paragraph">
                  <wp:posOffset>64770</wp:posOffset>
                </wp:positionV>
                <wp:extent cx="8255" cy="589915"/>
                <wp:effectExtent l="43815" t="0" r="52705" b="635"/>
                <wp:wrapNone/>
                <wp:docPr id="46" name="直接箭头连接符 46"/>
                <wp:cNvGraphicFramePr/>
                <a:graphic xmlns:a="http://schemas.openxmlformats.org/drawingml/2006/main">
                  <a:graphicData uri="http://schemas.microsoft.com/office/word/2010/wordprocessingShape">
                    <wps:wsp>
                      <wps:cNvCnPr>
                        <a:stCxn id="18" idx="2"/>
                        <a:endCxn id="27" idx="0"/>
                      </wps:cNvCnPr>
                      <wps:spPr>
                        <a:xfrm>
                          <a:off x="4600575" y="3641725"/>
                          <a:ext cx="8255" cy="58991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61.2pt;margin-top:5.1pt;height:46.45pt;width:0.65pt;z-index:251664384;mso-width-relative:page;mso-height-relative:page;" filled="f" stroked="t" coordsize="21600,21600" o:gfxdata="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4fbHrdcAAAAKAQAADwAAAAAAAAABACAAAAAiAAAAZHJzL2Rvd25yZXYu&#10;eG1sUEsBAhQAFAAAAAgAh07iQE+tb701AgAAMQQAAA4AAAAAAAAAAQAgAAAAJgEAAGRycy9lMm9E&#10;b2MueG1sUEsFBgAAAAAGAAYAWQEAAM0FAAAAAA==&#10;">
                <v:fill on="f" focussize="0,0"/>
                <v:stroke weight="1pt" color="#4874CB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2087880</wp:posOffset>
                </wp:positionH>
                <wp:positionV relativeFrom="paragraph">
                  <wp:posOffset>69215</wp:posOffset>
                </wp:positionV>
                <wp:extent cx="8890" cy="577850"/>
                <wp:effectExtent l="43180" t="0" r="52705" b="3175"/>
                <wp:wrapNone/>
                <wp:docPr id="45" name="直接箭头连接符 45"/>
                <wp:cNvGraphicFramePr/>
                <a:graphic xmlns:a="http://schemas.openxmlformats.org/drawingml/2006/main">
                  <a:graphicData uri="http://schemas.microsoft.com/office/word/2010/wordprocessingShape">
                    <wps:wsp>
                      <wps:cNvCnPr>
                        <a:stCxn id="17" idx="2"/>
                        <a:endCxn id="26" idx="0"/>
                      </wps:cNvCnPr>
                      <wps:spPr>
                        <a:xfrm>
                          <a:off x="3351530" y="3646170"/>
                          <a:ext cx="8890" cy="5778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64.4pt;margin-top:5.45pt;height:45.5pt;width:0.7pt;z-index:251663360;mso-width-relative:page;mso-height-relative:page;" filled="f" stroked="t" coordsize="21600,21600" o:gfxdata="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2LgZXXAAAACgEAAA8AAAAAAAAAAQAgAAAAIgAAAGRycy9kb3ducmV2Lnht&#10;bFBLAQIUABQAAAAIAIdO4kAZ3maGMwIAADEEAAAOAAAAAAAAAAEAIAAAACYBAABkcnMvZTJvRG9j&#10;LnhtbFBLBQYAAAAABgAGAFkBAADLBQAAAAA=&#10;">
                <v:fill on="f" focussize="0,0"/>
                <v:stroke weight="1pt" color="#4874CB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854710</wp:posOffset>
                </wp:positionH>
                <wp:positionV relativeFrom="paragraph">
                  <wp:posOffset>65405</wp:posOffset>
                </wp:positionV>
                <wp:extent cx="5080" cy="585470"/>
                <wp:effectExtent l="46355" t="0" r="53340" b="5080"/>
                <wp:wrapNone/>
                <wp:docPr id="44" name="直接箭头连接符 44"/>
                <wp:cNvGraphicFramePr/>
                <a:graphic xmlns:a="http://schemas.openxmlformats.org/drawingml/2006/main">
                  <a:graphicData uri="http://schemas.microsoft.com/office/word/2010/wordprocessingShape">
                    <wps:wsp>
                      <wps:cNvCnPr>
                        <a:stCxn id="16" idx="2"/>
                        <a:endCxn id="20" idx="0"/>
                      </wps:cNvCnPr>
                      <wps:spPr>
                        <a:xfrm>
                          <a:off x="2091055" y="3646170"/>
                          <a:ext cx="5080" cy="58547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7.3pt;margin-top:5.15pt;height:46.1pt;width:0.4pt;z-index:251662336;mso-width-relative:page;mso-height-relative:page;" filled="f" stroked="t" coordsize="21600,21600" o:gfxdata="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E/xX+3WAAAACgEAAA8AAAAAAAAAAQAgAAAAIgAAAGRycy9kb3ducmV2Lnht&#10;bFBLAQIUABQAAAAIAIdO4kDZknDNNAIAADEEAAAOAAAAAAAAAAEAIAAAACUBAABkcnMvZTJvRG9j&#10;LnhtbFBLBQYAAAAABgAGAFkBAADLBQAAAAA=&#10;">
                <v:fill on="f" focussize="0,0"/>
                <v:stroke weight="1pt" color="#4874CB [3204]" miterlimit="8" joinstyle="miter" endarrow="open"/>
                <v:imagedata o:title=""/>
                <o:lock v:ext="edit" aspectratio="f"/>
              </v:shape>
            </w:pict>
          </mc:Fallback>
        </mc:AlternateContent>
      </w:r>
    </w:p>
    <w:p w14:paraId="192A418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sz w:val="24"/>
        </w:rPr>
      </w:pPr>
    </w:p>
    <w:p w14:paraId="2CC510D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sz w:val="24"/>
        </w:rPr>
      </w:pPr>
      <w:r>
        <w:rPr>
          <w:sz w:val="24"/>
        </w:rPr>
        <mc:AlternateContent>
          <mc:Choice Requires="wps">
            <w:drawing>
              <wp:anchor distT="0" distB="0" distL="114300" distR="114300" simplePos="0" relativeHeight="251666432" behindDoc="0" locked="0" layoutInCell="1" allowOverlap="1">
                <wp:simplePos x="0" y="0"/>
                <wp:positionH relativeFrom="column">
                  <wp:posOffset>1109980</wp:posOffset>
                </wp:positionH>
                <wp:positionV relativeFrom="paragraph">
                  <wp:posOffset>332105</wp:posOffset>
                </wp:positionV>
                <wp:extent cx="817880" cy="1318260"/>
                <wp:effectExtent l="6350" t="0" r="8890" b="58420"/>
                <wp:wrapNone/>
                <wp:docPr id="50" name="曲线连接符 50"/>
                <wp:cNvGraphicFramePr/>
                <a:graphic xmlns:a="http://schemas.openxmlformats.org/drawingml/2006/main">
                  <a:graphicData uri="http://schemas.microsoft.com/office/word/2010/wordprocessingShape">
                    <wps:wsp>
                      <wps:cNvCnPr>
                        <a:stCxn id="20" idx="2"/>
                        <a:endCxn id="30" idx="1"/>
                      </wps:cNvCnPr>
                      <wps:spPr>
                        <a:xfrm rot="5400000" flipV="1">
                          <a:off x="2432685" y="4463415"/>
                          <a:ext cx="817880" cy="1318260"/>
                        </a:xfrm>
                        <a:prstGeom prst="curvedConnector2">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7" type="#_x0000_t37" style="position:absolute;left:0pt;flip:y;margin-left:87.4pt;margin-top:26.15pt;height:103.8pt;width:64.4pt;rotation:-5898240f;z-index:251666432;mso-width-relative:page;mso-height-relative:page;" filled="f" stroked="t" coordsize="21600,21600" o:gfxdata="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gQwUjaAAAACgEAAA8AAAAAAAAAAQAgAAAAIgAA&#10;AGRycy9kb3ducmV2LnhtbFBLAQIUABQAAAAIAIdO4kDHWYvTPwIAAEQEAAAOAAAAAAAAAAEAIAAA&#10;ACkBAABkcnMvZTJvRG9jLnhtbFBLBQYAAAAABgAGAFkBAADaBQAAAAA=&#10;">
                <v:fill on="f" focussize="0,0"/>
                <v:stroke weight="1pt" color="#4874CB [3204]" miterlimit="8" joinstyle="miter" endarrow="open"/>
                <v:imagedata o:title=""/>
                <o:lock v:ext="edit" aspectratio="f"/>
              </v:shape>
            </w:pict>
          </mc:Fallback>
        </mc:AlternateContent>
      </w:r>
    </w:p>
    <w:p w14:paraId="5AC51F4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sz w:val="24"/>
        </w:rPr>
      </w:pPr>
      <w:r>
        <w:rPr>
          <w:sz w:val="24"/>
        </w:rPr>
        <mc:AlternateContent>
          <mc:Choice Requires="wps">
            <w:drawing>
              <wp:anchor distT="0" distB="0" distL="114300" distR="114300" simplePos="0" relativeHeight="251667456" behindDoc="0" locked="0" layoutInCell="1" allowOverlap="1">
                <wp:simplePos x="0" y="0"/>
                <wp:positionH relativeFrom="column">
                  <wp:posOffset>3491230</wp:posOffset>
                </wp:positionH>
                <wp:positionV relativeFrom="paragraph">
                  <wp:posOffset>40640</wp:posOffset>
                </wp:positionV>
                <wp:extent cx="821055" cy="1303655"/>
                <wp:effectExtent l="0" t="0" r="10795" b="55245"/>
                <wp:wrapNone/>
                <wp:docPr id="52" name="曲线连接符 52"/>
                <wp:cNvGraphicFramePr/>
                <a:graphic xmlns:a="http://schemas.openxmlformats.org/drawingml/2006/main">
                  <a:graphicData uri="http://schemas.microsoft.com/office/word/2010/wordprocessingShape">
                    <wps:wsp>
                      <wps:cNvCnPr>
                        <a:stCxn id="28" idx="2"/>
                        <a:endCxn id="30" idx="3"/>
                      </wps:cNvCnPr>
                      <wps:spPr>
                        <a:xfrm rot="5400000">
                          <a:off x="4814570" y="4552315"/>
                          <a:ext cx="821055" cy="1303655"/>
                        </a:xfrm>
                        <a:prstGeom prst="curvedConnector2">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7" type="#_x0000_t37" style="position:absolute;left:0pt;margin-left:274.9pt;margin-top:3.2pt;height:102.65pt;width:64.65pt;rotation:5898240f;z-index:251667456;mso-width-relative:page;mso-height-relative:page;" filled="f" stroked="t" coordsize="21600,21600" o:gfxdata="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hz5q81gAAAAkBAAAPAAAAAAAAAAEAIAAAACIAAABkcnMvZG93&#10;bnJldi54bWxQSwECFAAUAAAACACHTuJACcLcSDsCAAA6BAAADgAAAAAAAAABACAAAAAlAQAAZHJz&#10;L2Uyb0RvYy54bWxQSwUGAAAAAAYABgBZAQAA0gUAAAAA&#10;">
                <v:fill on="f" focussize="0,0"/>
                <v:stroke weight="1pt" color="#4874CB [3204]" miterlimit="8" joinstyle="miter" endarrow="open"/>
                <v:imagedata o:title=""/>
                <o:lock v:ext="edit" aspectratio="f"/>
              </v:shape>
            </w:pict>
          </mc:Fallback>
        </mc:AlternateContent>
      </w:r>
    </w:p>
    <w:p w14:paraId="66E60C7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sz w:val="24"/>
          <w:lang w:val="en-US" w:eastAsia="zh-CN"/>
        </w:rPr>
      </w:pPr>
      <w:r>
        <w:rPr>
          <w:sz w:val="24"/>
        </w:rPr>
        <mc:AlternateContent>
          <mc:Choice Requires="wps">
            <w:drawing>
              <wp:anchor distT="0" distB="0" distL="114300" distR="114300" simplePos="0" relativeHeight="251669504" behindDoc="0" locked="0" layoutInCell="1" allowOverlap="1">
                <wp:simplePos x="0" y="0"/>
                <wp:positionH relativeFrom="column">
                  <wp:posOffset>2961640</wp:posOffset>
                </wp:positionH>
                <wp:positionV relativeFrom="paragraph">
                  <wp:posOffset>191770</wp:posOffset>
                </wp:positionV>
                <wp:extent cx="560070" cy="167005"/>
                <wp:effectExtent l="50165" t="635" r="11430" b="1270"/>
                <wp:wrapNone/>
                <wp:docPr id="55" name="曲线连接符 55"/>
                <wp:cNvGraphicFramePr/>
                <a:graphic xmlns:a="http://schemas.openxmlformats.org/drawingml/2006/main">
                  <a:graphicData uri="http://schemas.microsoft.com/office/word/2010/wordprocessingShape">
                    <wps:wsp>
                      <wps:cNvCnPr>
                        <a:stCxn id="27" idx="2"/>
                      </wps:cNvCnPr>
                      <wps:spPr>
                        <a:xfrm rot="5400000">
                          <a:off x="4244975" y="4957445"/>
                          <a:ext cx="560070" cy="167005"/>
                        </a:xfrm>
                        <a:prstGeom prst="curvedConnector3">
                          <a:avLst>
                            <a:gd name="adj1" fmla="val 49943"/>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8" type="#_x0000_t38" style="position:absolute;left:0pt;margin-left:233.2pt;margin-top:15.1pt;height:13.15pt;width:44.1pt;rotation:5898240f;z-index:251669504;mso-width-relative:page;mso-height-relative:page;" filled="f" stroked="t" coordsize="21600,21600" o:gfxdata="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OWAMPNgAAAAJAQAADwAAAAAAAAABACAA&#10;AAAiAAAAZHJzL2Rvd25yZXYueG1sUEsBAhQAFAAAAAgAh07iQBceiLFGAgAASwQAAA4AAAAAAAAA&#10;AQAgAAAAJwEAAGRycy9lMm9Eb2MueG1sUEsFBgAAAAAGAAYAWQEAAN8FAAAAAA==&#10;" adj="10788">
                <v:fill on="f" focussize="0,0"/>
                <v:stroke weight="1pt" color="#4874CB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1924050</wp:posOffset>
                </wp:positionH>
                <wp:positionV relativeFrom="paragraph">
                  <wp:posOffset>156845</wp:posOffset>
                </wp:positionV>
                <wp:extent cx="560070" cy="214630"/>
                <wp:effectExtent l="6350" t="0" r="55245" b="1905"/>
                <wp:wrapNone/>
                <wp:docPr id="54" name="曲线连接符 54"/>
                <wp:cNvGraphicFramePr/>
                <a:graphic xmlns:a="http://schemas.openxmlformats.org/drawingml/2006/main">
                  <a:graphicData uri="http://schemas.microsoft.com/office/word/2010/wordprocessingShape">
                    <wps:wsp>
                      <wps:cNvCnPr>
                        <a:stCxn id="26" idx="2"/>
                      </wps:cNvCnPr>
                      <wps:spPr>
                        <a:xfrm rot="5400000" flipV="1">
                          <a:off x="3207385" y="4922520"/>
                          <a:ext cx="560070" cy="214630"/>
                        </a:xfrm>
                        <a:prstGeom prst="curvedConnector3">
                          <a:avLst>
                            <a:gd name="adj1" fmla="val 47845"/>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8" type="#_x0000_t38" style="position:absolute;left:0pt;flip:y;margin-left:151.5pt;margin-top:12.35pt;height:16.9pt;width:44.1pt;rotation:-5898240f;z-index:251668480;mso-width-relative:page;mso-height-relative:page;" filled="f" stroked="t" coordsize="21600,21600" o:gfxdata="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Dm45ufYAAAACQEAAA8AAAAA&#10;AAAAAQAgAAAAIgAAAGRycy9kb3ducmV2LnhtbFBLAQIUABQAAAAIAIdO4kCSzY4STQIAAFUEAAAO&#10;AAAAAAAAAAEAIAAAACcBAABkcnMvZTJvRG9jLnhtbFBLBQYAAAAABgAGAFkBAADmBQAAAAA=&#10;" adj="10335">
                <v:fill on="f" focussize="0,0"/>
                <v:stroke weight="1pt" color="#4874CB [3204]" miterlimit="8" joinstyle="miter" endarrow="open"/>
                <v:imagedata o:title=""/>
                <o:lock v:ext="edit" aspectratio="f"/>
              </v:shape>
            </w:pict>
          </mc:Fallback>
        </mc:AlternateContent>
      </w:r>
    </w:p>
    <w:p w14:paraId="32116C8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cstheme="majorEastAsia"/>
          <w:b w:val="0"/>
          <w:bCs/>
          <w:sz w:val="24"/>
          <w:szCs w:val="24"/>
          <w:lang w:val="en-US" w:eastAsia="zh-CN"/>
        </w:rPr>
      </w:pPr>
    </w:p>
    <w:p w14:paraId="037FD3D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cstheme="majorEastAsia"/>
          <w:b w:val="0"/>
          <w:bCs/>
          <w:sz w:val="24"/>
          <w:szCs w:val="24"/>
          <w:lang w:val="en-US" w:eastAsia="zh-CN"/>
        </w:rPr>
      </w:pPr>
    </w:p>
    <w:p w14:paraId="5AEEEBD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cstheme="majorEastAsia"/>
          <w:b w:val="0"/>
          <w:bCs/>
          <w:sz w:val="24"/>
          <w:szCs w:val="24"/>
          <w:lang w:val="en-US" w:eastAsia="zh-CN"/>
        </w:rPr>
      </w:pPr>
      <w:r>
        <w:rPr>
          <w:sz w:val="24"/>
        </w:rPr>
        <mc:AlternateContent>
          <mc:Choice Requires="wps">
            <w:drawing>
              <wp:anchor distT="0" distB="0" distL="114300" distR="114300" simplePos="0" relativeHeight="251670528" behindDoc="0" locked="0" layoutInCell="1" allowOverlap="1">
                <wp:simplePos x="0" y="0"/>
                <wp:positionH relativeFrom="column">
                  <wp:posOffset>2722245</wp:posOffset>
                </wp:positionH>
                <wp:positionV relativeFrom="paragraph">
                  <wp:posOffset>184150</wp:posOffset>
                </wp:positionV>
                <wp:extent cx="2540" cy="255270"/>
                <wp:effectExtent l="50165" t="0" r="52070" b="1905"/>
                <wp:wrapNone/>
                <wp:docPr id="56" name="直接箭头连接符 56"/>
                <wp:cNvGraphicFramePr/>
                <a:graphic xmlns:a="http://schemas.openxmlformats.org/drawingml/2006/main">
                  <a:graphicData uri="http://schemas.microsoft.com/office/word/2010/wordprocessingShape">
                    <wps:wsp>
                      <wps:cNvCnPr/>
                      <wps:spPr>
                        <a:xfrm flipH="1">
                          <a:off x="4017010" y="5831840"/>
                          <a:ext cx="2540" cy="25527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14.35pt;margin-top:14.5pt;height:20.1pt;width:0.2pt;z-index:251670528;mso-width-relative:page;mso-height-relative:page;" filled="f" stroked="t" coordsize="21600,21600" o:gfxdata="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2eisHNcAAAAJ&#10;AQAADwAAAAAAAAABACAAAAAiAAAAZHJzL2Rvd25yZXYueG1sUEsBAhQAFAAAAAgAh07iQBwzSN8d&#10;AgAA+QMAAA4AAAAAAAAAAQAgAAAAJgEAAGRycy9lMm9Eb2MueG1sUEsFBgAAAAAGAAYAWQEAALUF&#10;AAAAAA==&#10;">
                <v:fill on="f" focussize="0,0"/>
                <v:stroke weight="1pt" color="#4874CB [3204]" miterlimit="8" joinstyle="miter" endarrow="open"/>
                <v:imagedata o:title=""/>
                <o:lock v:ext="edit" aspectratio="f"/>
              </v:shape>
            </w:pict>
          </mc:Fallback>
        </mc:AlternateContent>
      </w:r>
    </w:p>
    <w:p w14:paraId="2F04A81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cstheme="majorEastAsia"/>
          <w:b w:val="0"/>
          <w:bCs/>
          <w:sz w:val="24"/>
          <w:szCs w:val="24"/>
          <w:lang w:val="en-US" w:eastAsia="zh-CN"/>
        </w:rPr>
      </w:pPr>
    </w:p>
    <w:p w14:paraId="5113167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cstheme="majorEastAsia"/>
          <w:b w:val="0"/>
          <w:bCs/>
          <w:sz w:val="24"/>
          <w:szCs w:val="24"/>
          <w:lang w:val="en-US" w:eastAsia="zh-CN"/>
        </w:rPr>
      </w:pPr>
    </w:p>
    <w:p w14:paraId="61C2A50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heme="majorEastAsia" w:hAnsiTheme="majorEastAsia" w:eastAsiaTheme="majorEastAsia" w:cstheme="majorEastAsia"/>
          <w:b w:val="0"/>
          <w:bCs/>
          <w:sz w:val="24"/>
          <w:szCs w:val="24"/>
          <w:lang w:val="en-US" w:eastAsia="zh-CN"/>
        </w:rPr>
      </w:pPr>
    </w:p>
    <w:p w14:paraId="30BC41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asciiTheme="majorEastAsia" w:hAnsiTheme="majorEastAsia" w:eastAsiaTheme="majorEastAsia" w:cstheme="majorEastAsia"/>
          <w:b w:val="0"/>
          <w:bCs/>
          <w:sz w:val="24"/>
          <w:szCs w:val="24"/>
          <w:lang w:val="en-US" w:eastAsia="zh-CN"/>
        </w:rPr>
        <w:t>总之，</w:t>
      </w:r>
      <w:r>
        <w:rPr>
          <w:rFonts w:hint="eastAsia"/>
          <w:sz w:val="24"/>
          <w:szCs w:val="24"/>
          <w:lang w:val="en-US" w:eastAsia="zh-CN"/>
        </w:rPr>
        <w:t>为实现分摊计算的准确性和自动化，研发项目需要与人员、物料、设备、无形资产等在各个期间建立关联关系，集中研发项目还需要与研发活动参与主体建立关联关系。</w:t>
      </w:r>
      <w:r>
        <w:rPr>
          <w:rFonts w:hint="eastAsia" w:asciiTheme="majorEastAsia" w:hAnsiTheme="majorEastAsia" w:eastAsiaTheme="majorEastAsia" w:cstheme="majorEastAsia"/>
          <w:b w:val="0"/>
          <w:bCs/>
          <w:sz w:val="24"/>
          <w:szCs w:val="24"/>
          <w:lang w:val="en-US" w:eastAsia="zh-CN"/>
        </w:rPr>
        <w:t>不同客户或者相同客户的不同期间、不同费用使用的分摊对象存在差异或调整。</w:t>
      </w:r>
    </w:p>
    <w:p w14:paraId="6F3A562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企业研发费用各项目的实际发生额归集不准确的，税务机关有权对其税前扣除额或加计扣除额进行合理调整。企业应对研发费用和生产经营费用分别核算，准确、合理归集各项费用支出，对划分不清的，不得实行加计扣除。</w:t>
      </w:r>
    </w:p>
    <w:p w14:paraId="12F96C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5BEB87C7">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28"/>
          <w:szCs w:val="28"/>
          <w:lang w:val="en-US" w:eastAsia="zh-CN"/>
        </w:rPr>
      </w:pPr>
      <w:bookmarkStart w:id="28" w:name="_Toc3509"/>
      <w:r>
        <w:rPr>
          <w:rFonts w:hint="eastAsia" w:asciiTheme="majorEastAsia" w:hAnsiTheme="majorEastAsia" w:eastAsiaTheme="majorEastAsia" w:cstheme="majorEastAsia"/>
          <w:sz w:val="28"/>
          <w:szCs w:val="28"/>
          <w:lang w:val="en-US" w:eastAsia="zh-CN"/>
        </w:rPr>
        <w:t>4.3 辅助账编制规则</w:t>
      </w:r>
      <w:bookmarkEnd w:id="28"/>
    </w:p>
    <w:p w14:paraId="3EC80AB5">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4.3.1辅助账设置要求</w:t>
      </w:r>
    </w:p>
    <w:p w14:paraId="121C0A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sz w:val="24"/>
          <w:szCs w:val="24"/>
          <w:lang w:val="en-US" w:eastAsia="zh-CN"/>
        </w:rPr>
        <w:t>会计上，企业应按照国家财务会计制度要求，对研发支出进行会计处理。税务上，根据国家</w:t>
      </w:r>
      <w:r>
        <w:rPr>
          <w:rFonts w:hint="eastAsia" w:ascii="宋体" w:hAnsi="宋体" w:eastAsia="宋体" w:cs="宋体"/>
          <w:sz w:val="24"/>
          <w:szCs w:val="24"/>
          <w:lang w:val="en-US" w:eastAsia="zh-CN"/>
        </w:rPr>
        <w:t>税务总局公告2015年第97号、国家税务总局公告2021年第28号规定，研发项目立项时应设置研发支出辅助账，由企业留存备查。</w:t>
      </w:r>
      <w:r>
        <w:rPr>
          <w:rFonts w:hint="eastAsia"/>
          <w:sz w:val="24"/>
          <w:szCs w:val="24"/>
          <w:lang w:val="en-US" w:eastAsia="zh-CN"/>
        </w:rPr>
        <w:t>企业自行设计或选用国税总局发布的样式编制研发支出辅助账。企业自行设计的研发支出辅助账样式，应当包括</w:t>
      </w:r>
      <w:r>
        <w:rPr>
          <w:rFonts w:hint="eastAsia" w:ascii="宋体" w:hAnsi="宋体" w:eastAsia="宋体" w:cs="宋体"/>
          <w:sz w:val="24"/>
          <w:szCs w:val="24"/>
          <w:lang w:val="en-US" w:eastAsia="zh-CN"/>
        </w:rPr>
        <w:t>2021版研发支出辅助账样式所列数据项，且逻辑关系一致，能准确归集允许加计扣除的研发费用。</w:t>
      </w:r>
    </w:p>
    <w:p w14:paraId="393C4F3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b/>
          <w:bCs/>
          <w:sz w:val="24"/>
          <w:szCs w:val="24"/>
          <w:lang w:val="en-US" w:eastAsia="zh-CN"/>
        </w:rPr>
      </w:pPr>
      <w:r>
        <w:rPr>
          <w:rFonts w:hint="eastAsia"/>
          <w:b/>
          <w:bCs/>
          <w:sz w:val="24"/>
          <w:szCs w:val="24"/>
          <w:lang w:val="en-US" w:eastAsia="zh-CN"/>
        </w:rPr>
        <w:t>1.辅助账设置维度</w:t>
      </w:r>
    </w:p>
    <w:p w14:paraId="3E4D79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按项目设置——每一研发项目单独设置辅助账</w:t>
      </w:r>
    </w:p>
    <w:p w14:paraId="6009F8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按年度设置——跨年度项目需分年度延续记录，不得混同</w:t>
      </w:r>
    </w:p>
    <w:p w14:paraId="2CC890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按费用类别设置——按六大费用类别分栏核算</w:t>
      </w:r>
    </w:p>
    <w:p w14:paraId="231B3D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按支出类型设置——同一项目存在资本化和费用化支出，分别设置辅助账。</w:t>
      </w:r>
    </w:p>
    <w:p w14:paraId="1E7B7293">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b/>
          <w:bCs/>
          <w:sz w:val="24"/>
          <w:szCs w:val="24"/>
          <w:lang w:val="en-US" w:eastAsia="zh-CN"/>
        </w:rPr>
      </w:pPr>
      <w:r>
        <w:rPr>
          <w:rFonts w:hint="eastAsia"/>
          <w:b/>
          <w:bCs/>
          <w:sz w:val="24"/>
          <w:szCs w:val="24"/>
          <w:lang w:val="en-US" w:eastAsia="zh-CN"/>
        </w:rPr>
        <w:t>2.辅助账样式</w:t>
      </w:r>
    </w:p>
    <w:p w14:paraId="1480BA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sz w:val="24"/>
          <w:szCs w:val="24"/>
          <w:lang w:val="en-US" w:eastAsia="zh-CN"/>
        </w:rPr>
      </w:pPr>
      <w:r>
        <w:rPr>
          <w:rFonts w:hint="eastAsia"/>
          <w:sz w:val="24"/>
          <w:szCs w:val="24"/>
          <w:lang w:val="en-US" w:eastAsia="zh-CN"/>
        </w:rPr>
        <w:t>国税总局发布的样式包括2015版辅助账样式和2021版辅助账样式，2021版更为简化，各辅助账中包含的信息要素详见《附</w:t>
      </w:r>
      <w:r>
        <w:rPr>
          <w:rFonts w:hint="eastAsia" w:eastAsia="宋体"/>
          <w:sz w:val="24"/>
          <w:szCs w:val="24"/>
          <w:lang w:val="en-US" w:eastAsia="zh-CN"/>
        </w:rPr>
        <w:t>录3-2021版研发支出辅助账》《附录5-2015版自主研发研发支出辅助账》《附录6-2015版合作研发研发支出辅助账》《附录7-2015版委托研发研发支出辅助账》《附录8-2015版集中研发研发支出辅助账》。</w:t>
      </w:r>
    </w:p>
    <w:p w14:paraId="421549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宋体"/>
          <w:sz w:val="24"/>
          <w:szCs w:val="24"/>
          <w:lang w:val="en-US" w:eastAsia="zh-CN"/>
        </w:rPr>
      </w:pPr>
      <w:r>
        <w:rPr>
          <w:rFonts w:hint="eastAsia" w:eastAsia="宋体"/>
          <w:sz w:val="24"/>
          <w:szCs w:val="24"/>
          <w:lang w:val="en-US" w:eastAsia="zh-CN"/>
        </w:rPr>
        <w:t>各种辅助账样式只是账簿输出展示形式，其底层数据依托于项目基础信息和每笔记账分录明细数据。</w:t>
      </w:r>
    </w:p>
    <w:p w14:paraId="1E706E4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b/>
          <w:bCs/>
          <w:sz w:val="24"/>
          <w:szCs w:val="24"/>
          <w:lang w:val="en-US" w:eastAsia="zh-CN"/>
        </w:rPr>
      </w:pPr>
      <w:r>
        <w:rPr>
          <w:rFonts w:hint="eastAsia"/>
          <w:b/>
          <w:bCs/>
          <w:sz w:val="24"/>
          <w:szCs w:val="24"/>
          <w:lang w:val="en-US" w:eastAsia="zh-CN"/>
        </w:rPr>
        <w:t>3.费用化或资本化处理</w:t>
      </w:r>
    </w:p>
    <w:p w14:paraId="4535A8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企业开展研发活动中实际发生的研发费用形成无形资产的，其税收上资本化的时点应与会计处理保持一致。《企业会计准则第6号-无形资产》规定，企业内部研究开发项目的支出，应当区分研究阶段支出与开发阶段支出。研究阶段的有关支出，应当在发生时全部费用化，计入当期损益。开发阶段的支出满足资本化条件的资本化，确认为无形资产，否则应当计入当期损益。无法区分研究阶段和开发阶段的支出，应当在发生时费用化，计入当期损益。</w:t>
      </w:r>
    </w:p>
    <w:p w14:paraId="16283F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资本化”研发项目，如果采用的是2021版研发支出辅助账，跨年延续支出可仅设置一套辅助账；若企业根据自身核算方式，选择每年新设辅助账的，可在辅助账中自行新增“期初余额”行次，实现每个年度资本化金额的结转。</w:t>
      </w:r>
    </w:p>
    <w:p w14:paraId="5D3EF13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yellow"/>
          <w:lang w:val="en-US" w:eastAsia="zh-CN"/>
        </w:rPr>
      </w:pPr>
      <w:r>
        <w:rPr>
          <w:rFonts w:hint="eastAsia"/>
          <w:sz w:val="24"/>
          <w:szCs w:val="24"/>
          <w:highlight w:val="yellow"/>
          <w:lang w:val="en-US" w:eastAsia="zh-CN"/>
        </w:rPr>
        <w:t>各项研发费用不同口径摊销金额差异对比说明</w:t>
      </w:r>
    </w:p>
    <w:p w14:paraId="2E4995D6">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4.3.2差异调整项目</w:t>
      </w:r>
    </w:p>
    <w:p w14:paraId="6C13343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b/>
          <w:bCs/>
          <w:sz w:val="24"/>
          <w:szCs w:val="24"/>
          <w:lang w:val="en-US" w:eastAsia="zh-CN"/>
        </w:rPr>
      </w:pPr>
      <w:r>
        <w:rPr>
          <w:rFonts w:hint="eastAsia"/>
          <w:b/>
          <w:bCs/>
          <w:sz w:val="24"/>
          <w:szCs w:val="24"/>
          <w:lang w:val="en-US" w:eastAsia="zh-CN"/>
        </w:rPr>
        <w:t>1.下脚料、残次品、中间试制品等特殊收入</w:t>
      </w:r>
    </w:p>
    <w:p w14:paraId="5E3E91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企业开展研发活动，实务中常有已归集计入研发费用、但在当期取得的研发过程中形成的下脚料、残次品、中间试制品等特殊收入，此类收入均为与研发活动直接相关的收入，应冲减对应的可加计扣除的研发费用，不足扣减的，加计扣除研发费用按零计算。因此还需要设置专用科目，整体核算上述特殊收入。</w:t>
      </w:r>
    </w:p>
    <w:p w14:paraId="4EC791B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b/>
          <w:bCs/>
          <w:sz w:val="24"/>
          <w:szCs w:val="24"/>
          <w:lang w:val="en-US" w:eastAsia="zh-CN"/>
        </w:rPr>
      </w:pPr>
      <w:r>
        <w:rPr>
          <w:rFonts w:hint="eastAsia"/>
          <w:b/>
          <w:bCs/>
          <w:sz w:val="24"/>
          <w:szCs w:val="24"/>
          <w:lang w:val="en-US" w:eastAsia="zh-CN"/>
        </w:rPr>
        <w:t>2.产品所含材料费用</w:t>
      </w:r>
    </w:p>
    <w:p w14:paraId="74E23D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default"/>
          <w:sz w:val="24"/>
          <w:szCs w:val="24"/>
          <w:lang w:val="en-US" w:eastAsia="zh-CN"/>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r>
        <w:rPr>
          <w:rFonts w:hint="eastAsia"/>
          <w:sz w:val="24"/>
          <w:szCs w:val="24"/>
          <w:lang w:val="en-US" w:eastAsia="zh-CN"/>
        </w:rPr>
        <w:t>因此还需要设置专用科目，核算待冲减材料费结转金额、当年实际冲减研发费用金额。</w:t>
      </w:r>
    </w:p>
    <w:p w14:paraId="6B2A7953">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b/>
          <w:bCs/>
          <w:sz w:val="24"/>
          <w:szCs w:val="24"/>
          <w:lang w:val="en-US" w:eastAsia="zh-CN"/>
        </w:rPr>
      </w:pPr>
      <w:r>
        <w:rPr>
          <w:rFonts w:hint="eastAsia"/>
          <w:b/>
          <w:bCs/>
          <w:sz w:val="24"/>
          <w:szCs w:val="24"/>
          <w:lang w:val="en-US" w:eastAsia="zh-CN"/>
        </w:rPr>
        <w:t>3.政府补助收入</w:t>
      </w:r>
    </w:p>
    <w:p w14:paraId="08CC02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ascii="宋体" w:hAnsi="宋体" w:eastAsia="宋体" w:cs="宋体"/>
          <w:sz w:val="24"/>
          <w:szCs w:val="24"/>
          <w:lang w:val="en-US" w:eastAsia="zh-CN"/>
        </w:rPr>
        <w:t>根据国税总局2017年第40号公告规定，企业取得的政府补助，在会计处理时采用直接冲减研发费用方法且税务处理时未将其确认为应税收入的，应按冲减后</w:t>
      </w:r>
      <w:r>
        <w:rPr>
          <w:rFonts w:hint="default"/>
          <w:sz w:val="24"/>
          <w:szCs w:val="24"/>
          <w:lang w:val="en-US" w:eastAsia="zh-CN"/>
        </w:rPr>
        <w:t>的余额计算加计扣除金额。</w:t>
      </w:r>
      <w:r>
        <w:rPr>
          <w:rFonts w:hint="eastAsia"/>
          <w:sz w:val="24"/>
          <w:szCs w:val="24"/>
          <w:lang w:val="en-US" w:eastAsia="zh-CN"/>
        </w:rPr>
        <w:t>此部分政府补助收入也需要纳入项目核算范围。</w:t>
      </w:r>
    </w:p>
    <w:p w14:paraId="61157C6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b/>
          <w:bCs/>
          <w:sz w:val="24"/>
          <w:szCs w:val="24"/>
          <w:lang w:val="en-US" w:eastAsia="zh-CN"/>
        </w:rPr>
      </w:pPr>
      <w:r>
        <w:rPr>
          <w:rFonts w:hint="eastAsia"/>
          <w:b/>
          <w:bCs/>
          <w:sz w:val="24"/>
          <w:szCs w:val="24"/>
          <w:lang w:val="en-US" w:eastAsia="zh-CN"/>
        </w:rPr>
        <w:t>4.股权激励支出</w:t>
      </w:r>
    </w:p>
    <w:p w14:paraId="0E44F8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接受股权激励的研发人员，在税前扣除当年不再从事研发活动的，对应的股权激励支出不能归集到具体研发项目，此项支出需设立专用科目单独核算，核算结果将用于填报《2021版研发支出辅助账汇总表》中的“其他事项”行次。</w:t>
      </w:r>
    </w:p>
    <w:p w14:paraId="162DFF4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b/>
          <w:bCs/>
          <w:sz w:val="24"/>
          <w:szCs w:val="24"/>
          <w:lang w:val="en-US" w:eastAsia="zh-CN"/>
        </w:rPr>
      </w:pPr>
      <w:r>
        <w:rPr>
          <w:rFonts w:hint="eastAsia"/>
          <w:b/>
          <w:bCs/>
          <w:sz w:val="24"/>
          <w:szCs w:val="24"/>
          <w:lang w:val="en-US" w:eastAsia="zh-CN"/>
        </w:rPr>
        <w:t>5.委托研发支出</w:t>
      </w:r>
    </w:p>
    <w:p w14:paraId="05A710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w:t>
      </w:r>
      <w:r>
        <w:rPr>
          <w:rFonts w:hint="default"/>
          <w:sz w:val="24"/>
          <w:szCs w:val="24"/>
          <w:lang w:val="en-US" w:eastAsia="zh-CN"/>
        </w:rPr>
        <w:t>委托境内机构或个人进行研发活动所发生的费用</w:t>
      </w:r>
      <w:r>
        <w:rPr>
          <w:rFonts w:hint="eastAsia"/>
          <w:sz w:val="24"/>
          <w:szCs w:val="24"/>
          <w:lang w:val="en-US" w:eastAsia="zh-CN"/>
        </w:rPr>
        <w:t>”“委托境外机构进行研发活动发生的费用”“委托境外个人进行研发活动发生的费用”需分别核算，便于计算申报表中的加计扣除调整项目。</w:t>
      </w:r>
    </w:p>
    <w:p w14:paraId="648196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33FE2EB5">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28"/>
          <w:szCs w:val="28"/>
          <w:lang w:val="en-US" w:eastAsia="zh-CN"/>
        </w:rPr>
      </w:pPr>
      <w:bookmarkStart w:id="29" w:name="_Toc10983"/>
      <w:r>
        <w:rPr>
          <w:rFonts w:hint="eastAsia" w:asciiTheme="majorEastAsia" w:hAnsiTheme="majorEastAsia" w:eastAsiaTheme="majorEastAsia" w:cstheme="majorEastAsia"/>
          <w:sz w:val="28"/>
          <w:szCs w:val="28"/>
          <w:lang w:val="en-US" w:eastAsia="zh-CN"/>
        </w:rPr>
        <w:t>4.4 加计扣除规则</w:t>
      </w:r>
      <w:bookmarkEnd w:id="29"/>
    </w:p>
    <w:p w14:paraId="39027E60">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4.4.1加计扣除比例</w:t>
      </w:r>
    </w:p>
    <w:p w14:paraId="77B492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加计扣除政策实施以来，加计扣除比例经历了从50%、75%到100%的调整过程。加计扣除比例除了不同期间出现差异，同一期间不同行业也会存在差异。截至2025年，最新的政策是集成电路和工业母机企业研发费用加计扣除比例为120%，其他行业为100%。</w:t>
      </w:r>
    </w:p>
    <w:p w14:paraId="26C9E6DE">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4.4.2加计扣除期间</w:t>
      </w:r>
    </w:p>
    <w:p w14:paraId="7CE2F40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费用化研发支出：在研发费用税前扣除的当年加计扣除。</w:t>
      </w:r>
    </w:p>
    <w:p w14:paraId="7A0DD4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资本化研发支出：形成无形资产后，在无形资产税前摊销期间加计扣除。</w:t>
      </w:r>
    </w:p>
    <w:p w14:paraId="33F4B00F">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4.4.3加计扣除金额</w:t>
      </w:r>
    </w:p>
    <w:p w14:paraId="121749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Arial" w:hAnsi="Arial" w:cs="Arial"/>
          <w:sz w:val="24"/>
          <w:szCs w:val="24"/>
          <w:lang w:val="en-US" w:eastAsia="zh-CN"/>
        </w:rPr>
      </w:pPr>
      <w:r>
        <w:rPr>
          <w:rFonts w:hint="eastAsia"/>
          <w:sz w:val="24"/>
          <w:szCs w:val="24"/>
          <w:lang w:val="en-US" w:eastAsia="zh-CN"/>
        </w:rPr>
        <w:t>加计扣除金额=加计扣除基数</w:t>
      </w:r>
      <w:r>
        <w:rPr>
          <w:rFonts w:hint="default" w:ascii="Arial" w:hAnsi="Arial" w:cs="Arial"/>
          <w:sz w:val="24"/>
          <w:szCs w:val="24"/>
          <w:lang w:val="en-US" w:eastAsia="zh-CN"/>
        </w:rPr>
        <w:t>×</w:t>
      </w:r>
      <w:r>
        <w:rPr>
          <w:rFonts w:hint="eastAsia" w:ascii="Arial" w:hAnsi="Arial" w:cs="Arial"/>
          <w:sz w:val="24"/>
          <w:szCs w:val="24"/>
          <w:lang w:val="en-US" w:eastAsia="zh-CN"/>
        </w:rPr>
        <w:t>加计扣除比例</w:t>
      </w:r>
    </w:p>
    <w:p w14:paraId="0FC3BF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加计扣除基数=允许扣除的研发费用-特殊收入部分-销售研发活动直接形成产品（包括组成部分）对应的材料部分</w:t>
      </w:r>
    </w:p>
    <w:p w14:paraId="60FE07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允许扣除的研发费用=本年费用化金额+本年形成无形资产摊销额+以前年度形成无形资产本年摊销额</w:t>
      </w:r>
    </w:p>
    <w:p w14:paraId="45E2B06C">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4.4.4加计扣除限制</w:t>
      </w:r>
    </w:p>
    <w:p w14:paraId="1A07E8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自主研发、合作研发、集中研发</w:t>
      </w:r>
      <w:r>
        <w:rPr>
          <w:rFonts w:hint="eastAsia"/>
          <w:sz w:val="24"/>
          <w:szCs w:val="24"/>
          <w:lang w:val="en-US" w:eastAsia="zh-CN"/>
        </w:rPr>
        <w:t>三类研发项目，符合归集范围的人员人工费用、直接投入费用、折旧费用、无形资产摊销和设计试验费，可据实计入加计扣除基数，</w:t>
      </w:r>
      <w:r>
        <w:rPr>
          <w:rFonts w:hint="eastAsia" w:asciiTheme="majorEastAsia" w:hAnsiTheme="majorEastAsia" w:eastAsiaTheme="majorEastAsia" w:cstheme="majorEastAsia"/>
          <w:b w:val="0"/>
          <w:bCs/>
          <w:sz w:val="24"/>
          <w:szCs w:val="24"/>
          <w:lang w:val="en-US" w:eastAsia="zh-CN"/>
        </w:rPr>
        <w:t>其他相关费用总额不得超过前五项总额的10%。</w:t>
      </w:r>
    </w:p>
    <w:p w14:paraId="16C405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委托研发项目，委托境内的外部机构或个人开展研发活动发生的费用，加计扣除时按照研发活动发生费用的80%作为加计扣除基数。其中“研发活动发生的费用”是指委托方实际支付给受托方的费用。不论委托方是否享受研发费用税前加计扣除政策，受托方均不得加计扣除。</w:t>
      </w:r>
    </w:p>
    <w:p w14:paraId="4D8183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委托研发项目，委托境外机构进行研发活动所发生的费用，按照费用实际发生额的80%计入委托方的委托境外研发费用。委托境外研发费用不超过境内符合条件的研发费用2/3的部分，可以按规定在企业所得税前加计扣除。委托境外个人的费用不可加计扣除。</w:t>
      </w:r>
    </w:p>
    <w:p w14:paraId="0E15C0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b w:val="0"/>
          <w:bCs/>
          <w:sz w:val="24"/>
          <w:szCs w:val="24"/>
          <w:lang w:val="en-US" w:eastAsia="zh-CN"/>
        </w:rPr>
        <w:t>鉴于以上限制，享受加计扣除的资本化项目的计税基础与会计核算的账面价值可能存在差异，需要建立专门的计税基础、税前摊销金额计算逻辑，构建</w:t>
      </w:r>
      <w:r>
        <w:rPr>
          <w:rFonts w:ascii="宋体" w:hAnsi="宋体" w:eastAsia="宋体" w:cs="宋体"/>
          <w:sz w:val="24"/>
          <w:szCs w:val="24"/>
        </w:rPr>
        <w:t>研发项目全生命周期管理</w:t>
      </w:r>
      <w:r>
        <w:rPr>
          <w:rFonts w:hint="eastAsia" w:ascii="宋体" w:hAnsi="宋体" w:eastAsia="宋体" w:cs="宋体"/>
          <w:sz w:val="24"/>
          <w:szCs w:val="24"/>
          <w:lang w:val="en-US" w:eastAsia="zh-CN"/>
        </w:rPr>
        <w:t>功能</w:t>
      </w:r>
      <w:r>
        <w:rPr>
          <w:rFonts w:hint="eastAsia" w:ascii="宋体" w:hAnsi="宋体" w:eastAsia="宋体" w:cs="宋体"/>
          <w:sz w:val="24"/>
          <w:szCs w:val="24"/>
          <w:lang w:eastAsia="zh-CN"/>
        </w:rPr>
        <w:t>，</w:t>
      </w:r>
      <w:r>
        <w:rPr>
          <w:rFonts w:hint="eastAsia" w:ascii="宋体" w:hAnsi="宋体" w:eastAsia="宋体" w:cs="宋体"/>
          <w:b w:val="0"/>
          <w:bCs/>
          <w:sz w:val="24"/>
          <w:szCs w:val="24"/>
          <w:lang w:val="en-US" w:eastAsia="zh-CN"/>
        </w:rPr>
        <w:t>贯通资本化项目的成本归集与结转、资产初始计量和后续摊销。相关业务字段信息和规则详见附录11至附录14。</w:t>
      </w:r>
    </w:p>
    <w:p w14:paraId="1E3AE0E4">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4.4.5其他相关费用限额加计</w:t>
      </w:r>
    </w:p>
    <w:p w14:paraId="313BB4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其他相关费用总额不得超过可加计扣除研发费用总额的10%。实际应用过程中存在两种复杂场景：“多研发项目”和“资本化项目”。</w:t>
      </w:r>
    </w:p>
    <w:p w14:paraId="483185AC">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bCs w:val="0"/>
          <w:sz w:val="24"/>
          <w:szCs w:val="24"/>
          <w:lang w:val="en-US" w:eastAsia="zh-CN"/>
        </w:rPr>
        <w:t>多研发项目计算规则</w:t>
      </w:r>
      <w:r>
        <w:rPr>
          <w:rFonts w:hint="eastAsia" w:ascii="宋体" w:hAnsi="宋体" w:eastAsia="宋体" w:cs="宋体"/>
          <w:b w:val="0"/>
          <w:bCs/>
          <w:sz w:val="24"/>
          <w:szCs w:val="24"/>
          <w:lang w:val="en-US" w:eastAsia="zh-CN"/>
        </w:rPr>
        <w:t>：根据2021年第28号公告的规定，从2021年起，企业在一个纳税年度内同时开展多项研发活动的，由原来按照每一研发项目分别计算“其他相关费用”限额，改为统一计算全部研发项目“其他相关费用”限额。“其他相关费用”的总限额再按调整前各项目“其他相关费用”占比，分摊至具体每个研发项目，分摊规则见《附录2-2021版研发支出辅助账汇总表》“（六）第7.2列‘经限额调整后的其他相关费用’”填报规则。</w:t>
      </w:r>
    </w:p>
    <w:p w14:paraId="508612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举例：甲企业2023年开展了A、B两个研发项目，A项目人员人工等五项费用之和为88万元，与研发活动直接相关的其他相关费用12万元；B项目人员人工等五项费用之和为84万元，与研发活动直接相关的其他相关费用8万元，假设两项研发活动均符合加计扣除相关规定。</w:t>
      </w:r>
    </w:p>
    <w:p w14:paraId="663106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2023年度该企业A、B两个项目的其他相关费用限额为19.11万元[(88+84)×10%÷(1-10%)]，小于实际发生数20万元（12+8）。则该企业当年允许加计扣除的其他相关费用为19.11万元，A项目其他相关费用限额11.47万元[12÷(12+8)×19.11]，B项目其他相关费用限额7.64万元[8÷(12+8)×19.11]。</w:t>
      </w:r>
    </w:p>
    <w:p w14:paraId="5A7F7183">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bCs w:val="0"/>
          <w:sz w:val="24"/>
          <w:szCs w:val="24"/>
          <w:lang w:val="en-US" w:eastAsia="zh-CN"/>
        </w:rPr>
        <w:t>资本化项目计算规则</w:t>
      </w:r>
      <w:r>
        <w:rPr>
          <w:rFonts w:hint="eastAsia" w:ascii="宋体" w:hAnsi="宋体" w:eastAsia="宋体" w:cs="宋体"/>
          <w:b w:val="0"/>
          <w:bCs/>
          <w:sz w:val="24"/>
          <w:szCs w:val="24"/>
          <w:lang w:val="en-US" w:eastAsia="zh-CN"/>
        </w:rPr>
        <w:t>：按照现行政策规定，2021年及以后年度，对于资本化项目“其他相关费用”的处理分以下四步：</w:t>
      </w:r>
    </w:p>
    <w:p w14:paraId="2D98249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第一步按当年全部费用化项目和当年已结束的资本化项目统一计算出当年全部项目“其他相关费用”限额；</w:t>
      </w:r>
    </w:p>
    <w:p w14:paraId="1C5274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第二步比较“其他相关费用”限额及其实际发生数的大小，确定可以加计扣除的“其他相关费用”金额；</w:t>
      </w:r>
    </w:p>
    <w:p w14:paraId="147F61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第三步用可加计扣除的“其他相关费用”金额除以全部项目实际发生的“其他相关费用”，得出可加计扣除比例；</w:t>
      </w:r>
    </w:p>
    <w:p w14:paraId="5E863D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第四步用可加计扣除比例乘以每个资本化项目实际发生的“其他相关费用”，得出单个资本化项目可加计扣除的“其他相关费用”，与该项目其他可加计扣除的研发费用一并在以后年度摊销。</w:t>
      </w:r>
    </w:p>
    <w:p w14:paraId="1D31F9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举例：甲企业2025年开展了A、B、C三个研发项目，其中A、B为费用化项目，C为当年完成研发的资本化项目。A项目人员人工等五项费用之和为50万元，其他相关费用5万元；B项目人员人工等五项费用之和为40万元，其他相关费用6万元；C项目累计人员人工等五项费用之和为90万元，累计其他相关费用12万元。</w:t>
      </w:r>
    </w:p>
    <w:p w14:paraId="64FD56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第一步，全部项目“其他相关费用”限额=（50+40+90）×10%÷(1-10%)=20万元；</w:t>
      </w:r>
    </w:p>
    <w:p w14:paraId="55A54F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第二步，可以加计扣除的“其他相关费用”=Min[（5+6+12）,20]）=20万元;</w:t>
      </w:r>
    </w:p>
    <w:p w14:paraId="771853E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第三步，“其他相关费用”加计扣除比例=20÷（5+6+12）=86.96%</w:t>
      </w:r>
    </w:p>
    <w:p w14:paraId="26843C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第四步，计算各项目加计扣除金额，A项目=50+5×86.96%=54.35万元，        B项目=40+6×86.96%=45.22万元，C项目=90+12×86.96%=100.43万元.</w:t>
      </w:r>
    </w:p>
    <w:p w14:paraId="03CDA1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bCs/>
          <w:sz w:val="24"/>
          <w:szCs w:val="24"/>
          <w:lang w:val="en-US" w:eastAsia="zh-CN"/>
        </w:rPr>
      </w:pPr>
    </w:p>
    <w:p w14:paraId="31968A24">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28"/>
          <w:szCs w:val="28"/>
          <w:lang w:val="en-US" w:eastAsia="zh-CN"/>
        </w:rPr>
      </w:pPr>
      <w:bookmarkStart w:id="30" w:name="_Toc26864"/>
      <w:r>
        <w:rPr>
          <w:rFonts w:hint="eastAsia" w:asciiTheme="majorEastAsia" w:hAnsiTheme="majorEastAsia" w:eastAsiaTheme="majorEastAsia" w:cstheme="majorEastAsia"/>
          <w:sz w:val="28"/>
          <w:szCs w:val="28"/>
          <w:lang w:val="en-US" w:eastAsia="zh-CN"/>
        </w:rPr>
        <w:t>4.5 申报填报规则</w:t>
      </w:r>
      <w:bookmarkEnd w:id="30"/>
    </w:p>
    <w:p w14:paraId="35C2769C">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4.5.1加计扣除办理方式及享受时点</w:t>
      </w:r>
    </w:p>
    <w:p w14:paraId="30853C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企业享受研发费用加计扣除优惠政策采取“真实发生、自行判别、申报享受、相关资料留存备查”的办理方式。</w:t>
      </w:r>
    </w:p>
    <w:p w14:paraId="07E7FE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享受时点包括企业所得税预缴申报享受和汇缴申报享受。其中，预缴申报每年有2次机会，一是7月份预缴申报第2季度（按季预缴）或6月份（按月预缴）企业所得税，二是10 月份预缴申报第3季度（按季预缴）或9月份（按月预缴）企业所得税。预缴申报未选择享受优惠的企业，可以在下次预缴申报或年度汇算清缴时享受。汇缴申报是在次年5月前申报企业所得税年度汇算清缴结果。</w:t>
      </w:r>
    </w:p>
    <w:p w14:paraId="29DE6CFE">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4.5.2加计扣除申报填写规则</w:t>
      </w:r>
    </w:p>
    <w:p w14:paraId="147F80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企业所得税预缴申报时，在《中华人民共和国企业所得税月（季）度预缴纳税申报表（A 类）》（A200000）第22行“减：免税收入、减计收入、加计扣除”的明细行次选择对应的优惠事项名称，【本年累计金额】栏直接填写当期累计研发费用加计扣除金额。</w:t>
      </w:r>
    </w:p>
    <w:p w14:paraId="67B32B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 w:val="24"/>
          <w:szCs w:val="24"/>
          <w:lang w:val="en-US" w:eastAsia="zh-CN"/>
        </w:rPr>
      </w:pPr>
      <w:r>
        <w:drawing>
          <wp:inline distT="0" distB="0" distL="114300" distR="114300">
            <wp:extent cx="5269865" cy="6574790"/>
            <wp:effectExtent l="0" t="0" r="6985"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5269865" cy="6574790"/>
                    </a:xfrm>
                    <a:prstGeom prst="rect">
                      <a:avLst/>
                    </a:prstGeom>
                    <a:noFill/>
                    <a:ln>
                      <a:noFill/>
                    </a:ln>
                  </pic:spPr>
                </pic:pic>
              </a:graphicData>
            </a:graphic>
          </wp:inline>
        </w:drawing>
      </w:r>
    </w:p>
    <w:p w14:paraId="3BB4C5B8">
      <w:r>
        <w:drawing>
          <wp:inline distT="0" distB="0" distL="114300" distR="114300">
            <wp:extent cx="5264785" cy="1696085"/>
            <wp:effectExtent l="0" t="0" r="254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264785" cy="1696085"/>
                    </a:xfrm>
                    <a:prstGeom prst="rect">
                      <a:avLst/>
                    </a:prstGeom>
                    <a:noFill/>
                    <a:ln>
                      <a:noFill/>
                    </a:ln>
                  </pic:spPr>
                </pic:pic>
              </a:graphicData>
            </a:graphic>
          </wp:inline>
        </w:drawing>
      </w:r>
    </w:p>
    <w:p w14:paraId="4E4486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企业所得税汇缴申报时，在《研发费用加计扣除优惠明细表》（A107012）填报本年度各项研发费用发生额、无形资产摊销额、特殊收入部分、销售研发活动直接形成产品（包括组成部分）对应的材料部分等详细数据，计算得到“本年研发费用加计扣除总额”。此结果值填入《企业所得税年度纳税申报主表（A类）》（A100000）第22行“减：免税、减计收入及加计扣除”的明细行次的【本年累计金额】，并选择对应的优惠事项名称。《研发费用加计扣除优惠明细表》（A107012）样式及填报规则详见《附录9-A107012研发费用加计扣除优惠明细表》。</w:t>
      </w:r>
    </w:p>
    <w:p w14:paraId="36495D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p>
    <w:p w14:paraId="1F97E859">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28"/>
          <w:szCs w:val="28"/>
          <w:lang w:val="en-US" w:eastAsia="zh-CN"/>
        </w:rPr>
      </w:pPr>
      <w:bookmarkStart w:id="31" w:name="_Toc32108"/>
      <w:r>
        <w:rPr>
          <w:rFonts w:hint="eastAsia" w:asciiTheme="majorEastAsia" w:hAnsiTheme="majorEastAsia" w:eastAsiaTheme="majorEastAsia" w:cstheme="majorEastAsia"/>
          <w:sz w:val="28"/>
          <w:szCs w:val="28"/>
          <w:lang w:val="en-US" w:eastAsia="zh-CN"/>
        </w:rPr>
        <w:t>4.6 备查资料管理规则</w:t>
      </w:r>
      <w:bookmarkEnd w:id="31"/>
    </w:p>
    <w:p w14:paraId="36C37F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企业应建立覆盖研发项目全生命周期的文档管理体系。以下按立项、实施、结题三个核心阶段，整理各阶段需要留意的资料管理要点。</w:t>
      </w:r>
    </w:p>
    <w:p w14:paraId="474B9411">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4.6.1立项阶段</w:t>
      </w:r>
    </w:p>
    <w:p w14:paraId="6C521C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核心目标：证明研发活动真实启动，且经过企业内部正式决策程序。</w:t>
      </w:r>
    </w:p>
    <w:tbl>
      <w:tblPr>
        <w:tblStyle w:val="13"/>
        <w:tblW w:w="830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2"/>
        <w:gridCol w:w="2152"/>
        <w:gridCol w:w="4990"/>
      </w:tblGrid>
      <w:tr w14:paraId="33660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blHeader/>
        </w:trPr>
        <w:tc>
          <w:tcPr>
            <w:tcW w:w="1162" w:type="dxa"/>
            <w:vAlign w:val="center"/>
          </w:tcPr>
          <w:p w14:paraId="6774AA11">
            <w:pPr>
              <w:snapToGrid w:val="0"/>
              <w:ind w:left="0" w:leftChars="0" w:right="0" w:rightChars="0" w:firstLine="0" w:firstLineChars="0"/>
              <w:jc w:val="center"/>
              <w:rPr>
                <w:b/>
                <w:sz w:val="21"/>
                <w:szCs w:val="21"/>
              </w:rPr>
            </w:pPr>
            <w:r>
              <w:rPr>
                <w:b/>
                <w:sz w:val="21"/>
                <w:szCs w:val="21"/>
              </w:rPr>
              <w:t>资料类别</w:t>
            </w:r>
          </w:p>
        </w:tc>
        <w:tc>
          <w:tcPr>
            <w:tcW w:w="2152" w:type="dxa"/>
            <w:vAlign w:val="center"/>
          </w:tcPr>
          <w:p w14:paraId="75D50179">
            <w:pPr>
              <w:snapToGrid w:val="0"/>
              <w:ind w:left="0" w:leftChars="0" w:right="0" w:rightChars="0" w:firstLine="0" w:firstLineChars="0"/>
              <w:jc w:val="center"/>
              <w:rPr>
                <w:b/>
                <w:sz w:val="21"/>
                <w:szCs w:val="21"/>
              </w:rPr>
            </w:pPr>
            <w:r>
              <w:rPr>
                <w:b/>
                <w:sz w:val="21"/>
                <w:szCs w:val="21"/>
              </w:rPr>
              <w:t>资料名称</w:t>
            </w:r>
          </w:p>
        </w:tc>
        <w:tc>
          <w:tcPr>
            <w:tcW w:w="4990" w:type="dxa"/>
            <w:vAlign w:val="center"/>
          </w:tcPr>
          <w:p w14:paraId="6CBE8E4C">
            <w:pPr>
              <w:snapToGrid w:val="0"/>
              <w:ind w:left="0" w:leftChars="0" w:right="0" w:rightChars="0" w:firstLine="0" w:firstLineChars="0"/>
              <w:jc w:val="center"/>
              <w:rPr>
                <w:b/>
                <w:sz w:val="21"/>
                <w:szCs w:val="21"/>
              </w:rPr>
            </w:pPr>
            <w:r>
              <w:rPr>
                <w:b/>
                <w:sz w:val="21"/>
                <w:szCs w:val="21"/>
              </w:rPr>
              <w:t>要点说明</w:t>
            </w:r>
          </w:p>
        </w:tc>
      </w:tr>
      <w:tr w14:paraId="08FF9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162" w:type="dxa"/>
            <w:vAlign w:val="center"/>
          </w:tcPr>
          <w:p w14:paraId="0A2963A6">
            <w:pPr>
              <w:snapToGrid w:val="0"/>
              <w:ind w:left="0" w:leftChars="0" w:right="0" w:rightChars="0" w:firstLine="0" w:firstLineChars="0"/>
              <w:jc w:val="center"/>
              <w:rPr>
                <w:b w:val="0"/>
                <w:bCs/>
                <w:sz w:val="21"/>
                <w:szCs w:val="21"/>
              </w:rPr>
            </w:pPr>
            <w:r>
              <w:rPr>
                <w:b w:val="0"/>
                <w:bCs/>
                <w:sz w:val="21"/>
                <w:szCs w:val="21"/>
              </w:rPr>
              <w:t>立项决议</w:t>
            </w:r>
          </w:p>
        </w:tc>
        <w:tc>
          <w:tcPr>
            <w:tcW w:w="2152" w:type="dxa"/>
            <w:vAlign w:val="center"/>
          </w:tcPr>
          <w:p w14:paraId="3DBBFD1D">
            <w:pPr>
              <w:snapToGrid w:val="0"/>
              <w:ind w:left="0" w:leftChars="0" w:right="0" w:rightChars="0" w:firstLine="0" w:firstLineChars="0"/>
              <w:jc w:val="left"/>
              <w:rPr>
                <w:sz w:val="21"/>
                <w:szCs w:val="21"/>
              </w:rPr>
            </w:pPr>
            <w:r>
              <w:rPr>
                <w:sz w:val="21"/>
                <w:szCs w:val="21"/>
              </w:rPr>
              <w:t>企业有权部门立项决议文件</w:t>
            </w:r>
          </w:p>
        </w:tc>
        <w:tc>
          <w:tcPr>
            <w:tcW w:w="4990" w:type="dxa"/>
            <w:vAlign w:val="center"/>
          </w:tcPr>
          <w:p w14:paraId="72128967">
            <w:pPr>
              <w:snapToGrid w:val="0"/>
              <w:ind w:left="0" w:leftChars="0" w:right="0" w:rightChars="0" w:firstLine="0" w:firstLineChars="0"/>
              <w:jc w:val="left"/>
              <w:rPr>
                <w:sz w:val="21"/>
                <w:szCs w:val="21"/>
              </w:rPr>
            </w:pPr>
            <w:r>
              <w:rPr>
                <w:sz w:val="21"/>
                <w:szCs w:val="21"/>
              </w:rPr>
              <w:t>须董事会或总经理办公会出具，明确项目名称、研发目的、预算金额</w:t>
            </w:r>
            <w:r>
              <w:rPr>
                <w:rFonts w:hint="eastAsia"/>
                <w:sz w:val="21"/>
                <w:szCs w:val="21"/>
                <w:lang w:eastAsia="zh-CN"/>
              </w:rPr>
              <w:t>“</w:t>
            </w:r>
            <w:r>
              <w:rPr>
                <w:sz w:val="21"/>
                <w:szCs w:val="21"/>
              </w:rPr>
              <w:t>三要素</w:t>
            </w:r>
            <w:r>
              <w:rPr>
                <w:rFonts w:hint="eastAsia"/>
                <w:sz w:val="21"/>
                <w:szCs w:val="21"/>
                <w:lang w:eastAsia="zh-CN"/>
              </w:rPr>
              <w:t>”</w:t>
            </w:r>
            <w:r>
              <w:rPr>
                <w:sz w:val="21"/>
                <w:szCs w:val="21"/>
              </w:rPr>
              <w:t>；多个项目应分别出具决议</w:t>
            </w:r>
          </w:p>
        </w:tc>
      </w:tr>
      <w:tr w14:paraId="60CCC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trPr>
        <w:tc>
          <w:tcPr>
            <w:tcW w:w="1162" w:type="dxa"/>
            <w:vAlign w:val="center"/>
          </w:tcPr>
          <w:p w14:paraId="4E47A8F9">
            <w:pPr>
              <w:snapToGrid w:val="0"/>
              <w:ind w:left="0" w:leftChars="0" w:right="0" w:rightChars="0" w:firstLine="0" w:firstLineChars="0"/>
              <w:jc w:val="center"/>
              <w:rPr>
                <w:b w:val="0"/>
                <w:bCs/>
                <w:sz w:val="21"/>
                <w:szCs w:val="21"/>
              </w:rPr>
            </w:pPr>
            <w:r>
              <w:rPr>
                <w:b w:val="0"/>
                <w:bCs/>
                <w:sz w:val="21"/>
                <w:szCs w:val="21"/>
              </w:rPr>
              <w:t>立项文件</w:t>
            </w:r>
          </w:p>
        </w:tc>
        <w:tc>
          <w:tcPr>
            <w:tcW w:w="2152" w:type="dxa"/>
            <w:vAlign w:val="center"/>
          </w:tcPr>
          <w:p w14:paraId="09BA2F7D">
            <w:pPr>
              <w:snapToGrid w:val="0"/>
              <w:ind w:left="0" w:leftChars="0" w:right="0" w:rightChars="0" w:firstLine="0" w:firstLineChars="0"/>
              <w:jc w:val="left"/>
              <w:rPr>
                <w:sz w:val="21"/>
                <w:szCs w:val="21"/>
              </w:rPr>
            </w:pPr>
            <w:r>
              <w:rPr>
                <w:sz w:val="21"/>
                <w:szCs w:val="21"/>
              </w:rPr>
              <w:t>项目计划书/可行性研究报告</w:t>
            </w:r>
          </w:p>
        </w:tc>
        <w:tc>
          <w:tcPr>
            <w:tcW w:w="4990" w:type="dxa"/>
            <w:vAlign w:val="center"/>
          </w:tcPr>
          <w:p w14:paraId="099D6E00">
            <w:pPr>
              <w:snapToGrid w:val="0"/>
              <w:ind w:left="0" w:leftChars="0" w:right="0" w:rightChars="0" w:firstLine="0" w:firstLineChars="0"/>
              <w:jc w:val="left"/>
              <w:rPr>
                <w:sz w:val="21"/>
                <w:szCs w:val="21"/>
              </w:rPr>
            </w:pPr>
            <w:r>
              <w:rPr>
                <w:sz w:val="21"/>
                <w:szCs w:val="21"/>
              </w:rPr>
              <w:t>明确技术路线与创新点，便于后续应对税务机关对研发活动的定性核查</w:t>
            </w:r>
          </w:p>
        </w:tc>
      </w:tr>
      <w:tr w14:paraId="5B962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1" w:hRule="atLeast"/>
        </w:trPr>
        <w:tc>
          <w:tcPr>
            <w:tcW w:w="1162" w:type="dxa"/>
            <w:vAlign w:val="center"/>
          </w:tcPr>
          <w:p w14:paraId="15455FB4">
            <w:pPr>
              <w:snapToGrid w:val="0"/>
              <w:ind w:left="0" w:leftChars="0" w:right="0" w:rightChars="0" w:firstLine="0" w:firstLineChars="0"/>
              <w:jc w:val="center"/>
              <w:rPr>
                <w:b w:val="0"/>
                <w:bCs/>
                <w:sz w:val="21"/>
                <w:szCs w:val="21"/>
              </w:rPr>
            </w:pPr>
            <w:r>
              <w:rPr>
                <w:b w:val="0"/>
                <w:bCs/>
                <w:sz w:val="21"/>
                <w:szCs w:val="21"/>
              </w:rPr>
              <w:t>项目组织</w:t>
            </w:r>
          </w:p>
        </w:tc>
        <w:tc>
          <w:tcPr>
            <w:tcW w:w="2152" w:type="dxa"/>
            <w:vAlign w:val="center"/>
          </w:tcPr>
          <w:p w14:paraId="4E73FDE9">
            <w:pPr>
              <w:snapToGrid w:val="0"/>
              <w:ind w:left="0" w:leftChars="0" w:right="0" w:rightChars="0" w:firstLine="0" w:firstLineChars="0"/>
              <w:jc w:val="left"/>
              <w:rPr>
                <w:sz w:val="21"/>
                <w:szCs w:val="21"/>
              </w:rPr>
            </w:pPr>
            <w:r>
              <w:rPr>
                <w:sz w:val="21"/>
                <w:szCs w:val="21"/>
              </w:rPr>
              <w:t>专门机构或项目组编制情况及人员名单</w:t>
            </w:r>
          </w:p>
        </w:tc>
        <w:tc>
          <w:tcPr>
            <w:tcW w:w="4990" w:type="dxa"/>
            <w:vAlign w:val="center"/>
          </w:tcPr>
          <w:p w14:paraId="520A2C36">
            <w:pPr>
              <w:snapToGrid w:val="0"/>
              <w:ind w:left="0" w:leftChars="0" w:right="0" w:rightChars="0" w:firstLine="0" w:firstLineChars="0"/>
              <w:jc w:val="left"/>
              <w:rPr>
                <w:sz w:val="21"/>
                <w:szCs w:val="21"/>
              </w:rPr>
            </w:pPr>
            <w:r>
              <w:rPr>
                <w:sz w:val="21"/>
                <w:szCs w:val="21"/>
              </w:rPr>
              <w:t>含外聘人员，注明各人员在项目中的角色</w:t>
            </w:r>
          </w:p>
        </w:tc>
      </w:tr>
      <w:tr w14:paraId="68A7E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62" w:type="dxa"/>
            <w:vAlign w:val="center"/>
          </w:tcPr>
          <w:p w14:paraId="3674A304">
            <w:pPr>
              <w:snapToGrid w:val="0"/>
              <w:ind w:left="0" w:leftChars="0" w:right="0" w:rightChars="0" w:firstLine="0" w:firstLineChars="0"/>
              <w:jc w:val="center"/>
              <w:rPr>
                <w:b w:val="0"/>
                <w:bCs/>
                <w:sz w:val="21"/>
                <w:szCs w:val="21"/>
              </w:rPr>
            </w:pPr>
            <w:r>
              <w:rPr>
                <w:b w:val="0"/>
                <w:bCs/>
                <w:sz w:val="21"/>
                <w:szCs w:val="21"/>
              </w:rPr>
              <w:t>外部文件</w:t>
            </w:r>
          </w:p>
        </w:tc>
        <w:tc>
          <w:tcPr>
            <w:tcW w:w="2152" w:type="dxa"/>
            <w:vAlign w:val="center"/>
          </w:tcPr>
          <w:p w14:paraId="541EB25A">
            <w:pPr>
              <w:snapToGrid w:val="0"/>
              <w:ind w:left="0" w:leftChars="0" w:right="0" w:rightChars="0" w:firstLine="0" w:firstLineChars="0"/>
              <w:jc w:val="left"/>
              <w:rPr>
                <w:sz w:val="21"/>
                <w:szCs w:val="21"/>
              </w:rPr>
            </w:pPr>
            <w:r>
              <w:rPr>
                <w:sz w:val="21"/>
                <w:szCs w:val="21"/>
              </w:rPr>
              <w:t>委托/合作研发合同（</w:t>
            </w:r>
            <w:r>
              <w:rPr>
                <w:rFonts w:hint="eastAsia"/>
                <w:sz w:val="21"/>
                <w:szCs w:val="21"/>
                <w:lang w:val="en-US" w:eastAsia="zh-CN"/>
              </w:rPr>
              <w:t>委托/合作研发必备</w:t>
            </w:r>
            <w:r>
              <w:rPr>
                <w:sz w:val="21"/>
                <w:szCs w:val="21"/>
              </w:rPr>
              <w:t>）</w:t>
            </w:r>
          </w:p>
        </w:tc>
        <w:tc>
          <w:tcPr>
            <w:tcW w:w="4990" w:type="dxa"/>
            <w:vAlign w:val="center"/>
          </w:tcPr>
          <w:p w14:paraId="45AA62EB">
            <w:pPr>
              <w:snapToGrid w:val="0"/>
              <w:ind w:left="0" w:leftChars="0" w:right="0" w:rightChars="0" w:firstLine="0" w:firstLineChars="0"/>
              <w:jc w:val="left"/>
              <w:rPr>
                <w:sz w:val="21"/>
                <w:szCs w:val="21"/>
              </w:rPr>
            </w:pPr>
            <w:r>
              <w:rPr>
                <w:sz w:val="21"/>
                <w:szCs w:val="21"/>
              </w:rPr>
              <w:t>应</w:t>
            </w:r>
            <w:r>
              <w:rPr>
                <w:b w:val="0"/>
                <w:bCs/>
                <w:sz w:val="21"/>
                <w:szCs w:val="21"/>
              </w:rPr>
              <w:t>及时</w:t>
            </w:r>
            <w:r>
              <w:rPr>
                <w:sz w:val="21"/>
                <w:szCs w:val="21"/>
              </w:rPr>
              <w:t>到科技部门办理技术合同认定登记，确保在汇算清缴前取得登记证明</w:t>
            </w:r>
          </w:p>
        </w:tc>
      </w:tr>
      <w:tr w14:paraId="24E29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1162" w:type="dxa"/>
            <w:vAlign w:val="center"/>
          </w:tcPr>
          <w:p w14:paraId="513AFADB">
            <w:pPr>
              <w:snapToGrid w:val="0"/>
              <w:ind w:left="0" w:leftChars="0" w:right="0" w:rightChars="0" w:firstLine="0" w:firstLineChars="0"/>
              <w:jc w:val="center"/>
              <w:rPr>
                <w:b w:val="0"/>
                <w:bCs/>
                <w:sz w:val="21"/>
                <w:szCs w:val="21"/>
              </w:rPr>
            </w:pPr>
            <w:r>
              <w:rPr>
                <w:b w:val="0"/>
                <w:bCs/>
                <w:sz w:val="21"/>
                <w:szCs w:val="21"/>
              </w:rPr>
              <w:t>外部文件</w:t>
            </w:r>
          </w:p>
        </w:tc>
        <w:tc>
          <w:tcPr>
            <w:tcW w:w="2152" w:type="dxa"/>
            <w:vAlign w:val="center"/>
          </w:tcPr>
          <w:p w14:paraId="054BE50C">
            <w:pPr>
              <w:snapToGrid w:val="0"/>
              <w:ind w:left="0" w:leftChars="0" w:right="0" w:rightChars="0" w:firstLine="0" w:firstLineChars="0"/>
              <w:jc w:val="left"/>
              <w:rPr>
                <w:sz w:val="21"/>
                <w:szCs w:val="21"/>
              </w:rPr>
            </w:pPr>
            <w:r>
              <w:rPr>
                <w:sz w:val="21"/>
                <w:szCs w:val="21"/>
              </w:rPr>
              <w:t>集团分摊协议（</w:t>
            </w:r>
            <w:r>
              <w:rPr>
                <w:rFonts w:hint="eastAsia"/>
                <w:sz w:val="21"/>
                <w:szCs w:val="21"/>
                <w:lang w:val="en-US" w:eastAsia="zh-CN"/>
              </w:rPr>
              <w:t>集中研发必备</w:t>
            </w:r>
            <w:r>
              <w:rPr>
                <w:sz w:val="21"/>
                <w:szCs w:val="21"/>
              </w:rPr>
              <w:t>）</w:t>
            </w:r>
          </w:p>
        </w:tc>
        <w:tc>
          <w:tcPr>
            <w:tcW w:w="4990" w:type="dxa"/>
            <w:vAlign w:val="center"/>
          </w:tcPr>
          <w:p w14:paraId="3A131333">
            <w:pPr>
              <w:snapToGrid w:val="0"/>
              <w:ind w:left="0" w:leftChars="0" w:right="0" w:rightChars="0" w:firstLine="0" w:firstLineChars="0"/>
              <w:jc w:val="left"/>
              <w:rPr>
                <w:sz w:val="21"/>
                <w:szCs w:val="21"/>
              </w:rPr>
            </w:pPr>
            <w:r>
              <w:rPr>
                <w:sz w:val="21"/>
                <w:szCs w:val="21"/>
              </w:rPr>
              <w:t>明确权利和义务、费用分摊方法</w:t>
            </w:r>
          </w:p>
        </w:tc>
      </w:tr>
    </w:tbl>
    <w:p w14:paraId="7A5F53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实操要点：</w:t>
      </w:r>
    </w:p>
    <w:p w14:paraId="15B5F7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立项决议文件须在项目启动前或启动后尽快出具，避免事后补签；</w:t>
      </w:r>
    </w:p>
    <w:p w14:paraId="103E73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份合格的立项决议书，至少要包含“三要素”：项目名称、研发目的、预算金额。例如，某智能制造企业的“工业机器人视觉识别系统研发”项目，在决议书中明确“为提升产品质检效率，拟投入研发资金200万元，研发周期12个月，由技术部牵头实施”。</w:t>
      </w:r>
    </w:p>
    <w:p w14:paraId="27FD14C7">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eastAsia"/>
          <w:sz w:val="24"/>
          <w:szCs w:val="24"/>
          <w:lang w:val="en-US" w:eastAsia="zh-CN"/>
        </w:rPr>
      </w:pPr>
      <w:r>
        <w:rPr>
          <w:rFonts w:hint="eastAsia"/>
          <w:sz w:val="24"/>
          <w:szCs w:val="24"/>
          <w:lang w:val="en-US" w:eastAsia="zh-CN"/>
        </w:rPr>
        <w:t>4.6.2实施阶段</w:t>
      </w:r>
    </w:p>
    <w:p w14:paraId="761C6E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核心目标：形成完整的费用归集证据链，确保每笔费用可追溯、可验证。</w:t>
      </w:r>
    </w:p>
    <w:tbl>
      <w:tblPr>
        <w:tblStyle w:val="13"/>
        <w:tblW w:w="830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1"/>
        <w:gridCol w:w="2538"/>
        <w:gridCol w:w="4425"/>
      </w:tblGrid>
      <w:tr w14:paraId="2E3FE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341" w:type="dxa"/>
            <w:vAlign w:val="center"/>
          </w:tcPr>
          <w:p w14:paraId="4EB543BA">
            <w:pPr>
              <w:snapToGrid w:val="0"/>
              <w:ind w:left="0" w:leftChars="0" w:right="0" w:rightChars="0" w:firstLine="0" w:firstLineChars="0"/>
              <w:jc w:val="center"/>
              <w:rPr>
                <w:b/>
              </w:rPr>
            </w:pPr>
            <w:r>
              <w:rPr>
                <w:b/>
              </w:rPr>
              <w:t>资料类别</w:t>
            </w:r>
          </w:p>
        </w:tc>
        <w:tc>
          <w:tcPr>
            <w:tcW w:w="0" w:type="auto"/>
            <w:vAlign w:val="center"/>
          </w:tcPr>
          <w:p w14:paraId="26065DFD">
            <w:pPr>
              <w:snapToGrid w:val="0"/>
              <w:ind w:left="0" w:leftChars="0" w:right="0" w:rightChars="0" w:firstLine="0" w:firstLineChars="0"/>
              <w:jc w:val="center"/>
              <w:rPr>
                <w:b/>
              </w:rPr>
            </w:pPr>
            <w:r>
              <w:rPr>
                <w:b/>
              </w:rPr>
              <w:t>资料名称</w:t>
            </w:r>
          </w:p>
        </w:tc>
        <w:tc>
          <w:tcPr>
            <w:tcW w:w="4425" w:type="dxa"/>
            <w:vAlign w:val="center"/>
          </w:tcPr>
          <w:p w14:paraId="34711C9A">
            <w:pPr>
              <w:snapToGrid w:val="0"/>
              <w:ind w:left="0" w:leftChars="0" w:right="0" w:rightChars="0" w:firstLine="0" w:firstLineChars="0"/>
              <w:jc w:val="center"/>
              <w:rPr>
                <w:b/>
              </w:rPr>
            </w:pPr>
            <w:r>
              <w:rPr>
                <w:b/>
              </w:rPr>
              <w:t>要点说明</w:t>
            </w:r>
          </w:p>
        </w:tc>
      </w:tr>
      <w:tr w14:paraId="198CE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41" w:type="dxa"/>
            <w:vAlign w:val="center"/>
          </w:tcPr>
          <w:p w14:paraId="0B760D48">
            <w:pPr>
              <w:snapToGrid w:val="0"/>
              <w:ind w:left="0" w:leftChars="0" w:right="0" w:rightChars="0" w:firstLine="0" w:firstLineChars="0"/>
              <w:jc w:val="center"/>
              <w:rPr>
                <w:b w:val="0"/>
                <w:bCs/>
              </w:rPr>
            </w:pPr>
            <w:r>
              <w:rPr>
                <w:b w:val="0"/>
                <w:bCs/>
              </w:rPr>
              <w:t>人员人工</w:t>
            </w:r>
          </w:p>
        </w:tc>
        <w:tc>
          <w:tcPr>
            <w:tcW w:w="0" w:type="auto"/>
            <w:vAlign w:val="center"/>
          </w:tcPr>
          <w:p w14:paraId="0CADE7C5">
            <w:pPr>
              <w:snapToGrid w:val="0"/>
              <w:ind w:left="0" w:leftChars="0" w:right="0" w:rightChars="0" w:firstLine="0" w:firstLineChars="0"/>
              <w:jc w:val="left"/>
            </w:pPr>
            <w:r>
              <w:t>研发人员工时记录台账</w:t>
            </w:r>
          </w:p>
        </w:tc>
        <w:tc>
          <w:tcPr>
            <w:tcW w:w="4425" w:type="dxa"/>
            <w:vAlign w:val="center"/>
          </w:tcPr>
          <w:p w14:paraId="33CAA656">
            <w:pPr>
              <w:snapToGrid w:val="0"/>
              <w:ind w:left="0" w:leftChars="0" w:right="0" w:rightChars="0" w:firstLine="0" w:firstLineChars="0"/>
              <w:jc w:val="left"/>
            </w:pPr>
            <w:r>
              <w:t>按项目记录工时，由研发人员填写、项目负责人审核，作为薪酬分摊依据</w:t>
            </w:r>
          </w:p>
        </w:tc>
      </w:tr>
      <w:tr w14:paraId="5B16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341" w:type="dxa"/>
            <w:vAlign w:val="center"/>
          </w:tcPr>
          <w:p w14:paraId="2A4C58F6">
            <w:pPr>
              <w:snapToGrid w:val="0"/>
              <w:ind w:left="0" w:leftChars="0" w:right="0" w:rightChars="0" w:firstLine="0" w:firstLineChars="0"/>
              <w:jc w:val="center"/>
              <w:rPr>
                <w:b w:val="0"/>
                <w:bCs/>
              </w:rPr>
            </w:pPr>
            <w:r>
              <w:rPr>
                <w:b w:val="0"/>
                <w:bCs/>
              </w:rPr>
              <w:t>直接投入</w:t>
            </w:r>
          </w:p>
        </w:tc>
        <w:tc>
          <w:tcPr>
            <w:tcW w:w="0" w:type="auto"/>
            <w:vAlign w:val="center"/>
          </w:tcPr>
          <w:p w14:paraId="32DF0233">
            <w:pPr>
              <w:snapToGrid w:val="0"/>
              <w:ind w:left="0" w:leftChars="0" w:right="0" w:rightChars="0" w:firstLine="0" w:firstLineChars="0"/>
              <w:jc w:val="left"/>
            </w:pPr>
            <w:r>
              <w:t>研发领料单</w:t>
            </w:r>
          </w:p>
        </w:tc>
        <w:tc>
          <w:tcPr>
            <w:tcW w:w="4425" w:type="dxa"/>
            <w:vAlign w:val="center"/>
          </w:tcPr>
          <w:p w14:paraId="35C08544">
            <w:pPr>
              <w:snapToGrid w:val="0"/>
              <w:ind w:left="0" w:leftChars="0" w:right="0" w:rightChars="0" w:firstLine="0" w:firstLineChars="0"/>
              <w:jc w:val="left"/>
            </w:pPr>
            <w:r>
              <w:t>注明项目编号，区分研发/生产领料</w:t>
            </w:r>
          </w:p>
        </w:tc>
      </w:tr>
      <w:tr w14:paraId="50CA2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41" w:type="dxa"/>
            <w:vAlign w:val="center"/>
          </w:tcPr>
          <w:p w14:paraId="276706E7">
            <w:pPr>
              <w:snapToGrid w:val="0"/>
              <w:ind w:left="0" w:leftChars="0" w:right="0" w:rightChars="0" w:firstLine="0" w:firstLineChars="0"/>
              <w:jc w:val="center"/>
              <w:rPr>
                <w:b w:val="0"/>
                <w:bCs/>
              </w:rPr>
            </w:pPr>
            <w:r>
              <w:rPr>
                <w:b w:val="0"/>
                <w:bCs/>
              </w:rPr>
              <w:t>折旧/摊销</w:t>
            </w:r>
          </w:p>
        </w:tc>
        <w:tc>
          <w:tcPr>
            <w:tcW w:w="0" w:type="auto"/>
            <w:vAlign w:val="center"/>
          </w:tcPr>
          <w:p w14:paraId="4960B810">
            <w:pPr>
              <w:snapToGrid w:val="0"/>
              <w:ind w:left="0" w:leftChars="0" w:right="0" w:rightChars="0" w:firstLine="0" w:firstLineChars="0"/>
              <w:jc w:val="left"/>
            </w:pPr>
            <w:r>
              <w:t>设备运行日志/使用记录</w:t>
            </w:r>
          </w:p>
        </w:tc>
        <w:tc>
          <w:tcPr>
            <w:tcW w:w="4425" w:type="dxa"/>
            <w:vAlign w:val="center"/>
          </w:tcPr>
          <w:p w14:paraId="538B6291">
            <w:pPr>
              <w:snapToGrid w:val="0"/>
              <w:ind w:left="0" w:leftChars="0" w:right="0" w:rightChars="0" w:firstLine="0" w:firstLineChars="0"/>
              <w:jc w:val="left"/>
            </w:pPr>
            <w:r>
              <w:t>记录共用设备的研发使用时长，作为折旧分摊依据</w:t>
            </w:r>
          </w:p>
        </w:tc>
      </w:tr>
      <w:tr w14:paraId="2BF64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41" w:type="dxa"/>
            <w:vAlign w:val="center"/>
          </w:tcPr>
          <w:p w14:paraId="19247CE9">
            <w:pPr>
              <w:snapToGrid w:val="0"/>
              <w:ind w:left="0" w:leftChars="0" w:right="0" w:rightChars="0" w:firstLine="0" w:firstLineChars="0"/>
              <w:jc w:val="center"/>
              <w:rPr>
                <w:b w:val="0"/>
                <w:bCs/>
              </w:rPr>
            </w:pPr>
            <w:r>
              <w:rPr>
                <w:b w:val="0"/>
                <w:bCs/>
              </w:rPr>
              <w:t>费用分配</w:t>
            </w:r>
          </w:p>
        </w:tc>
        <w:tc>
          <w:tcPr>
            <w:tcW w:w="0" w:type="auto"/>
            <w:vAlign w:val="center"/>
          </w:tcPr>
          <w:p w14:paraId="54750CDD">
            <w:pPr>
              <w:snapToGrid w:val="0"/>
              <w:ind w:left="0" w:leftChars="0" w:right="0" w:rightChars="0" w:firstLine="0" w:firstLineChars="0"/>
              <w:jc w:val="left"/>
            </w:pPr>
            <w:r>
              <w:t>费用分配计算表及说明</w:t>
            </w:r>
          </w:p>
        </w:tc>
        <w:tc>
          <w:tcPr>
            <w:tcW w:w="4425" w:type="dxa"/>
            <w:vAlign w:val="center"/>
          </w:tcPr>
          <w:p w14:paraId="5277C460">
            <w:pPr>
              <w:snapToGrid w:val="0"/>
              <w:ind w:left="0" w:leftChars="0" w:right="0" w:rightChars="0" w:firstLine="0" w:firstLineChars="0"/>
              <w:jc w:val="left"/>
            </w:pPr>
            <w:r>
              <w:t>按实际工时占比等合理方法分配，方法一经确定年度内不得随意变更</w:t>
            </w:r>
          </w:p>
        </w:tc>
      </w:tr>
      <w:tr w14:paraId="0FD75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1341" w:type="dxa"/>
            <w:vAlign w:val="center"/>
          </w:tcPr>
          <w:p w14:paraId="06CFEC35">
            <w:pPr>
              <w:snapToGrid w:val="0"/>
              <w:ind w:left="0" w:leftChars="0" w:right="0" w:rightChars="0" w:firstLine="0" w:firstLineChars="0"/>
              <w:jc w:val="center"/>
              <w:rPr>
                <w:b w:val="0"/>
                <w:bCs/>
              </w:rPr>
            </w:pPr>
            <w:r>
              <w:rPr>
                <w:b w:val="0"/>
                <w:bCs/>
              </w:rPr>
              <w:t>核算基础</w:t>
            </w:r>
          </w:p>
        </w:tc>
        <w:tc>
          <w:tcPr>
            <w:tcW w:w="0" w:type="auto"/>
            <w:vAlign w:val="center"/>
          </w:tcPr>
          <w:p w14:paraId="688C08D2">
            <w:pPr>
              <w:snapToGrid w:val="0"/>
              <w:ind w:left="0" w:leftChars="0" w:right="0" w:rightChars="0" w:firstLine="0" w:firstLineChars="0"/>
              <w:jc w:val="left"/>
            </w:pPr>
            <w:r>
              <w:t>研发支出辅助账</w:t>
            </w:r>
          </w:p>
        </w:tc>
        <w:tc>
          <w:tcPr>
            <w:tcW w:w="4425" w:type="dxa"/>
            <w:vAlign w:val="center"/>
          </w:tcPr>
          <w:p w14:paraId="76B3A84B">
            <w:pPr>
              <w:snapToGrid w:val="0"/>
              <w:ind w:left="0" w:leftChars="0" w:right="0" w:rightChars="0" w:firstLine="0" w:firstLineChars="0"/>
              <w:jc w:val="left"/>
            </w:pPr>
            <w:r>
              <w:t>按项目分别设置，费用发生时同步登记，2021版/2015版/自行设计版均可（自行设计须包含2021版全部数据项）</w:t>
            </w:r>
          </w:p>
        </w:tc>
      </w:tr>
      <w:tr w14:paraId="1E61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1341" w:type="dxa"/>
            <w:vAlign w:val="center"/>
          </w:tcPr>
          <w:p w14:paraId="0398F0AC">
            <w:pPr>
              <w:snapToGrid w:val="0"/>
              <w:ind w:left="0" w:leftChars="0" w:right="0" w:rightChars="0" w:firstLine="0" w:firstLineChars="0"/>
              <w:jc w:val="center"/>
              <w:rPr>
                <w:b w:val="0"/>
                <w:bCs/>
              </w:rPr>
            </w:pPr>
            <w:r>
              <w:rPr>
                <w:b w:val="0"/>
                <w:bCs/>
              </w:rPr>
              <w:t>委托研发</w:t>
            </w:r>
          </w:p>
        </w:tc>
        <w:tc>
          <w:tcPr>
            <w:tcW w:w="0" w:type="auto"/>
            <w:vAlign w:val="center"/>
          </w:tcPr>
          <w:p w14:paraId="029F76DE">
            <w:pPr>
              <w:snapToGrid w:val="0"/>
              <w:ind w:left="0" w:leftChars="0" w:right="0" w:rightChars="0" w:firstLine="0" w:firstLineChars="0"/>
              <w:jc w:val="left"/>
            </w:pPr>
            <w:r>
              <w:t>委托境外研发银行支付凭证和收款凭据（如适用）</w:t>
            </w:r>
          </w:p>
        </w:tc>
        <w:tc>
          <w:tcPr>
            <w:tcW w:w="4425" w:type="dxa"/>
            <w:vAlign w:val="center"/>
          </w:tcPr>
          <w:p w14:paraId="271E2728">
            <w:pPr>
              <w:snapToGrid w:val="0"/>
              <w:ind w:left="0" w:leftChars="0" w:right="0" w:rightChars="0" w:firstLine="0" w:firstLineChars="0"/>
              <w:jc w:val="left"/>
            </w:pPr>
            <w:r>
              <w:t>仅委托境外研发需补充</w:t>
            </w:r>
          </w:p>
        </w:tc>
      </w:tr>
      <w:tr w14:paraId="0E43A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1341" w:type="dxa"/>
            <w:vAlign w:val="center"/>
          </w:tcPr>
          <w:p w14:paraId="2BFA771F">
            <w:pPr>
              <w:snapToGrid w:val="0"/>
              <w:ind w:left="0" w:leftChars="0" w:right="0" w:rightChars="0" w:firstLine="0" w:firstLineChars="0"/>
              <w:jc w:val="center"/>
              <w:rPr>
                <w:b w:val="0"/>
                <w:bCs/>
              </w:rPr>
            </w:pPr>
            <w:r>
              <w:rPr>
                <w:b w:val="0"/>
                <w:bCs/>
              </w:rPr>
              <w:t>委托研发</w:t>
            </w:r>
          </w:p>
        </w:tc>
        <w:tc>
          <w:tcPr>
            <w:tcW w:w="0" w:type="auto"/>
            <w:vAlign w:val="center"/>
          </w:tcPr>
          <w:p w14:paraId="0ED67ABE">
            <w:pPr>
              <w:snapToGrid w:val="0"/>
              <w:ind w:left="0" w:leftChars="0" w:right="0" w:rightChars="0" w:firstLine="0" w:firstLineChars="0"/>
              <w:jc w:val="left"/>
            </w:pPr>
            <w:r>
              <w:t>委托研发项目进展情况报告（如适用）</w:t>
            </w:r>
          </w:p>
        </w:tc>
        <w:tc>
          <w:tcPr>
            <w:tcW w:w="4425" w:type="dxa"/>
            <w:vAlign w:val="center"/>
          </w:tcPr>
          <w:p w14:paraId="0AA18822">
            <w:pPr>
              <w:snapToGrid w:val="0"/>
              <w:ind w:left="0" w:leftChars="0" w:right="0" w:rightChars="0" w:firstLine="0" w:firstLineChars="0"/>
              <w:jc w:val="left"/>
            </w:pPr>
            <w:r>
              <w:t>仅委托境外研发需补充</w:t>
            </w:r>
          </w:p>
        </w:tc>
      </w:tr>
      <w:tr w14:paraId="64441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341" w:type="dxa"/>
            <w:vAlign w:val="center"/>
          </w:tcPr>
          <w:p w14:paraId="02CC5961">
            <w:pPr>
              <w:snapToGrid w:val="0"/>
              <w:ind w:left="0" w:leftChars="0" w:right="0" w:rightChars="0" w:firstLine="0" w:firstLineChars="0"/>
              <w:jc w:val="center"/>
            </w:pPr>
            <w:r>
              <w:t>委托研发</w:t>
            </w:r>
          </w:p>
        </w:tc>
        <w:tc>
          <w:tcPr>
            <w:tcW w:w="2538" w:type="dxa"/>
            <w:vAlign w:val="center"/>
          </w:tcPr>
          <w:p w14:paraId="5CA5C857">
            <w:pPr>
              <w:snapToGrid w:val="0"/>
              <w:ind w:left="0" w:leftChars="0" w:right="0" w:rightChars="0" w:firstLine="0" w:firstLineChars="0"/>
              <w:jc w:val="left"/>
              <w:rPr>
                <w:rFonts w:hint="default"/>
                <w:lang w:val="en-US"/>
              </w:rPr>
            </w:pPr>
            <w:r>
              <w:rPr>
                <w:lang w:val="en-US" w:eastAsia="zh-CN"/>
              </w:rPr>
              <w:t>受托方提供</w:t>
            </w:r>
            <w:r>
              <w:rPr>
                <w:rFonts w:hint="eastAsia"/>
                <w:lang w:val="en-US" w:eastAsia="zh-CN"/>
              </w:rPr>
              <w:t>的</w:t>
            </w:r>
            <w:r>
              <w:rPr>
                <w:lang w:val="en-US" w:eastAsia="zh-CN"/>
              </w:rPr>
              <w:t>研发项目费用支出明细情况</w:t>
            </w:r>
            <w:r>
              <w:rPr>
                <w:rFonts w:hint="eastAsia"/>
                <w:lang w:val="en-US" w:eastAsia="zh-CN"/>
              </w:rPr>
              <w:t>说明</w:t>
            </w:r>
          </w:p>
        </w:tc>
        <w:tc>
          <w:tcPr>
            <w:tcW w:w="4425" w:type="dxa"/>
            <w:vAlign w:val="center"/>
          </w:tcPr>
          <w:p w14:paraId="6A70813E">
            <w:pPr>
              <w:snapToGrid w:val="0"/>
              <w:ind w:left="0" w:leftChars="0" w:right="0" w:rightChars="0" w:firstLine="0" w:firstLineChars="0"/>
              <w:jc w:val="left"/>
              <w:rPr>
                <w:rFonts w:hint="default" w:eastAsiaTheme="minorEastAsia"/>
                <w:lang w:val="en-US" w:eastAsia="zh-CN"/>
              </w:rPr>
            </w:pPr>
            <w:r>
              <w:t>仅</w:t>
            </w:r>
            <w:r>
              <w:rPr>
                <w:rFonts w:hint="eastAsia"/>
                <w:lang w:val="en-US" w:eastAsia="zh-CN"/>
              </w:rPr>
              <w:t>委托方与受托方存在关联关系时补充</w:t>
            </w:r>
          </w:p>
        </w:tc>
      </w:tr>
      <w:tr w14:paraId="7A269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trPr>
        <w:tc>
          <w:tcPr>
            <w:tcW w:w="1341" w:type="dxa"/>
            <w:vAlign w:val="center"/>
          </w:tcPr>
          <w:p w14:paraId="4D130073">
            <w:pPr>
              <w:snapToGrid w:val="0"/>
              <w:ind w:left="0" w:leftChars="0" w:right="0" w:rightChars="0" w:firstLine="0" w:firstLineChars="0"/>
              <w:jc w:val="center"/>
              <w:rPr>
                <w:b w:val="0"/>
                <w:bCs/>
              </w:rPr>
            </w:pPr>
            <w:r>
              <w:rPr>
                <w:b w:val="0"/>
                <w:bCs/>
              </w:rPr>
              <w:t>集中研发</w:t>
            </w:r>
          </w:p>
        </w:tc>
        <w:tc>
          <w:tcPr>
            <w:tcW w:w="2538" w:type="dxa"/>
            <w:vAlign w:val="center"/>
          </w:tcPr>
          <w:p w14:paraId="56070396">
            <w:pPr>
              <w:snapToGrid w:val="0"/>
              <w:ind w:left="0" w:leftChars="0" w:right="0" w:rightChars="0" w:firstLine="0" w:firstLineChars="0"/>
              <w:jc w:val="left"/>
            </w:pPr>
            <w:r>
              <w:t>分摊协议、决算表及分摊明细</w:t>
            </w:r>
          </w:p>
        </w:tc>
        <w:tc>
          <w:tcPr>
            <w:tcW w:w="4425" w:type="dxa"/>
            <w:vAlign w:val="center"/>
          </w:tcPr>
          <w:p w14:paraId="5BCD411B">
            <w:pPr>
              <w:snapToGrid w:val="0"/>
              <w:ind w:left="0" w:leftChars="0" w:right="0" w:rightChars="0" w:firstLine="0" w:firstLineChars="0"/>
              <w:jc w:val="left"/>
            </w:pPr>
            <w:r>
              <w:t>集团应</w:t>
            </w:r>
            <w:r>
              <w:rPr>
                <w:b w:val="0"/>
                <w:bCs/>
              </w:rPr>
              <w:t>在费用分摊时</w:t>
            </w:r>
            <w:r>
              <w:rPr>
                <w:b/>
              </w:rPr>
              <w:t>同步</w:t>
            </w:r>
            <w:r>
              <w:t>提供给相关成员企业，建议在年度终了后60日内完成资料提供</w:t>
            </w:r>
          </w:p>
        </w:tc>
      </w:tr>
    </w:tbl>
    <w:p w14:paraId="5E6E09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实操要点：</w:t>
      </w:r>
    </w:p>
    <w:p w14:paraId="2B602B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费用分配方法一经确定，在一个纳税年度内不得随意变更；</w:t>
      </w:r>
    </w:p>
    <w:p w14:paraId="127F55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辅助账应在费用发生时同步登记，而非汇算清缴前集中补录；</w:t>
      </w:r>
    </w:p>
    <w:p w14:paraId="60DBC9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财务管理上限：集团公司集中使用的研发费用总额，原则上不超过集团合并会计报表年营业收入的2%（《财政部关于企业加强研发费用财务管理的若干意见》财企〔2007〕194号）；</w:t>
      </w:r>
    </w:p>
    <w:p w14:paraId="03B4CD2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关联申报同步：企业集团开发、应用无形资产及确定无形资产所有权归属的整体战略，包括主要研发机构所在地和研发管理活动发生地及其主要功能、风险、资产和人员情况等，应在同期资料主体文档中披露；</w:t>
      </w:r>
    </w:p>
    <w:p w14:paraId="3E8C9C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在项目管理系统或税务管理系统中预设分摊规则，实现费用的自动归集与智能分摊，减少手工操作带来的误差和合规风险。</w:t>
      </w:r>
    </w:p>
    <w:p w14:paraId="6C1E0E20">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eastAsia"/>
          <w:sz w:val="24"/>
          <w:szCs w:val="24"/>
          <w:lang w:val="en-US" w:eastAsia="zh-CN"/>
        </w:rPr>
      </w:pPr>
      <w:r>
        <w:rPr>
          <w:rFonts w:hint="eastAsia"/>
          <w:sz w:val="24"/>
          <w:szCs w:val="24"/>
          <w:lang w:val="en-US" w:eastAsia="zh-CN"/>
        </w:rPr>
        <w:t>4.6.3结题/验收阶段</w:t>
      </w:r>
    </w:p>
    <w:p w14:paraId="271E10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核心目标：形成项目闭环，证明研发活动完成（或失败中止），锁定成果归属。</w:t>
      </w:r>
    </w:p>
    <w:tbl>
      <w:tblPr>
        <w:tblStyle w:val="13"/>
        <w:tblW w:w="830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3439"/>
        <w:gridCol w:w="3627"/>
      </w:tblGrid>
      <w:tr w14:paraId="51869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blHeader/>
        </w:trPr>
        <w:tc>
          <w:tcPr>
            <w:tcW w:w="1238" w:type="dxa"/>
            <w:vAlign w:val="center"/>
          </w:tcPr>
          <w:p w14:paraId="54DD39D0">
            <w:pPr>
              <w:snapToGrid w:val="0"/>
              <w:ind w:left="0" w:leftChars="0" w:right="0" w:rightChars="0" w:firstLine="0" w:firstLineChars="0"/>
              <w:jc w:val="center"/>
              <w:rPr>
                <w:b/>
              </w:rPr>
            </w:pPr>
            <w:r>
              <w:rPr>
                <w:b/>
              </w:rPr>
              <w:t>资料类别</w:t>
            </w:r>
          </w:p>
        </w:tc>
        <w:tc>
          <w:tcPr>
            <w:tcW w:w="3439" w:type="dxa"/>
            <w:vAlign w:val="center"/>
          </w:tcPr>
          <w:p w14:paraId="3343C72F">
            <w:pPr>
              <w:snapToGrid w:val="0"/>
              <w:ind w:left="0" w:leftChars="0" w:right="0" w:rightChars="0" w:firstLine="0" w:firstLineChars="0"/>
              <w:jc w:val="center"/>
              <w:rPr>
                <w:b/>
              </w:rPr>
            </w:pPr>
            <w:r>
              <w:rPr>
                <w:b/>
              </w:rPr>
              <w:t>资料名称</w:t>
            </w:r>
          </w:p>
        </w:tc>
        <w:tc>
          <w:tcPr>
            <w:tcW w:w="3627" w:type="dxa"/>
            <w:vAlign w:val="center"/>
          </w:tcPr>
          <w:p w14:paraId="18509A09">
            <w:pPr>
              <w:snapToGrid w:val="0"/>
              <w:ind w:left="0" w:leftChars="0" w:right="0" w:rightChars="0" w:firstLine="0" w:firstLineChars="0"/>
              <w:jc w:val="center"/>
              <w:rPr>
                <w:b/>
              </w:rPr>
            </w:pPr>
            <w:r>
              <w:rPr>
                <w:b/>
              </w:rPr>
              <w:t>要点说明</w:t>
            </w:r>
          </w:p>
        </w:tc>
      </w:tr>
      <w:tr w14:paraId="679C1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1238" w:type="dxa"/>
            <w:vAlign w:val="center"/>
          </w:tcPr>
          <w:p w14:paraId="0C82273F">
            <w:pPr>
              <w:snapToGrid w:val="0"/>
              <w:ind w:left="0" w:leftChars="0" w:right="0" w:rightChars="0" w:firstLine="0" w:firstLineChars="0"/>
              <w:jc w:val="center"/>
              <w:rPr>
                <w:b w:val="0"/>
                <w:bCs/>
              </w:rPr>
            </w:pPr>
            <w:r>
              <w:rPr>
                <w:b w:val="0"/>
                <w:bCs/>
              </w:rPr>
              <w:t>结题文件</w:t>
            </w:r>
          </w:p>
        </w:tc>
        <w:tc>
          <w:tcPr>
            <w:tcW w:w="3439" w:type="dxa"/>
            <w:vAlign w:val="center"/>
          </w:tcPr>
          <w:p w14:paraId="76D21A99">
            <w:pPr>
              <w:snapToGrid w:val="0"/>
              <w:ind w:left="0" w:leftChars="0" w:right="0" w:rightChars="0" w:firstLine="0" w:firstLineChars="0"/>
              <w:jc w:val="left"/>
            </w:pPr>
            <w:r>
              <w:t>结题报告/验收报告/中止报告</w:t>
            </w:r>
          </w:p>
        </w:tc>
        <w:tc>
          <w:tcPr>
            <w:tcW w:w="3627" w:type="dxa"/>
            <w:vAlign w:val="center"/>
          </w:tcPr>
          <w:p w14:paraId="2BB881F3">
            <w:pPr>
              <w:snapToGrid w:val="0"/>
              <w:ind w:left="0" w:leftChars="0" w:right="0" w:rightChars="0" w:firstLine="0" w:firstLineChars="0"/>
              <w:jc w:val="left"/>
            </w:pPr>
            <w:r>
              <w:t>总结研发成果或说明失败原因，失败的研发同样可以享受加计扣除</w:t>
            </w:r>
          </w:p>
        </w:tc>
      </w:tr>
      <w:tr w14:paraId="6D555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1238" w:type="dxa"/>
            <w:vAlign w:val="center"/>
          </w:tcPr>
          <w:p w14:paraId="5C0066B5">
            <w:pPr>
              <w:snapToGrid w:val="0"/>
              <w:ind w:left="0" w:leftChars="0" w:right="0" w:rightChars="0" w:firstLine="0" w:firstLineChars="0"/>
              <w:jc w:val="center"/>
              <w:rPr>
                <w:b w:val="0"/>
                <w:bCs/>
              </w:rPr>
            </w:pPr>
            <w:r>
              <w:rPr>
                <w:b w:val="0"/>
                <w:bCs/>
              </w:rPr>
              <w:t>成果证明</w:t>
            </w:r>
          </w:p>
        </w:tc>
        <w:tc>
          <w:tcPr>
            <w:tcW w:w="3439" w:type="dxa"/>
            <w:vAlign w:val="center"/>
          </w:tcPr>
          <w:p w14:paraId="56819D9A">
            <w:pPr>
              <w:snapToGrid w:val="0"/>
              <w:ind w:left="0" w:leftChars="0" w:right="0" w:rightChars="0" w:firstLine="0" w:firstLineChars="0"/>
              <w:jc w:val="left"/>
            </w:pPr>
            <w:r>
              <w:t>专利证书/软件著作权/查新报告等</w:t>
            </w:r>
          </w:p>
        </w:tc>
        <w:tc>
          <w:tcPr>
            <w:tcW w:w="3627" w:type="dxa"/>
            <w:vAlign w:val="center"/>
          </w:tcPr>
          <w:p w14:paraId="26860BC4">
            <w:pPr>
              <w:snapToGrid w:val="0"/>
              <w:ind w:left="0" w:leftChars="0" w:right="0" w:rightChars="0" w:firstLine="0" w:firstLineChars="0"/>
              <w:jc w:val="left"/>
            </w:pPr>
            <w:r>
              <w:t>证明研发成果与项目的关联性</w:t>
            </w:r>
          </w:p>
        </w:tc>
      </w:tr>
      <w:tr w14:paraId="43B76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1238" w:type="dxa"/>
            <w:vAlign w:val="center"/>
          </w:tcPr>
          <w:p w14:paraId="650A293A">
            <w:pPr>
              <w:snapToGrid w:val="0"/>
              <w:ind w:left="0" w:leftChars="0" w:right="0" w:rightChars="0" w:firstLine="0" w:firstLineChars="0"/>
              <w:jc w:val="center"/>
              <w:rPr>
                <w:b w:val="0"/>
                <w:bCs/>
              </w:rPr>
            </w:pPr>
            <w:r>
              <w:rPr>
                <w:b w:val="0"/>
                <w:bCs/>
              </w:rPr>
              <w:t>财务决算</w:t>
            </w:r>
          </w:p>
        </w:tc>
        <w:tc>
          <w:tcPr>
            <w:tcW w:w="3439" w:type="dxa"/>
            <w:vAlign w:val="center"/>
          </w:tcPr>
          <w:p w14:paraId="60D73029">
            <w:pPr>
              <w:snapToGrid w:val="0"/>
              <w:ind w:left="0" w:leftChars="0" w:right="0" w:rightChars="0" w:firstLine="0" w:firstLineChars="0"/>
              <w:jc w:val="left"/>
            </w:pPr>
            <w:r>
              <w:t>研发项目经费决算表（集中研发必备，其他形式建议编制）</w:t>
            </w:r>
          </w:p>
        </w:tc>
        <w:tc>
          <w:tcPr>
            <w:tcW w:w="3627" w:type="dxa"/>
            <w:vAlign w:val="center"/>
          </w:tcPr>
          <w:p w14:paraId="451AB333">
            <w:pPr>
              <w:snapToGrid w:val="0"/>
              <w:ind w:left="0" w:leftChars="0" w:right="0" w:rightChars="0" w:firstLine="0" w:firstLineChars="0"/>
              <w:jc w:val="left"/>
            </w:pPr>
            <w:r>
              <w:t>与辅助账汇总数核对一致</w:t>
            </w:r>
          </w:p>
        </w:tc>
      </w:tr>
      <w:tr w14:paraId="0B41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3" w:hRule="atLeast"/>
        </w:trPr>
        <w:tc>
          <w:tcPr>
            <w:tcW w:w="1238" w:type="dxa"/>
            <w:vAlign w:val="center"/>
          </w:tcPr>
          <w:p w14:paraId="6D26DD9E">
            <w:pPr>
              <w:snapToGrid w:val="0"/>
              <w:ind w:left="0" w:leftChars="0" w:right="0" w:rightChars="0" w:firstLine="0" w:firstLineChars="0"/>
              <w:jc w:val="center"/>
              <w:rPr>
                <w:b w:val="0"/>
                <w:bCs/>
              </w:rPr>
            </w:pPr>
            <w:r>
              <w:rPr>
                <w:b w:val="0"/>
                <w:bCs/>
              </w:rPr>
              <w:t>财务决算</w:t>
            </w:r>
          </w:p>
        </w:tc>
        <w:tc>
          <w:tcPr>
            <w:tcW w:w="3439" w:type="dxa"/>
            <w:vAlign w:val="center"/>
          </w:tcPr>
          <w:p w14:paraId="1609E72B">
            <w:pPr>
              <w:snapToGrid w:val="0"/>
              <w:ind w:left="0" w:leftChars="0" w:right="0" w:rightChars="0" w:firstLine="0" w:firstLineChars="0"/>
              <w:jc w:val="left"/>
            </w:pPr>
            <w:r>
              <w:t>费用分摊明细情况表（集中研发必备）</w:t>
            </w:r>
          </w:p>
        </w:tc>
        <w:tc>
          <w:tcPr>
            <w:tcW w:w="3627" w:type="dxa"/>
            <w:vAlign w:val="center"/>
          </w:tcPr>
          <w:p w14:paraId="4311E511">
            <w:pPr>
              <w:snapToGrid w:val="0"/>
              <w:ind w:left="0" w:leftChars="0" w:right="0" w:rightChars="0" w:firstLine="0" w:firstLineChars="0"/>
              <w:jc w:val="left"/>
            </w:pPr>
            <w:r>
              <w:t>明确各成员企业分摊金额</w:t>
            </w:r>
          </w:p>
        </w:tc>
      </w:tr>
      <w:tr w14:paraId="2987A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trPr>
        <w:tc>
          <w:tcPr>
            <w:tcW w:w="1238" w:type="dxa"/>
            <w:vAlign w:val="center"/>
          </w:tcPr>
          <w:p w14:paraId="1945BD6A">
            <w:pPr>
              <w:snapToGrid w:val="0"/>
              <w:ind w:left="0" w:leftChars="0" w:right="0" w:rightChars="0" w:firstLine="0" w:firstLineChars="0"/>
              <w:jc w:val="center"/>
              <w:rPr>
                <w:rFonts w:hint="default" w:eastAsiaTheme="minorEastAsia"/>
                <w:b w:val="0"/>
                <w:bCs/>
                <w:lang w:val="en-US" w:eastAsia="zh-CN"/>
              </w:rPr>
            </w:pPr>
            <w:r>
              <w:rPr>
                <w:rFonts w:hint="eastAsia"/>
                <w:b w:val="0"/>
                <w:bCs/>
                <w:lang w:val="en-US" w:eastAsia="zh-CN"/>
              </w:rPr>
              <w:t>鉴定证明</w:t>
            </w:r>
          </w:p>
        </w:tc>
        <w:tc>
          <w:tcPr>
            <w:tcW w:w="3439" w:type="dxa"/>
            <w:vAlign w:val="center"/>
          </w:tcPr>
          <w:p w14:paraId="41DE1323">
            <w:pPr>
              <w:snapToGrid w:val="0"/>
              <w:ind w:left="0" w:leftChars="0" w:right="0" w:rightChars="0" w:firstLine="0" w:firstLineChars="0"/>
              <w:jc w:val="left"/>
            </w:pPr>
            <w:r>
              <w:t>科技行政主管部门鉴定意见</w:t>
            </w:r>
          </w:p>
        </w:tc>
        <w:tc>
          <w:tcPr>
            <w:tcW w:w="3627" w:type="dxa"/>
            <w:vAlign w:val="center"/>
          </w:tcPr>
          <w:p w14:paraId="453BB719">
            <w:pPr>
              <w:snapToGrid w:val="0"/>
              <w:ind w:left="0" w:leftChars="0" w:right="0" w:rightChars="0" w:firstLine="0" w:firstLineChars="0"/>
              <w:jc w:val="left"/>
            </w:pPr>
            <w:r>
              <w:t>如有争议可主动申请鉴定留存备查</w:t>
            </w:r>
          </w:p>
        </w:tc>
      </w:tr>
    </w:tbl>
    <w:p w14:paraId="097035D6">
      <w:pPr>
        <w:rPr>
          <w:rFonts w:hint="eastAsia"/>
        </w:rPr>
      </w:pPr>
    </w:p>
    <w:p w14:paraId="00E807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实操要点：</w:t>
      </w:r>
    </w:p>
    <w:p w14:paraId="35B4D7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失败中止的项目也须编制结题/中止报告，同样可以享受加计扣除；</w:t>
      </w:r>
    </w:p>
    <w:p w14:paraId="7D4774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决算表中的费用数据须与辅助账、总账保持一致。</w:t>
      </w:r>
    </w:p>
    <w:p w14:paraId="13BFA242">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4.6.4保管期限及质量要求</w:t>
      </w:r>
    </w:p>
    <w:p w14:paraId="4FECF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所有留存备查资料应从企业享受优惠事项当年的企业所得税汇算清缴期结束次日起保留10年。此处的起算时点为企业享受优惠当年的汇算清缴期结束次日，即6月1日。</w:t>
      </w:r>
    </w:p>
    <w:p w14:paraId="6812A8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备查资料满足完整性、真实性、一致性、可追溯性质量要求，这些是税务稽查的核心关注点。电子档案与纸质档案建立对应关系，规范档案分类编码规则。</w:t>
      </w:r>
    </w:p>
    <w:p w14:paraId="6DD4CC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每份备查资料的基础信息中需要包含：资料名称、资料类别、资料日期、项目名称、项目节点、项目年度、文档附件。</w:t>
      </w:r>
    </w:p>
    <w:p w14:paraId="66559A5F">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28"/>
          <w:szCs w:val="28"/>
          <w:lang w:val="en-US" w:eastAsia="zh-CN"/>
        </w:rPr>
      </w:pPr>
      <w:bookmarkStart w:id="32" w:name="_Toc26078"/>
      <w:r>
        <w:rPr>
          <w:rFonts w:hint="eastAsia" w:asciiTheme="majorEastAsia" w:hAnsiTheme="majorEastAsia" w:eastAsiaTheme="majorEastAsia" w:cstheme="majorEastAsia"/>
          <w:sz w:val="28"/>
          <w:szCs w:val="28"/>
          <w:lang w:val="en-US" w:eastAsia="zh-CN"/>
        </w:rPr>
        <w:t>4.7 后续管理</w:t>
      </w:r>
      <w:bookmarkEnd w:id="32"/>
    </w:p>
    <w:p w14:paraId="476A83A0">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default"/>
          <w:sz w:val="24"/>
          <w:szCs w:val="24"/>
          <w:lang w:val="en-US" w:eastAsia="zh-CN"/>
        </w:rPr>
      </w:pPr>
      <w:r>
        <w:rPr>
          <w:rFonts w:hint="eastAsia"/>
          <w:sz w:val="24"/>
          <w:szCs w:val="24"/>
          <w:lang w:val="en-US" w:eastAsia="zh-CN"/>
        </w:rPr>
        <w:t>4.7.1税局事后核查</w:t>
      </w:r>
    </w:p>
    <w:p w14:paraId="06D32C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1.核查时间</w:t>
      </w:r>
    </w:p>
    <w:p w14:paraId="3B011D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default" w:asciiTheme="majorEastAsia" w:hAnsiTheme="majorEastAsia" w:eastAsiaTheme="majorEastAsia" w:cstheme="majorEastAsia"/>
          <w:b w:val="0"/>
          <w:bCs/>
          <w:sz w:val="24"/>
          <w:szCs w:val="24"/>
          <w:lang w:val="en-US" w:eastAsia="zh-CN"/>
        </w:rPr>
        <w:t>在每年汇算清缴期结束后开展事后核查。核查覆盖本年度申报数据，但在发现疑点时，税务机关会纵向比对近3年研发费用占销售收入比例波动值，设定预警阈值，重点核查波动异常期间费用归集完整性；同时通过横向分析，将企业实际执行的扣除比例与同行业企业申报均值进行比对</w:t>
      </w:r>
      <w:r>
        <w:rPr>
          <w:rFonts w:hint="eastAsia" w:asciiTheme="majorEastAsia" w:hAnsiTheme="majorEastAsia" w:eastAsiaTheme="majorEastAsia" w:cstheme="majorEastAsia"/>
          <w:b w:val="0"/>
          <w:bCs/>
          <w:sz w:val="24"/>
          <w:szCs w:val="24"/>
          <w:lang w:val="en-US" w:eastAsia="zh-CN"/>
        </w:rPr>
        <w:t>。</w:t>
      </w:r>
    </w:p>
    <w:p w14:paraId="347E8D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2.核查对象</w:t>
      </w:r>
    </w:p>
    <w:p w14:paraId="682852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r>
        <w:rPr>
          <w:rFonts w:hint="default" w:asciiTheme="majorEastAsia" w:hAnsiTheme="majorEastAsia" w:eastAsiaTheme="majorEastAsia" w:cstheme="majorEastAsia"/>
          <w:b w:val="0"/>
          <w:bCs/>
          <w:sz w:val="24"/>
          <w:szCs w:val="24"/>
          <w:lang w:val="en-US" w:eastAsia="zh-CN"/>
        </w:rPr>
        <w:t>核查对象覆盖所有享受研发费用加计扣除优惠的企业，但存在优先级差异。税务机关通过多维度监控指标筛选重点核查对象，主要包括：</w:t>
      </w:r>
    </w:p>
    <w:p w14:paraId="78701B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r>
        <w:rPr>
          <w:rFonts w:hint="default" w:asciiTheme="majorEastAsia" w:hAnsiTheme="majorEastAsia" w:eastAsiaTheme="majorEastAsia" w:cstheme="majorEastAsia"/>
          <w:b w:val="0"/>
          <w:bCs/>
          <w:sz w:val="24"/>
          <w:szCs w:val="24"/>
          <w:lang w:val="en-US" w:eastAsia="zh-CN"/>
        </w:rPr>
        <w:t>研发费用波动异常：研发费用年波动超50%的企业，列为重点关注对象</w:t>
      </w:r>
      <w:r>
        <w:rPr>
          <w:rFonts w:hint="eastAsia" w:asciiTheme="majorEastAsia" w:hAnsiTheme="majorEastAsia" w:eastAsiaTheme="majorEastAsia" w:cstheme="majorEastAsia"/>
          <w:b w:val="0"/>
          <w:bCs/>
          <w:sz w:val="24"/>
          <w:szCs w:val="24"/>
          <w:lang w:val="en-US" w:eastAsia="zh-CN"/>
        </w:rPr>
        <w:t>；</w:t>
      </w:r>
    </w:p>
    <w:p w14:paraId="70C96D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r>
        <w:rPr>
          <w:rFonts w:hint="default" w:asciiTheme="majorEastAsia" w:hAnsiTheme="majorEastAsia" w:eastAsiaTheme="majorEastAsia" w:cstheme="majorEastAsia"/>
          <w:b w:val="0"/>
          <w:bCs/>
          <w:sz w:val="24"/>
          <w:szCs w:val="24"/>
          <w:lang w:val="en-US" w:eastAsia="zh-CN"/>
        </w:rPr>
        <w:t>预警指标触发：税务机关专门针对研发费用加计扣除设计了一系列预警指标，包括研发人员费用占比过高、材料费用金额异常、行业适配风险等，触发预警的企业将被重点监控</w:t>
      </w:r>
      <w:r>
        <w:rPr>
          <w:rFonts w:hint="eastAsia" w:asciiTheme="majorEastAsia" w:hAnsiTheme="majorEastAsia" w:eastAsiaTheme="majorEastAsia" w:cstheme="majorEastAsia"/>
          <w:b w:val="0"/>
          <w:bCs/>
          <w:sz w:val="24"/>
          <w:szCs w:val="24"/>
          <w:lang w:val="en-US" w:eastAsia="zh-CN"/>
        </w:rPr>
        <w:t>；</w:t>
      </w:r>
    </w:p>
    <w:p w14:paraId="1A10F6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default" w:asciiTheme="majorEastAsia" w:hAnsiTheme="majorEastAsia" w:eastAsiaTheme="majorEastAsia" w:cstheme="majorEastAsia"/>
          <w:b w:val="0"/>
          <w:bCs/>
          <w:sz w:val="24"/>
          <w:szCs w:val="24"/>
          <w:lang w:val="en-US" w:eastAsia="zh-CN"/>
        </w:rPr>
        <w:t>金额大、风险高的企业：围绕重点政策减免金额大、风险程度高的企业开展提级管理</w:t>
      </w:r>
      <w:r>
        <w:rPr>
          <w:rFonts w:hint="eastAsia" w:asciiTheme="majorEastAsia" w:hAnsiTheme="majorEastAsia" w:eastAsiaTheme="majorEastAsia" w:cstheme="majorEastAsia"/>
          <w:b w:val="0"/>
          <w:bCs/>
          <w:sz w:val="24"/>
          <w:szCs w:val="24"/>
          <w:lang w:val="en-US" w:eastAsia="zh-CN"/>
        </w:rPr>
        <w:t>。</w:t>
      </w:r>
    </w:p>
    <w:p w14:paraId="1A9DE7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3.核查比例</w:t>
      </w:r>
    </w:p>
    <w:p w14:paraId="07E2B2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default" w:asciiTheme="majorEastAsia" w:hAnsiTheme="majorEastAsia" w:eastAsiaTheme="majorEastAsia" w:cstheme="majorEastAsia"/>
          <w:b w:val="0"/>
          <w:bCs/>
          <w:sz w:val="24"/>
          <w:szCs w:val="24"/>
          <w:lang w:val="en-US" w:eastAsia="zh-CN"/>
        </w:rPr>
        <w:t>年度核查面不得低于20%</w:t>
      </w:r>
      <w:r>
        <w:rPr>
          <w:rFonts w:hint="eastAsia" w:asciiTheme="majorEastAsia" w:hAnsiTheme="majorEastAsia" w:eastAsiaTheme="majorEastAsia" w:cstheme="majorEastAsia"/>
          <w:b w:val="0"/>
          <w:bCs/>
          <w:sz w:val="24"/>
          <w:szCs w:val="24"/>
          <w:lang w:val="en-US" w:eastAsia="zh-CN"/>
        </w:rPr>
        <w:t>，</w:t>
      </w:r>
      <w:r>
        <w:rPr>
          <w:rFonts w:hint="default" w:asciiTheme="majorEastAsia" w:hAnsiTheme="majorEastAsia" w:eastAsiaTheme="majorEastAsia" w:cstheme="majorEastAsia"/>
          <w:b w:val="0"/>
          <w:bCs/>
          <w:sz w:val="24"/>
          <w:szCs w:val="24"/>
          <w:lang w:val="en-US" w:eastAsia="zh-CN"/>
        </w:rPr>
        <w:t>是指在当地所有已享受研发费用加计扣除优惠的企业中，每年至少要抽取20%的企业进行核查</w:t>
      </w:r>
      <w:r>
        <w:rPr>
          <w:rFonts w:hint="eastAsia" w:asciiTheme="majorEastAsia" w:hAnsiTheme="majorEastAsia" w:eastAsiaTheme="majorEastAsia" w:cstheme="majorEastAsia"/>
          <w:b w:val="0"/>
          <w:bCs/>
          <w:sz w:val="24"/>
          <w:szCs w:val="24"/>
          <w:lang w:val="en-US" w:eastAsia="zh-CN"/>
        </w:rPr>
        <w:t>。在实际执行中，核查会优先向风险较高的企业倾斜。</w:t>
      </w:r>
    </w:p>
    <w:p w14:paraId="413430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4.核查内容</w:t>
      </w:r>
    </w:p>
    <w:p w14:paraId="24B88B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r>
        <w:rPr>
          <w:rFonts w:hint="default" w:asciiTheme="majorEastAsia" w:hAnsiTheme="majorEastAsia" w:eastAsiaTheme="majorEastAsia" w:cstheme="majorEastAsia"/>
          <w:b w:val="0"/>
          <w:bCs/>
          <w:sz w:val="24"/>
          <w:szCs w:val="24"/>
          <w:lang w:val="en-US" w:eastAsia="zh-CN"/>
        </w:rPr>
        <w:t>税务机关的事后管理，主要围绕研发活动的真实性与合规性展开，具体集中在以下四个维度：</w:t>
      </w:r>
    </w:p>
    <w:tbl>
      <w:tblPr>
        <w:tblStyle w:val="1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84"/>
        <w:gridCol w:w="3567"/>
        <w:gridCol w:w="3568"/>
      </w:tblGrid>
      <w:tr w14:paraId="42386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8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FFEA33">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核查维度</w:t>
            </w:r>
          </w:p>
        </w:tc>
        <w:tc>
          <w:tcPr>
            <w:tcW w:w="20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39D4FC">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具体内容</w:t>
            </w:r>
          </w:p>
        </w:tc>
        <w:tc>
          <w:tcPr>
            <w:tcW w:w="20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753563">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常见风险点</w:t>
            </w:r>
          </w:p>
        </w:tc>
      </w:tr>
      <w:tr w14:paraId="73566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8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9844AE">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研发活动定性核查</w:t>
            </w:r>
          </w:p>
        </w:tc>
        <w:tc>
          <w:tcPr>
            <w:tcW w:w="20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AEA3D2">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判断申报项目是否属于可加计扣除的研发活动，是否存在虚构研发项目、常规性升级冒充研发等情形</w:t>
            </w:r>
          </w:p>
        </w:tc>
        <w:tc>
          <w:tcPr>
            <w:tcW w:w="20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B42963">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项目属于产品常规升级、售后技术支持，不属于可加计扣除的研发活动</w:t>
            </w:r>
          </w:p>
        </w:tc>
      </w:tr>
      <w:tr w14:paraId="3D979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8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17706C">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费用归集准确性核查</w:t>
            </w:r>
          </w:p>
        </w:tc>
        <w:tc>
          <w:tcPr>
            <w:tcW w:w="20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5B876E">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核查六大类费用的归集范围和金额是否准确，是否将非研发费用混入研发费用</w:t>
            </w:r>
          </w:p>
        </w:tc>
        <w:tc>
          <w:tcPr>
            <w:tcW w:w="20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2AB225">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将行政/后勤人员工资、生产设备维修费混入研发费用；研发形成产品对外销售未冲减对应材料费用</w:t>
            </w:r>
          </w:p>
        </w:tc>
      </w:tr>
      <w:tr w14:paraId="3006A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8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53ED7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费用分摊合理性核查</w:t>
            </w:r>
          </w:p>
        </w:tc>
        <w:tc>
          <w:tcPr>
            <w:tcW w:w="20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90421E">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核查共用资源（人员、设备）在研发与非研发活动之间、各研发项目之间的分摊方法是否合理</w:t>
            </w:r>
          </w:p>
        </w:tc>
        <w:tc>
          <w:tcPr>
            <w:tcW w:w="20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FF56F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研发人员工时无明细，分摊比例随意估算；共用设备未按工时分摊折旧费用</w:t>
            </w:r>
          </w:p>
        </w:tc>
      </w:tr>
      <w:tr w14:paraId="74728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8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F7291C">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备查资料完整性核查</w:t>
            </w:r>
          </w:p>
        </w:tc>
        <w:tc>
          <w:tcPr>
            <w:tcW w:w="20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3DAED5">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核查留存备查资料是否齐全、合规，能否形成完整的证据链</w:t>
            </w:r>
          </w:p>
        </w:tc>
        <w:tc>
          <w:tcPr>
            <w:tcW w:w="20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8D4282">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未留存研发支出辅助账、费用分摊说明等关键资料</w:t>
            </w:r>
          </w:p>
        </w:tc>
      </w:tr>
    </w:tbl>
    <w:p w14:paraId="41776C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5.核查方式</w:t>
      </w:r>
    </w:p>
    <w:p w14:paraId="7274E6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税务机关主要通过以下手段进行核查：</w:t>
      </w:r>
    </w:p>
    <w:p w14:paraId="3C14A9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案头分析：利用大数据比对，开展风险扫描和预警分析，识别异常指标；</w:t>
      </w:r>
    </w:p>
    <w:p w14:paraId="10BF20A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实地核查：深入企业生产车间、研发实验室，查阅费用明细台账、设备使用记录等原始资料，与研发部门负责人交流，核实研发活动真实性和费用归集规范性；</w:t>
      </w:r>
    </w:p>
    <w:p w14:paraId="57AE1F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跨部门联动：税务部门联合科技部门，核查研发项目的真实性、知识产权与研发项目的关联性；</w:t>
      </w:r>
    </w:p>
    <w:p w14:paraId="27E664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项目鉴定：税务机关对企业享受加计扣除优惠的研发项目有异议的，可通过科技部门将项目资料送地市级（含）以上科技部门进行鉴定，鉴定时由3名以上相关领域的产业、技术、管理等专家参加。企业收到税务机关关于实施项目鉴定的《税</w:t>
      </w:r>
      <w:r>
        <w:rPr>
          <w:rFonts w:hint="eastAsia" w:ascii="宋体" w:hAnsi="宋体" w:eastAsia="宋体" w:cs="宋体"/>
          <w:b w:val="0"/>
          <w:i w:val="0"/>
          <w:strike w:val="0"/>
          <w:color w:val="auto"/>
          <w:kern w:val="0"/>
          <w:sz w:val="24"/>
          <w:szCs w:val="13"/>
          <w:u w:val="none"/>
          <w:lang w:val="en-US" w:eastAsia="zh-CN" w:bidi="ar"/>
        </w:rPr>
        <w:t>务事项通知书》后，</w:t>
      </w:r>
      <w:r>
        <w:rPr>
          <w:rFonts w:hint="eastAsia" w:asciiTheme="majorEastAsia" w:hAnsiTheme="majorEastAsia" w:eastAsiaTheme="majorEastAsia" w:cstheme="majorEastAsia"/>
          <w:b w:val="0"/>
          <w:bCs/>
          <w:sz w:val="24"/>
          <w:szCs w:val="24"/>
          <w:lang w:val="en-US" w:eastAsia="zh-CN"/>
        </w:rPr>
        <w:t>应当按照规定的期限和方式提供与鉴定相关的留存备查资料，以证实享受优惠事项符合条件。项目鉴定上报资料范围涵盖“4.6备查资料管理规则”所列内容。</w:t>
      </w:r>
    </w:p>
    <w:p w14:paraId="4D44A1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另外，部分省市还存在事前项目鉴定。为支持企业积极开展研发创新，享受到国家相关税收优惠政策，税务机关提供渠道支持企业按照国家法律法规有关规定，自主申请开展事前鉴定工作，规避后续可能存在申报政策但不符合研发创新活动所带来的隐患。</w:t>
      </w:r>
    </w:p>
    <w:p w14:paraId="792524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6.核查处理流程</w:t>
      </w:r>
    </w:p>
    <w:p w14:paraId="590230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从企业角度出发，事后核查处理主流程见《附录10-事后核查处理流程图》。</w:t>
      </w:r>
    </w:p>
    <w:p w14:paraId="038456BC">
      <w:pPr>
        <w:pStyle w:val="4"/>
        <w:keepNext w:val="0"/>
        <w:keepLines w:val="0"/>
        <w:pageBreakBefore w:val="0"/>
        <w:widowControl w:val="0"/>
        <w:kinsoku/>
        <w:wordWrap/>
        <w:overflowPunct/>
        <w:topLinePunct w:val="0"/>
        <w:autoSpaceDE/>
        <w:autoSpaceDN/>
        <w:bidi w:val="0"/>
        <w:adjustRightInd/>
        <w:snapToGrid/>
        <w:spacing w:before="0" w:beforeAutospacing="0" w:after="0" w:afterAutospacing="0" w:line="360" w:lineRule="auto"/>
        <w:textAlignment w:val="auto"/>
        <w:rPr>
          <w:rFonts w:hint="eastAsia"/>
          <w:sz w:val="24"/>
          <w:szCs w:val="24"/>
          <w:lang w:val="en-US" w:eastAsia="zh-CN"/>
        </w:rPr>
      </w:pPr>
      <w:r>
        <w:rPr>
          <w:rFonts w:hint="eastAsia"/>
          <w:sz w:val="24"/>
          <w:szCs w:val="24"/>
          <w:lang w:val="en-US" w:eastAsia="zh-CN"/>
        </w:rPr>
        <w:t>4.7.2优惠追溯期</w:t>
      </w:r>
    </w:p>
    <w:p w14:paraId="0396DE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r>
        <w:rPr>
          <w:rFonts w:hint="default" w:asciiTheme="majorEastAsia" w:hAnsiTheme="majorEastAsia" w:eastAsiaTheme="majorEastAsia" w:cstheme="majorEastAsia"/>
          <w:b w:val="0"/>
          <w:bCs/>
          <w:sz w:val="24"/>
          <w:szCs w:val="24"/>
          <w:lang w:val="en-US" w:eastAsia="zh-CN"/>
        </w:rPr>
        <w:t>企业符合财税</w:t>
      </w:r>
      <w:r>
        <w:rPr>
          <w:rFonts w:hint="eastAsia" w:asciiTheme="majorEastAsia" w:hAnsiTheme="majorEastAsia" w:eastAsiaTheme="majorEastAsia" w:cstheme="majorEastAsia"/>
          <w:b w:val="0"/>
          <w:bCs/>
          <w:sz w:val="24"/>
          <w:szCs w:val="24"/>
          <w:lang w:val="en-US" w:eastAsia="zh-CN"/>
        </w:rPr>
        <w:t>〔2015〕119号</w:t>
      </w:r>
      <w:r>
        <w:rPr>
          <w:rFonts w:hint="default" w:asciiTheme="majorEastAsia" w:hAnsiTheme="majorEastAsia" w:eastAsiaTheme="majorEastAsia" w:cstheme="majorEastAsia"/>
          <w:b w:val="0"/>
          <w:bCs/>
          <w:sz w:val="24"/>
          <w:szCs w:val="24"/>
          <w:lang w:val="en-US" w:eastAsia="zh-CN"/>
        </w:rPr>
        <w:t>规定的研发费用加计扣除条件而在2016年1月1日以后未及时享受该项税收优惠的，可以追溯享受，追溯期限最长为3年。</w:t>
      </w:r>
    </w:p>
    <w:p w14:paraId="636FFD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p>
    <w:p w14:paraId="1B255C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p>
    <w:p w14:paraId="1A5CA6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p>
    <w:p w14:paraId="5BF356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p>
    <w:p w14:paraId="65A9CF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p>
    <w:p w14:paraId="472D4E26">
      <w:pPr>
        <w:pStyle w:val="2"/>
        <w:keepNext/>
        <w:keepLines/>
        <w:pageBreakBefore w:val="0"/>
        <w:widowControl w:val="0"/>
        <w:kinsoku/>
        <w:wordWrap/>
        <w:overflowPunct/>
        <w:topLinePunct w:val="0"/>
        <w:autoSpaceDE/>
        <w:autoSpaceDN/>
        <w:bidi w:val="0"/>
        <w:adjustRightInd/>
        <w:snapToGrid/>
        <w:spacing w:before="200" w:after="200" w:line="240" w:lineRule="auto"/>
        <w:textAlignment w:val="auto"/>
        <w:rPr>
          <w:rFonts w:hint="default"/>
          <w:b/>
          <w:sz w:val="30"/>
          <w:szCs w:val="30"/>
          <w:lang w:val="en-US" w:eastAsia="zh-CN"/>
        </w:rPr>
      </w:pPr>
      <w:bookmarkStart w:id="33" w:name="_Toc17862"/>
      <w:r>
        <w:rPr>
          <w:rFonts w:hint="eastAsia"/>
          <w:b/>
          <w:sz w:val="30"/>
          <w:szCs w:val="30"/>
          <w:lang w:val="en-US" w:eastAsia="zh-CN"/>
        </w:rPr>
        <w:t>五、业务流程需求</w:t>
      </w:r>
      <w:bookmarkEnd w:id="33"/>
    </w:p>
    <w:p w14:paraId="790FE080">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28"/>
          <w:szCs w:val="28"/>
          <w:lang w:val="en-US" w:eastAsia="zh-CN"/>
        </w:rPr>
      </w:pPr>
      <w:bookmarkStart w:id="34" w:name="_Toc31110"/>
      <w:r>
        <w:rPr>
          <w:rFonts w:hint="eastAsia" w:asciiTheme="majorEastAsia" w:hAnsiTheme="majorEastAsia" w:eastAsiaTheme="majorEastAsia" w:cstheme="majorEastAsia"/>
          <w:sz w:val="28"/>
          <w:szCs w:val="28"/>
          <w:lang w:val="en-US" w:eastAsia="zh-CN"/>
        </w:rPr>
        <w:t>5.1 整体业务流程</w:t>
      </w:r>
      <w:bookmarkEnd w:id="34"/>
    </w:p>
    <w:p w14:paraId="23514A48">
      <w:pPr>
        <w:rPr>
          <w:rFonts w:hint="eastAsia" w:asciiTheme="majorEastAsia" w:hAnsiTheme="majorEastAsia" w:eastAsiaTheme="majorEastAsia" w:cstheme="majorEastAsia"/>
          <w:sz w:val="28"/>
          <w:szCs w:val="28"/>
          <w:lang w:val="en-US" w:eastAsia="zh-CN"/>
        </w:rPr>
      </w:pPr>
      <w:r>
        <w:drawing>
          <wp:inline distT="0" distB="0" distL="114300" distR="114300">
            <wp:extent cx="5274310" cy="5240020"/>
            <wp:effectExtent l="0" t="0" r="2540"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stretch>
                      <a:fillRect/>
                    </a:stretch>
                  </pic:blipFill>
                  <pic:spPr>
                    <a:xfrm>
                      <a:off x="0" y="0"/>
                      <a:ext cx="5274310" cy="5240020"/>
                    </a:xfrm>
                    <a:prstGeom prst="rect">
                      <a:avLst/>
                    </a:prstGeom>
                    <a:noFill/>
                    <a:ln>
                      <a:noFill/>
                    </a:ln>
                  </pic:spPr>
                </pic:pic>
              </a:graphicData>
            </a:graphic>
          </wp:inline>
        </w:drawing>
      </w:r>
    </w:p>
    <w:p w14:paraId="572A97A9">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heme="majorEastAsia" w:hAnsiTheme="majorEastAsia" w:eastAsiaTheme="majorEastAsia" w:cstheme="majorEastAsia"/>
          <w:sz w:val="28"/>
          <w:szCs w:val="28"/>
          <w:lang w:val="en-US" w:eastAsia="zh-CN"/>
        </w:rPr>
      </w:pPr>
      <w:bookmarkStart w:id="35" w:name="_Toc18004"/>
      <w:r>
        <w:rPr>
          <w:rFonts w:hint="eastAsia" w:asciiTheme="majorEastAsia" w:hAnsiTheme="majorEastAsia" w:eastAsiaTheme="majorEastAsia" w:cstheme="majorEastAsia"/>
          <w:sz w:val="28"/>
          <w:szCs w:val="28"/>
          <w:lang w:val="en-US" w:eastAsia="zh-CN"/>
        </w:rPr>
        <w:t>5.2分项业务流程</w:t>
      </w:r>
      <w:bookmarkEnd w:id="35"/>
    </w:p>
    <w:p w14:paraId="674426AC">
      <w:pPr>
        <w:keepNext w:val="0"/>
        <w:keepLines w:val="0"/>
        <w:pageBreakBefore w:val="0"/>
        <w:widowControl w:val="0"/>
        <w:numPr>
          <w:ilvl w:val="0"/>
          <w:numId w:val="2"/>
        </w:numPr>
        <w:kinsoku/>
        <w:wordWrap/>
        <w:overflowPunct/>
        <w:topLinePunct w:val="0"/>
        <w:autoSpaceDE/>
        <w:autoSpaceDN/>
        <w:bidi w:val="0"/>
        <w:adjustRightInd/>
        <w:snapToGrid/>
        <w:spacing w:before="0" w:line="360" w:lineRule="auto"/>
        <w:ind w:left="0" w:firstLine="482" w:firstLineChars="200"/>
        <w:textAlignment w:val="auto"/>
        <w:rPr>
          <w:sz w:val="24"/>
          <w:szCs w:val="24"/>
        </w:rPr>
      </w:pPr>
      <w:r>
        <w:rPr>
          <w:b/>
          <w:sz w:val="24"/>
          <w:szCs w:val="24"/>
        </w:rPr>
        <w:t>项目立项流程</w:t>
      </w:r>
      <w:r>
        <w:rPr>
          <w:sz w:val="24"/>
          <w:szCs w:val="24"/>
        </w:rPr>
        <w:t>：申请→技术评审→财务评审→管理层审批→立项建档</w:t>
      </w:r>
    </w:p>
    <w:p w14:paraId="1039FD6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firstLine="482" w:firstLineChars="200"/>
        <w:textAlignment w:val="auto"/>
        <w:rPr>
          <w:sz w:val="24"/>
          <w:szCs w:val="24"/>
        </w:rPr>
      </w:pPr>
      <w:r>
        <w:rPr>
          <w:b/>
          <w:sz w:val="24"/>
          <w:szCs w:val="24"/>
        </w:rPr>
        <w:t>费用归集流程</w:t>
      </w:r>
      <w:r>
        <w:rPr>
          <w:sz w:val="24"/>
          <w:szCs w:val="24"/>
        </w:rPr>
        <w:t>：日常费用发生→费用识别与标记→归集与分摊→辅助账登记</w:t>
      </w:r>
    </w:p>
    <w:p w14:paraId="720DC1F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firstLine="482" w:firstLineChars="200"/>
        <w:textAlignment w:val="auto"/>
        <w:rPr>
          <w:sz w:val="24"/>
          <w:szCs w:val="24"/>
        </w:rPr>
      </w:pPr>
      <w:r>
        <w:rPr>
          <w:b/>
          <w:sz w:val="24"/>
          <w:szCs w:val="24"/>
        </w:rPr>
        <w:t>辅助账管理流程</w:t>
      </w:r>
      <w:r>
        <w:rPr>
          <w:sz w:val="24"/>
          <w:szCs w:val="24"/>
        </w:rPr>
        <w:t>：月度归集→季度汇总→年度结转→辅助账输出</w:t>
      </w:r>
    </w:p>
    <w:p w14:paraId="50048E6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firstLine="482" w:firstLineChars="200"/>
        <w:textAlignment w:val="auto"/>
        <w:rPr>
          <w:sz w:val="24"/>
          <w:szCs w:val="24"/>
        </w:rPr>
      </w:pPr>
      <w:r>
        <w:rPr>
          <w:b/>
          <w:sz w:val="24"/>
          <w:szCs w:val="24"/>
        </w:rPr>
        <w:t>加计扣除计算流程</w:t>
      </w:r>
      <w:r>
        <w:rPr>
          <w:sz w:val="24"/>
          <w:szCs w:val="24"/>
        </w:rPr>
        <w:t>：费用归集完成→加计扣除比例适用判定→金额计算→校验</w:t>
      </w:r>
    </w:p>
    <w:p w14:paraId="43E3382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firstLine="482" w:firstLineChars="200"/>
        <w:textAlignment w:val="auto"/>
        <w:rPr>
          <w:sz w:val="24"/>
          <w:szCs w:val="24"/>
        </w:rPr>
      </w:pPr>
      <w:r>
        <w:rPr>
          <w:b/>
          <w:sz w:val="24"/>
          <w:szCs w:val="24"/>
        </w:rPr>
        <w:t>申报准备流程</w:t>
      </w:r>
      <w:r>
        <w:rPr>
          <w:sz w:val="24"/>
          <w:szCs w:val="24"/>
        </w:rPr>
        <w:t>：数据准备→内部审核→税务师/审计复核→申报表生成</w:t>
      </w:r>
    </w:p>
    <w:p w14:paraId="7D313919">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0" w:firstLine="482" w:firstLineChars="200"/>
        <w:textAlignment w:val="auto"/>
        <w:rPr>
          <w:sz w:val="24"/>
          <w:szCs w:val="24"/>
        </w:rPr>
      </w:pPr>
      <w:r>
        <w:rPr>
          <w:b/>
          <w:sz w:val="24"/>
          <w:szCs w:val="24"/>
        </w:rPr>
        <w:t>备查资料归档流程</w:t>
      </w:r>
      <w:r>
        <w:rPr>
          <w:sz w:val="24"/>
          <w:szCs w:val="24"/>
        </w:rPr>
        <w:t>：资料收集→完整性检查→电子归档→索引建立</w:t>
      </w:r>
    </w:p>
    <w:p w14:paraId="4A1EDF06">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0" w:firstLine="482" w:firstLineChars="200"/>
        <w:textAlignment w:val="auto"/>
        <w:rPr>
          <w:sz w:val="24"/>
          <w:szCs w:val="24"/>
        </w:rPr>
      </w:pPr>
      <w:r>
        <w:rPr>
          <w:b/>
          <w:bCs/>
          <w:sz w:val="24"/>
          <w:szCs w:val="24"/>
        </w:rPr>
        <w:t>税务稽查应对流程</w:t>
      </w:r>
      <w:r>
        <w:rPr>
          <w:rFonts w:hint="eastAsia"/>
          <w:sz w:val="24"/>
          <w:szCs w:val="24"/>
          <w:lang w:eastAsia="zh-CN"/>
        </w:rPr>
        <w:t>：</w:t>
      </w:r>
      <w:r>
        <w:rPr>
          <w:rFonts w:hint="eastAsia"/>
          <w:sz w:val="24"/>
          <w:szCs w:val="24"/>
          <w:lang w:val="en-US" w:eastAsia="zh-CN"/>
        </w:rPr>
        <w:t>内部响应</w:t>
      </w:r>
      <w:r>
        <w:rPr>
          <w:sz w:val="24"/>
          <w:szCs w:val="24"/>
        </w:rPr>
        <w:t>→</w:t>
      </w:r>
      <w:r>
        <w:rPr>
          <w:rFonts w:hint="eastAsia"/>
          <w:sz w:val="24"/>
          <w:szCs w:val="24"/>
          <w:lang w:val="en-US" w:eastAsia="zh-CN"/>
        </w:rPr>
        <w:t>整理资料</w:t>
      </w:r>
      <w:r>
        <w:rPr>
          <w:sz w:val="24"/>
          <w:szCs w:val="24"/>
        </w:rPr>
        <w:t>→</w:t>
      </w:r>
      <w:r>
        <w:rPr>
          <w:rFonts w:hint="eastAsia"/>
          <w:sz w:val="24"/>
          <w:szCs w:val="24"/>
          <w:lang w:eastAsia="zh-CN"/>
        </w:rPr>
        <w:t>税务</w:t>
      </w:r>
      <w:r>
        <w:rPr>
          <w:rFonts w:hint="eastAsia"/>
          <w:sz w:val="24"/>
          <w:szCs w:val="24"/>
          <w:lang w:val="en-US" w:eastAsia="zh-CN"/>
        </w:rPr>
        <w:t>局审核</w:t>
      </w:r>
      <w:r>
        <w:rPr>
          <w:sz w:val="24"/>
          <w:szCs w:val="24"/>
        </w:rPr>
        <w:t>→</w:t>
      </w:r>
      <w:r>
        <w:rPr>
          <w:rFonts w:hint="eastAsia"/>
          <w:sz w:val="24"/>
          <w:szCs w:val="24"/>
          <w:lang w:val="en-US" w:eastAsia="zh-CN"/>
        </w:rPr>
        <w:t>核查结论</w:t>
      </w:r>
      <w:r>
        <w:rPr>
          <w:sz w:val="24"/>
          <w:szCs w:val="24"/>
        </w:rPr>
        <w:t>→</w:t>
      </w:r>
      <w:r>
        <w:rPr>
          <w:rFonts w:hint="eastAsia"/>
          <w:sz w:val="24"/>
          <w:szCs w:val="24"/>
          <w:lang w:val="en-US" w:eastAsia="zh-CN"/>
        </w:rPr>
        <w:t>后续整改</w:t>
      </w:r>
    </w:p>
    <w:p w14:paraId="20E2681C">
      <w:pPr>
        <w:pStyle w:val="2"/>
        <w:keepNext/>
        <w:keepLines/>
        <w:pageBreakBefore w:val="0"/>
        <w:widowControl w:val="0"/>
        <w:kinsoku/>
        <w:wordWrap/>
        <w:overflowPunct/>
        <w:topLinePunct w:val="0"/>
        <w:autoSpaceDE/>
        <w:autoSpaceDN/>
        <w:bidi w:val="0"/>
        <w:adjustRightInd/>
        <w:snapToGrid/>
        <w:spacing w:before="200" w:after="200" w:line="240" w:lineRule="auto"/>
        <w:textAlignment w:val="auto"/>
        <w:rPr>
          <w:rFonts w:hint="eastAsia"/>
          <w:b/>
          <w:sz w:val="30"/>
          <w:szCs w:val="30"/>
          <w:lang w:val="en-US" w:eastAsia="zh-CN"/>
        </w:rPr>
      </w:pPr>
      <w:bookmarkStart w:id="36" w:name="_Toc16493"/>
      <w:r>
        <w:rPr>
          <w:rFonts w:hint="eastAsia"/>
          <w:b/>
          <w:sz w:val="30"/>
          <w:szCs w:val="30"/>
          <w:lang w:val="en-US" w:eastAsia="zh-CN"/>
        </w:rPr>
        <w:t>六、报表与信息输出需求</w:t>
      </w:r>
      <w:bookmarkEnd w:id="36"/>
    </w:p>
    <w:p w14:paraId="42F9CE78">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28"/>
          <w:szCs w:val="28"/>
          <w:lang w:val="en-US" w:eastAsia="zh-CN"/>
        </w:rPr>
      </w:pPr>
      <w:bookmarkStart w:id="37" w:name="_Toc9859"/>
      <w:r>
        <w:rPr>
          <w:rFonts w:hint="eastAsia" w:asciiTheme="majorEastAsia" w:hAnsiTheme="majorEastAsia" w:eastAsiaTheme="majorEastAsia" w:cstheme="majorEastAsia"/>
          <w:sz w:val="28"/>
          <w:szCs w:val="28"/>
          <w:lang w:val="en-US" w:eastAsia="zh-CN"/>
        </w:rPr>
        <w:t>6.1法定报表</w:t>
      </w:r>
      <w:bookmarkEnd w:id="37"/>
    </w:p>
    <w:p w14:paraId="44D11A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研发支出辅助账（按项目/按年度）</w:t>
      </w:r>
    </w:p>
    <w:p w14:paraId="296904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研发支出辅助账汇总表</w:t>
      </w:r>
    </w:p>
    <w:p w14:paraId="0A907C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A107012《研发费用加计扣除优惠明细表》（预缴/汇算）</w:t>
      </w:r>
    </w:p>
    <w:p w14:paraId="0082DEDB">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28"/>
          <w:szCs w:val="28"/>
          <w:lang w:val="en-US" w:eastAsia="zh-CN"/>
        </w:rPr>
      </w:pPr>
      <w:bookmarkStart w:id="38" w:name="_Toc21836"/>
      <w:r>
        <w:rPr>
          <w:rFonts w:hint="eastAsia" w:asciiTheme="majorEastAsia" w:hAnsiTheme="majorEastAsia" w:eastAsiaTheme="majorEastAsia" w:cstheme="majorEastAsia"/>
          <w:sz w:val="28"/>
          <w:szCs w:val="28"/>
          <w:lang w:val="en-US" w:eastAsia="zh-CN"/>
        </w:rPr>
        <w:t>6.2管理分析报表</w:t>
      </w:r>
      <w:bookmarkEnd w:id="38"/>
    </w:p>
    <w:p w14:paraId="581E79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研发费用结构分析（按项目/按部门/按费用类型）</w:t>
      </w:r>
    </w:p>
    <w:p w14:paraId="5923B8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加计扣除优惠效益测算（节税金额、有效税率影响）</w:t>
      </w:r>
    </w:p>
    <w:p w14:paraId="2FE86FEF">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28"/>
          <w:szCs w:val="28"/>
          <w:lang w:val="en-US" w:eastAsia="zh-CN"/>
        </w:rPr>
      </w:pPr>
      <w:bookmarkStart w:id="39" w:name="_Toc19267"/>
      <w:r>
        <w:rPr>
          <w:rFonts w:hint="eastAsia" w:asciiTheme="majorEastAsia" w:hAnsiTheme="majorEastAsia" w:eastAsiaTheme="majorEastAsia" w:cstheme="majorEastAsia"/>
          <w:sz w:val="28"/>
          <w:szCs w:val="28"/>
          <w:lang w:val="en-US" w:eastAsia="zh-CN"/>
        </w:rPr>
        <w:t>6.3风险监控报表</w:t>
      </w:r>
      <w:bookmarkEnd w:id="39"/>
    </w:p>
    <w:p w14:paraId="76B27C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备查资料完整性检查报告</w:t>
      </w:r>
    </w:p>
    <w:p w14:paraId="7CE007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政策适用合规性评估报告(AI辅助判定）</w:t>
      </w:r>
    </w:p>
    <w:p w14:paraId="7B77BD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负面清单自动筛查机制</w:t>
      </w:r>
    </w:p>
    <w:p w14:paraId="06D0DE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异常指标预警清单（研发费用占比、人员占比、其他费用占比）</w:t>
      </w:r>
    </w:p>
    <w:p w14:paraId="043654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税务稽查高风险事项监控（如委托研发合同未登记、人员人工异常波动）</w:t>
      </w:r>
    </w:p>
    <w:p w14:paraId="1E9976E9">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28"/>
          <w:szCs w:val="28"/>
          <w:lang w:val="en-US" w:eastAsia="zh-CN"/>
        </w:rPr>
      </w:pPr>
      <w:bookmarkStart w:id="40" w:name="_Toc12827"/>
      <w:r>
        <w:rPr>
          <w:rFonts w:hint="eastAsia" w:asciiTheme="majorEastAsia" w:hAnsiTheme="majorEastAsia" w:eastAsiaTheme="majorEastAsia" w:cstheme="majorEastAsia"/>
          <w:sz w:val="28"/>
          <w:szCs w:val="28"/>
          <w:lang w:val="en-US" w:eastAsia="zh-CN"/>
        </w:rPr>
        <w:t>6.4稽查应对支持</w:t>
      </w:r>
      <w:bookmarkEnd w:id="40"/>
    </w:p>
    <w:p w14:paraId="764A13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新建和管理事后核查任务，灵活设置任务环节信息</w:t>
      </w:r>
    </w:p>
    <w:p w14:paraId="3A0DD8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快速资料包生成（按项目/按年度）</w:t>
      </w:r>
    </w:p>
    <w:p w14:paraId="025B8F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数据溯源路径展示</w:t>
      </w:r>
    </w:p>
    <w:p w14:paraId="6CE2CE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情况说明模板（灵活可配）</w:t>
      </w:r>
    </w:p>
    <w:p w14:paraId="4586CD22">
      <w:pPr>
        <w:pStyle w:val="2"/>
        <w:keepNext/>
        <w:keepLines/>
        <w:pageBreakBefore w:val="0"/>
        <w:widowControl w:val="0"/>
        <w:kinsoku/>
        <w:wordWrap/>
        <w:overflowPunct/>
        <w:topLinePunct w:val="0"/>
        <w:autoSpaceDE/>
        <w:autoSpaceDN/>
        <w:bidi w:val="0"/>
        <w:adjustRightInd/>
        <w:snapToGrid/>
        <w:spacing w:before="200" w:after="200" w:line="240" w:lineRule="auto"/>
        <w:textAlignment w:val="auto"/>
        <w:rPr>
          <w:rFonts w:hint="eastAsia"/>
          <w:b/>
          <w:sz w:val="30"/>
          <w:szCs w:val="30"/>
          <w:lang w:val="en-US" w:eastAsia="zh-CN"/>
        </w:rPr>
      </w:pPr>
      <w:bookmarkStart w:id="41" w:name="_Toc29765"/>
      <w:r>
        <w:rPr>
          <w:rFonts w:hint="eastAsia"/>
          <w:b/>
          <w:sz w:val="30"/>
          <w:szCs w:val="30"/>
          <w:lang w:val="en-US" w:eastAsia="zh-CN"/>
        </w:rPr>
        <w:t>七、系统集成需求</w:t>
      </w:r>
      <w:bookmarkEnd w:id="41"/>
    </w:p>
    <w:p w14:paraId="5D33F3D8">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28"/>
          <w:szCs w:val="28"/>
          <w:lang w:val="en-US" w:eastAsia="zh-CN"/>
        </w:rPr>
      </w:pPr>
      <w:bookmarkStart w:id="42" w:name="_Toc5860"/>
      <w:r>
        <w:rPr>
          <w:rFonts w:hint="eastAsia" w:asciiTheme="majorEastAsia" w:hAnsiTheme="majorEastAsia" w:eastAsiaTheme="majorEastAsia" w:cstheme="majorEastAsia"/>
          <w:sz w:val="28"/>
          <w:szCs w:val="28"/>
          <w:lang w:val="en-US" w:eastAsia="zh-CN"/>
        </w:rPr>
        <w:t>7.1上游系统</w:t>
      </w:r>
      <w:bookmarkEnd w:id="42"/>
    </w:p>
    <w:p w14:paraId="6563840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840" w:leftChars="0" w:hanging="420" w:firstLineChars="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财务核算系统：获取会计凭证、科目余额、资产卡片</w:t>
      </w:r>
    </w:p>
    <w:p w14:paraId="687790E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840" w:leftChars="0" w:hanging="420" w:firstLineChars="0"/>
        <w:textAlignment w:val="auto"/>
        <w:rPr>
          <w:rFonts w:hint="default"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财务预算系统：获取财务预算信息</w:t>
      </w:r>
    </w:p>
    <w:p w14:paraId="65A1C3F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840" w:leftChars="0" w:hanging="420" w:firstLineChars="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人力资源系统：获取人员信息、部门架构、薪酬数据、考勤/工时</w:t>
      </w:r>
    </w:p>
    <w:p w14:paraId="7E6DF57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840" w:leftChars="0" w:hanging="420" w:firstLineChars="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项目管理系统：获取项目立项信息、进度、预算</w:t>
      </w:r>
    </w:p>
    <w:p w14:paraId="1D05857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840" w:leftChars="0" w:hanging="420" w:firstLineChars="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采购/资产系统：获取设备采购、领用信息</w:t>
      </w:r>
    </w:p>
    <w:p w14:paraId="178021C6">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heme="majorEastAsia" w:hAnsiTheme="majorEastAsia" w:eastAsiaTheme="majorEastAsia" w:cstheme="majorEastAsia"/>
          <w:sz w:val="28"/>
          <w:szCs w:val="28"/>
          <w:lang w:val="en-US" w:eastAsia="zh-CN"/>
        </w:rPr>
      </w:pPr>
      <w:bookmarkStart w:id="43" w:name="_Toc19493"/>
      <w:r>
        <w:rPr>
          <w:rFonts w:hint="eastAsia" w:asciiTheme="majorEastAsia" w:hAnsiTheme="majorEastAsia" w:eastAsiaTheme="majorEastAsia" w:cstheme="majorEastAsia"/>
          <w:sz w:val="28"/>
          <w:szCs w:val="28"/>
          <w:lang w:val="en-US" w:eastAsia="zh-CN"/>
        </w:rPr>
        <w:t>7.2下游系统</w:t>
      </w:r>
      <w:bookmarkEnd w:id="43"/>
    </w:p>
    <w:p w14:paraId="0BD3DF4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840" w:leftChars="0" w:hanging="420" w:firstLineChars="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税务申报系统：推送申报数据</w:t>
      </w:r>
    </w:p>
    <w:p w14:paraId="2A1255C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840" w:leftChars="0" w:hanging="420" w:firstLineChars="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电子档案系统：归档备查资料</w:t>
      </w:r>
    </w:p>
    <w:p w14:paraId="4F1C646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840" w:leftChars="0" w:hanging="420" w:firstLineChars="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管理驾驶舱/BI系统：推送分析指标</w:t>
      </w:r>
    </w:p>
    <w:p w14:paraId="75373FFC">
      <w:pPr>
        <w:pStyle w:val="2"/>
        <w:keepNext/>
        <w:keepLines/>
        <w:pageBreakBefore w:val="0"/>
        <w:widowControl w:val="0"/>
        <w:kinsoku/>
        <w:wordWrap/>
        <w:overflowPunct/>
        <w:topLinePunct w:val="0"/>
        <w:autoSpaceDE/>
        <w:autoSpaceDN/>
        <w:bidi w:val="0"/>
        <w:adjustRightInd/>
        <w:snapToGrid/>
        <w:spacing w:before="200" w:after="200" w:line="240" w:lineRule="auto"/>
        <w:textAlignment w:val="auto"/>
        <w:rPr>
          <w:rFonts w:hint="eastAsia"/>
          <w:b/>
          <w:sz w:val="30"/>
          <w:szCs w:val="30"/>
          <w:lang w:val="en-US" w:eastAsia="zh-CN"/>
        </w:rPr>
      </w:pPr>
      <w:bookmarkStart w:id="44" w:name="_Toc3000"/>
      <w:r>
        <w:rPr>
          <w:rFonts w:hint="eastAsia"/>
          <w:b/>
          <w:sz w:val="30"/>
          <w:szCs w:val="30"/>
          <w:lang w:val="en-US" w:eastAsia="zh-CN"/>
        </w:rPr>
        <w:t>八、组织与职责要求</w:t>
      </w:r>
      <w:bookmarkEnd w:id="44"/>
    </w:p>
    <w:p w14:paraId="5CFE44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角色及职责</w:t>
      </w:r>
    </w:p>
    <w:p w14:paraId="7E7F2B41">
      <w:pPr>
        <w:keepNext w:val="0"/>
        <w:keepLines w:val="0"/>
        <w:pageBreakBefore w:val="0"/>
        <w:widowControl w:val="0"/>
        <w:numPr>
          <w:ilvl w:val="0"/>
          <w:numId w:val="4"/>
        </w:numPr>
        <w:kinsoku/>
        <w:wordWrap/>
        <w:overflowPunct/>
        <w:topLinePunct w:val="0"/>
        <w:autoSpaceDE/>
        <w:autoSpaceDN/>
        <w:bidi w:val="0"/>
        <w:adjustRightInd/>
        <w:snapToGrid/>
        <w:spacing w:after="0" w:line="360" w:lineRule="auto"/>
        <w:ind w:left="726" w:hanging="363"/>
        <w:textAlignment w:val="auto"/>
        <w:rPr>
          <w:rFonts w:hint="eastAsia"/>
          <w:sz w:val="24"/>
          <w:szCs w:val="24"/>
          <w:lang w:val="en-US" w:eastAsia="zh-CN"/>
        </w:rPr>
      </w:pPr>
      <w:r>
        <w:rPr>
          <w:rFonts w:hint="eastAsia"/>
          <w:sz w:val="24"/>
          <w:szCs w:val="24"/>
          <w:lang w:val="en-US" w:eastAsia="zh-CN"/>
        </w:rPr>
        <w:t>研发项目管理员：项目立项、进度维护、技术资料管理</w:t>
      </w:r>
    </w:p>
    <w:p w14:paraId="40D0D71D">
      <w:pPr>
        <w:keepNext w:val="0"/>
        <w:keepLines w:val="0"/>
        <w:pageBreakBefore w:val="0"/>
        <w:widowControl w:val="0"/>
        <w:numPr>
          <w:ilvl w:val="0"/>
          <w:numId w:val="4"/>
        </w:numPr>
        <w:kinsoku/>
        <w:wordWrap/>
        <w:overflowPunct/>
        <w:topLinePunct w:val="0"/>
        <w:autoSpaceDE/>
        <w:autoSpaceDN/>
        <w:bidi w:val="0"/>
        <w:adjustRightInd/>
        <w:snapToGrid/>
        <w:spacing w:after="0" w:line="360" w:lineRule="auto"/>
        <w:ind w:left="726" w:hanging="363"/>
        <w:textAlignment w:val="auto"/>
        <w:rPr>
          <w:rFonts w:hint="eastAsia"/>
          <w:sz w:val="24"/>
          <w:szCs w:val="24"/>
          <w:lang w:val="en-US" w:eastAsia="zh-CN"/>
        </w:rPr>
      </w:pPr>
      <w:r>
        <w:rPr>
          <w:rFonts w:hint="eastAsia"/>
          <w:sz w:val="24"/>
          <w:szCs w:val="24"/>
          <w:lang w:val="en-US" w:eastAsia="zh-CN"/>
        </w:rPr>
        <w:t>研发费用会计：费用归集、分摊计算、辅助账编制</w:t>
      </w:r>
    </w:p>
    <w:p w14:paraId="0DE0CBD6">
      <w:pPr>
        <w:keepNext w:val="0"/>
        <w:keepLines w:val="0"/>
        <w:pageBreakBefore w:val="0"/>
        <w:widowControl w:val="0"/>
        <w:numPr>
          <w:ilvl w:val="0"/>
          <w:numId w:val="4"/>
        </w:numPr>
        <w:kinsoku/>
        <w:wordWrap/>
        <w:overflowPunct/>
        <w:topLinePunct w:val="0"/>
        <w:autoSpaceDE/>
        <w:autoSpaceDN/>
        <w:bidi w:val="0"/>
        <w:adjustRightInd/>
        <w:snapToGrid/>
        <w:spacing w:after="0" w:line="360" w:lineRule="auto"/>
        <w:ind w:left="726" w:hanging="363"/>
        <w:textAlignment w:val="auto"/>
        <w:rPr>
          <w:rFonts w:hint="eastAsia"/>
          <w:sz w:val="24"/>
          <w:szCs w:val="24"/>
          <w:lang w:val="en-US" w:eastAsia="zh-CN"/>
        </w:rPr>
      </w:pPr>
      <w:r>
        <w:rPr>
          <w:rFonts w:hint="eastAsia"/>
          <w:sz w:val="24"/>
          <w:szCs w:val="24"/>
          <w:lang w:val="en-US" w:eastAsia="zh-CN"/>
        </w:rPr>
        <w:t>税务专员：政策适用判定、申报数据审核、风险监控</w:t>
      </w:r>
    </w:p>
    <w:p w14:paraId="0BF42780">
      <w:pPr>
        <w:keepNext w:val="0"/>
        <w:keepLines w:val="0"/>
        <w:pageBreakBefore w:val="0"/>
        <w:widowControl w:val="0"/>
        <w:numPr>
          <w:ilvl w:val="0"/>
          <w:numId w:val="4"/>
        </w:numPr>
        <w:kinsoku/>
        <w:wordWrap/>
        <w:overflowPunct/>
        <w:topLinePunct w:val="0"/>
        <w:autoSpaceDE/>
        <w:autoSpaceDN/>
        <w:bidi w:val="0"/>
        <w:adjustRightInd/>
        <w:snapToGrid/>
        <w:spacing w:after="0" w:line="360" w:lineRule="auto"/>
        <w:ind w:left="726" w:hanging="363"/>
        <w:textAlignment w:val="auto"/>
        <w:rPr>
          <w:rFonts w:hint="eastAsia"/>
          <w:sz w:val="24"/>
          <w:szCs w:val="24"/>
          <w:lang w:val="en-US" w:eastAsia="zh-CN"/>
        </w:rPr>
      </w:pPr>
      <w:r>
        <w:rPr>
          <w:rFonts w:hint="eastAsia"/>
          <w:sz w:val="24"/>
          <w:szCs w:val="24"/>
          <w:lang w:val="en-US" w:eastAsia="zh-CN"/>
        </w:rPr>
        <w:t>财务经理/总监：审批、报表审阅、稽查应对决策</w:t>
      </w:r>
    </w:p>
    <w:p w14:paraId="6827CD55">
      <w:pPr>
        <w:keepNext w:val="0"/>
        <w:keepLines w:val="0"/>
        <w:pageBreakBefore w:val="0"/>
        <w:widowControl w:val="0"/>
        <w:numPr>
          <w:ilvl w:val="0"/>
          <w:numId w:val="4"/>
        </w:numPr>
        <w:kinsoku/>
        <w:wordWrap/>
        <w:overflowPunct/>
        <w:topLinePunct w:val="0"/>
        <w:autoSpaceDE/>
        <w:autoSpaceDN/>
        <w:bidi w:val="0"/>
        <w:adjustRightInd/>
        <w:snapToGrid/>
        <w:spacing w:after="0" w:line="360" w:lineRule="auto"/>
        <w:ind w:left="726" w:hanging="363"/>
        <w:textAlignment w:val="auto"/>
        <w:rPr>
          <w:sz w:val="24"/>
          <w:szCs w:val="24"/>
        </w:rPr>
      </w:pPr>
      <w:r>
        <w:rPr>
          <w:sz w:val="24"/>
          <w:szCs w:val="24"/>
        </w:rPr>
        <w:t>管理层：重大事项审批、优惠效益分析</w:t>
      </w:r>
    </w:p>
    <w:p w14:paraId="682F4784">
      <w:pPr>
        <w:keepNext w:val="0"/>
        <w:keepLines w:val="0"/>
        <w:pageBreakBefore w:val="0"/>
        <w:widowControl w:val="0"/>
        <w:numPr>
          <w:ilvl w:val="0"/>
          <w:numId w:val="4"/>
        </w:numPr>
        <w:kinsoku/>
        <w:wordWrap/>
        <w:overflowPunct/>
        <w:topLinePunct w:val="0"/>
        <w:autoSpaceDE/>
        <w:autoSpaceDN/>
        <w:bidi w:val="0"/>
        <w:adjustRightInd/>
        <w:snapToGrid/>
        <w:spacing w:after="0" w:line="360" w:lineRule="auto"/>
        <w:ind w:left="726" w:hanging="363"/>
        <w:textAlignment w:val="auto"/>
        <w:rPr>
          <w:rFonts w:hint="eastAsia"/>
          <w:sz w:val="24"/>
          <w:szCs w:val="24"/>
          <w:lang w:val="en-US" w:eastAsia="zh-CN"/>
        </w:rPr>
      </w:pPr>
      <w:r>
        <w:rPr>
          <w:rFonts w:hint="eastAsia"/>
          <w:sz w:val="24"/>
          <w:szCs w:val="24"/>
          <w:lang w:val="en-US" w:eastAsia="zh-CN"/>
        </w:rPr>
        <w:t>系统管理员：基础数据维护、权限配置、规则配置</w:t>
      </w:r>
    </w:p>
    <w:p w14:paraId="1AF63F0D">
      <w:pPr>
        <w:pStyle w:val="2"/>
        <w:keepNext/>
        <w:keepLines/>
        <w:pageBreakBefore w:val="0"/>
        <w:widowControl w:val="0"/>
        <w:kinsoku/>
        <w:wordWrap/>
        <w:overflowPunct/>
        <w:topLinePunct w:val="0"/>
        <w:autoSpaceDE/>
        <w:autoSpaceDN/>
        <w:bidi w:val="0"/>
        <w:adjustRightInd/>
        <w:snapToGrid/>
        <w:spacing w:before="200" w:after="200" w:line="240" w:lineRule="auto"/>
        <w:textAlignment w:val="auto"/>
        <w:rPr>
          <w:rFonts w:hint="eastAsia"/>
          <w:b/>
          <w:sz w:val="30"/>
          <w:szCs w:val="30"/>
          <w:lang w:val="en-US" w:eastAsia="zh-CN"/>
        </w:rPr>
      </w:pPr>
      <w:bookmarkStart w:id="45" w:name="_Toc19180"/>
      <w:r>
        <w:rPr>
          <w:rFonts w:hint="eastAsia"/>
          <w:b/>
          <w:sz w:val="30"/>
          <w:szCs w:val="30"/>
          <w:lang w:val="en-US" w:eastAsia="zh-CN"/>
        </w:rPr>
        <w:t>九、业务需求展望</w:t>
      </w:r>
      <w:bookmarkEnd w:id="45"/>
    </w:p>
    <w:p w14:paraId="4FDF5E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高新认定管理口径研发费归集与核算</w:t>
      </w:r>
    </w:p>
    <w:p w14:paraId="2D985C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研发支出辅助账及汇总表（多口径）</w:t>
      </w:r>
    </w:p>
    <w:p w14:paraId="5673EA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项目投入产出分析（研发投入与专利/收入关联）</w:t>
      </w:r>
    </w:p>
    <w:p w14:paraId="143BED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项目决算报表</w:t>
      </w:r>
    </w:p>
    <w:p w14:paraId="5CDD5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b w:val="0"/>
          <w:bCs/>
          <w:sz w:val="24"/>
          <w:szCs w:val="24"/>
          <w:lang w:val="en-US" w:eastAsia="zh-CN"/>
        </w:rPr>
      </w:pPr>
      <w:r>
        <w:rPr>
          <w:rFonts w:hint="eastAsia" w:asciiTheme="majorEastAsia" w:hAnsiTheme="majorEastAsia" w:eastAsiaTheme="majorEastAsia" w:cstheme="majorEastAsia"/>
          <w:b w:val="0"/>
          <w:bCs/>
          <w:sz w:val="24"/>
          <w:szCs w:val="24"/>
          <w:lang w:val="en-US" w:eastAsia="zh-CN"/>
        </w:rPr>
        <w:t>预算执行分析</w:t>
      </w:r>
    </w:p>
    <w:p w14:paraId="5CB7F8DA">
      <w:pPr>
        <w:pStyle w:val="2"/>
        <w:keepNext/>
        <w:keepLines/>
        <w:pageBreakBefore w:val="0"/>
        <w:widowControl w:val="0"/>
        <w:kinsoku/>
        <w:wordWrap/>
        <w:overflowPunct/>
        <w:topLinePunct w:val="0"/>
        <w:autoSpaceDE/>
        <w:autoSpaceDN/>
        <w:bidi w:val="0"/>
        <w:adjustRightInd/>
        <w:snapToGrid/>
        <w:spacing w:before="200" w:after="200" w:line="240" w:lineRule="auto"/>
        <w:textAlignment w:val="auto"/>
        <w:rPr>
          <w:rFonts w:hint="default"/>
          <w:b/>
          <w:sz w:val="30"/>
          <w:szCs w:val="30"/>
          <w:lang w:val="en-US" w:eastAsia="zh-CN"/>
        </w:rPr>
      </w:pPr>
      <w:bookmarkStart w:id="46" w:name="_Toc32696"/>
      <w:r>
        <w:rPr>
          <w:rFonts w:hint="default"/>
          <w:b/>
          <w:sz w:val="30"/>
          <w:szCs w:val="30"/>
          <w:lang w:val="en-US" w:eastAsia="zh-CN"/>
        </w:rPr>
        <w:t>十、附录</w:t>
      </w:r>
      <w:bookmarkEnd w:id="46"/>
    </w:p>
    <w:p w14:paraId="56E0EE7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1.研发费用归集口径比较</w:t>
      </w:r>
    </w:p>
    <w:p w14:paraId="3712D7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2.2021版研发支出辅助账汇总表</w:t>
      </w:r>
    </w:p>
    <w:p w14:paraId="611237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3.2021版研发支出辅助账</w:t>
      </w:r>
    </w:p>
    <w:p w14:paraId="744700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4.2015版研发支出辅助账汇总表</w:t>
      </w:r>
    </w:p>
    <w:p w14:paraId="4224C2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5.2015版自主研发研发支出辅助账</w:t>
      </w:r>
    </w:p>
    <w:p w14:paraId="3328FF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6.2015版合作研发研发支出辅助账</w:t>
      </w:r>
    </w:p>
    <w:p w14:paraId="545F45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7.2015版委托研发研发支出辅助账</w:t>
      </w:r>
    </w:p>
    <w:p w14:paraId="3D5685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8.2015版集中研发研发支出辅助账</w:t>
      </w:r>
    </w:p>
    <w:p w14:paraId="76CE71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9.A107012研发费用加计扣除优惠明细表</w:t>
      </w:r>
    </w:p>
    <w:p w14:paraId="50D666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10.事后核查处理流程图</w:t>
      </w:r>
    </w:p>
    <w:p w14:paraId="460F8C84">
      <w:pPr>
        <w:rPr>
          <w:rFonts w:hint="default"/>
          <w:lang w:val="en-US" w:eastAsia="zh-CN"/>
        </w:rPr>
      </w:pPr>
    </w:p>
    <w:p w14:paraId="43DACDA4">
      <w:pPr>
        <w:rPr>
          <w:rFonts w:hint="default"/>
          <w:lang w:val="en-US" w:eastAsia="zh-CN"/>
        </w:rPr>
      </w:pPr>
    </w:p>
    <w:p w14:paraId="0D9DAC9D">
      <w:pPr>
        <w:rPr>
          <w:rFonts w:hint="default"/>
          <w:lang w:val="en-US" w:eastAsia="zh-CN"/>
        </w:rPr>
      </w:pPr>
      <w:r>
        <w:rPr>
          <w:rFonts w:hint="eastAsia" w:ascii="Segoe UI" w:hAnsi="Segoe UI" w:eastAsia="Segoe UI" w:cs="Segoe UI"/>
          <w:i w:val="0"/>
          <w:iCs w:val="0"/>
          <w:caps w:val="0"/>
          <w:spacing w:val="4"/>
          <w:sz w:val="10"/>
          <w:szCs w:val="10"/>
          <w:shd w:val="clear" w:fill="FFFFFF"/>
          <w:lang w:val="en-US" w:eastAsia="zh-CN"/>
        </w:rPr>
        <w:drawing>
          <wp:inline distT="0" distB="0" distL="114300" distR="114300">
            <wp:extent cx="5103495" cy="1537970"/>
            <wp:effectExtent l="0" t="0" r="1905" b="5080"/>
            <wp:docPr id="21" name="图片 21" descr="deepseek_mermaid_20260508_1bf2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eepseek_mermaid_20260508_1bf26c"/>
                    <pic:cNvPicPr>
                      <a:picLocks noChangeAspect="1"/>
                    </pic:cNvPicPr>
                  </pic:nvPicPr>
                  <pic:blipFill>
                    <a:blip r:embed="rId12"/>
                    <a:stretch>
                      <a:fillRect/>
                    </a:stretch>
                  </pic:blipFill>
                  <pic:spPr>
                    <a:xfrm>
                      <a:off x="0" y="0"/>
                      <a:ext cx="5103495" cy="1537970"/>
                    </a:xfrm>
                    <a:prstGeom prst="rect">
                      <a:avLst/>
                    </a:prstGeom>
                  </pic:spPr>
                </pic:pic>
              </a:graphicData>
            </a:graphic>
          </wp:inline>
        </w:drawing>
      </w:r>
    </w:p>
    <w:sectPr>
      <w:headerReference r:id="rId4" w:type="defaul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书宋二简">
    <w:panose1 w:val="02010600000101010101"/>
    <w:charset w:val="86"/>
    <w:family w:val="auto"/>
    <w:pitch w:val="default"/>
    <w:sig w:usb0="00000001" w:usb1="080E0800" w:usb2="00000002" w:usb3="00000000" w:csb0="0004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CD306">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0F009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6C0F009C">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434AC">
    <w:pPr>
      <w:pStyle w:val="8"/>
      <w:jc w:val="right"/>
      <w:rPr>
        <w:rFonts w:hint="eastAsia" w:eastAsiaTheme="minorEastAsia"/>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74660">
    <w:pPr>
      <w:pStyle w:val="8"/>
      <w:jc w:val="right"/>
      <w:rPr>
        <w:rFonts w:hint="eastAsia" w:eastAsiaTheme="minorEastAsia"/>
        <w:lang w:val="en-US" w:eastAsia="zh-CN"/>
      </w:rPr>
    </w:pPr>
    <w:r>
      <w:rPr>
        <w:rFonts w:hint="eastAsia"/>
        <w:lang w:val="en-US" w:eastAsia="zh-CN"/>
      </w:rPr>
      <w:t>研发费加计扣除</w:t>
    </w:r>
    <w:r>
      <w:rPr>
        <w:rFonts w:hint="eastAsia"/>
      </w:rPr>
      <w:t>业务需求说明书</w:t>
    </w:r>
    <w:r>
      <w:rPr>
        <w:rFonts w:hint="eastAsia"/>
        <w:lang w:val="en-US" w:eastAsia="zh-CN"/>
      </w:rPr>
      <w:t>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EFC36D"/>
    <w:multiLevelType w:val="multilevel"/>
    <w:tmpl w:val="EEEFC36D"/>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1">
    <w:nsid w:val="1115CB8A"/>
    <w:multiLevelType w:val="singleLevel"/>
    <w:tmpl w:val="1115CB8A"/>
    <w:lvl w:ilvl="0" w:tentative="0">
      <w:start w:val="1"/>
      <w:numFmt w:val="decimal"/>
      <w:lvlText w:val="%1."/>
      <w:lvlJc w:val="left"/>
      <w:pPr>
        <w:ind w:left="720" w:hanging="360"/>
      </w:pPr>
      <w:rPr>
        <w:sz w:val="24"/>
      </w:rPr>
    </w:lvl>
  </w:abstractNum>
  <w:abstractNum w:abstractNumId="2">
    <w:nsid w:val="191650FF"/>
    <w:multiLevelType w:val="multilevel"/>
    <w:tmpl w:val="191650FF"/>
    <w:lvl w:ilvl="0" w:tentative="0">
      <w:start w:val="1"/>
      <w:numFmt w:val="decimalZero"/>
      <w:pStyle w:val="23"/>
      <w:suff w:val="space"/>
      <w:lvlText w:val="%1"/>
      <w:lvlJc w:val="left"/>
      <w:pPr>
        <w:tabs>
          <w:tab w:val="left" w:pos="0"/>
        </w:tabs>
        <w:ind w:left="0" w:firstLine="0"/>
      </w:pPr>
      <w:rPr>
        <w:rFonts w:hint="eastAsia" w:ascii="汉仪书宋二简" w:hAnsi="汉仪书宋二简" w:eastAsia="汉仪书宋二简"/>
        <w:i/>
        <w:iCs/>
        <w:color w:val="F5B482" w:themeColor="accent2" w:themeTint="99"/>
        <w:sz w:val="48"/>
        <w:szCs w:val="48"/>
        <w14:textFill>
          <w14:solidFill>
            <w14:schemeClr w14:val="accent2">
              <w14:lumMod w14:val="60000"/>
              <w14:lumOff w14:val="40000"/>
            </w14:schemeClr>
          </w14:solidFill>
        </w14:textFill>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3">
    <w:nsid w:val="258BC862"/>
    <w:multiLevelType w:val="singleLevel"/>
    <w:tmpl w:val="258BC862"/>
    <w:lvl w:ilvl="0" w:tentative="0">
      <w:start w:val="1"/>
      <w:numFmt w:val="bullet"/>
      <w:lvlText w:val=""/>
      <w:lvlJc w:val="left"/>
      <w:pPr>
        <w:ind w:left="720" w:hanging="360"/>
      </w:pPr>
      <w:rPr>
        <w:rFonts w:hint="default" w:ascii="Symbol" w:hAnsi="Symbol" w:cs="Symbol"/>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A4Zjk1NTc2MzgyZjYzNzA3Y2IzOWU2Njg0Yzg3NWUifQ=="/>
    <w:docVar w:name="KSO_WPS_MARK_KEY" w:val="ddd65259-4fda-4dba-aa16-2fbf0d8fe1af"/>
  </w:docVars>
  <w:rsids>
    <w:rsidRoot w:val="00000000"/>
    <w:rsid w:val="000B44D3"/>
    <w:rsid w:val="00225378"/>
    <w:rsid w:val="003409A3"/>
    <w:rsid w:val="0066795B"/>
    <w:rsid w:val="009A38E3"/>
    <w:rsid w:val="009A41F2"/>
    <w:rsid w:val="00F036C9"/>
    <w:rsid w:val="01083069"/>
    <w:rsid w:val="01260E98"/>
    <w:rsid w:val="01C539C5"/>
    <w:rsid w:val="02512F75"/>
    <w:rsid w:val="029562D6"/>
    <w:rsid w:val="02AE7397"/>
    <w:rsid w:val="02B5111B"/>
    <w:rsid w:val="03190CB5"/>
    <w:rsid w:val="032660EF"/>
    <w:rsid w:val="03863E70"/>
    <w:rsid w:val="03DA48E8"/>
    <w:rsid w:val="043D4E77"/>
    <w:rsid w:val="04A66578"/>
    <w:rsid w:val="050D65F7"/>
    <w:rsid w:val="057023BC"/>
    <w:rsid w:val="05844A80"/>
    <w:rsid w:val="05B1513F"/>
    <w:rsid w:val="05D70A8F"/>
    <w:rsid w:val="05E25CD6"/>
    <w:rsid w:val="05E82BC0"/>
    <w:rsid w:val="05ED32BD"/>
    <w:rsid w:val="05F17CC7"/>
    <w:rsid w:val="05F86E6F"/>
    <w:rsid w:val="05F9301F"/>
    <w:rsid w:val="0680104B"/>
    <w:rsid w:val="06DA4BFF"/>
    <w:rsid w:val="078E1545"/>
    <w:rsid w:val="078F59E9"/>
    <w:rsid w:val="079F35AA"/>
    <w:rsid w:val="07C144E0"/>
    <w:rsid w:val="07C35693"/>
    <w:rsid w:val="07DB49A4"/>
    <w:rsid w:val="087F780C"/>
    <w:rsid w:val="08BD6586"/>
    <w:rsid w:val="090E293E"/>
    <w:rsid w:val="098C2E68"/>
    <w:rsid w:val="09975029"/>
    <w:rsid w:val="09A339CE"/>
    <w:rsid w:val="09A80FE4"/>
    <w:rsid w:val="0A095EA2"/>
    <w:rsid w:val="0A2E773B"/>
    <w:rsid w:val="0A565A68"/>
    <w:rsid w:val="0A8E1F88"/>
    <w:rsid w:val="0AFD2C6A"/>
    <w:rsid w:val="0B0009AC"/>
    <w:rsid w:val="0C405504"/>
    <w:rsid w:val="0C63187A"/>
    <w:rsid w:val="0C711B61"/>
    <w:rsid w:val="0C81392B"/>
    <w:rsid w:val="0CBD45C2"/>
    <w:rsid w:val="0CC71781"/>
    <w:rsid w:val="0CD30126"/>
    <w:rsid w:val="0D004C93"/>
    <w:rsid w:val="0D026C5D"/>
    <w:rsid w:val="0D372A72"/>
    <w:rsid w:val="0D5154EF"/>
    <w:rsid w:val="0D5C636E"/>
    <w:rsid w:val="0D860EC5"/>
    <w:rsid w:val="0DA6583B"/>
    <w:rsid w:val="0EEF4FBF"/>
    <w:rsid w:val="0F026AA1"/>
    <w:rsid w:val="0F470958"/>
    <w:rsid w:val="0F4C0664"/>
    <w:rsid w:val="0F735BF1"/>
    <w:rsid w:val="0F7E575A"/>
    <w:rsid w:val="0F9E3A42"/>
    <w:rsid w:val="0FCD3553"/>
    <w:rsid w:val="1017657C"/>
    <w:rsid w:val="104B26C9"/>
    <w:rsid w:val="10593038"/>
    <w:rsid w:val="10635C65"/>
    <w:rsid w:val="106D0892"/>
    <w:rsid w:val="1097590F"/>
    <w:rsid w:val="10E70644"/>
    <w:rsid w:val="115B2DE0"/>
    <w:rsid w:val="118714DF"/>
    <w:rsid w:val="11904838"/>
    <w:rsid w:val="11EC3A38"/>
    <w:rsid w:val="12191FBB"/>
    <w:rsid w:val="122D2087"/>
    <w:rsid w:val="12635BF0"/>
    <w:rsid w:val="12956515"/>
    <w:rsid w:val="12A86781"/>
    <w:rsid w:val="12F72695"/>
    <w:rsid w:val="13300E1F"/>
    <w:rsid w:val="133E02C4"/>
    <w:rsid w:val="135F0966"/>
    <w:rsid w:val="13A445CA"/>
    <w:rsid w:val="13DE112F"/>
    <w:rsid w:val="13E250F3"/>
    <w:rsid w:val="143F2545"/>
    <w:rsid w:val="14550167"/>
    <w:rsid w:val="147449A5"/>
    <w:rsid w:val="148B7538"/>
    <w:rsid w:val="149C1746"/>
    <w:rsid w:val="14D26670"/>
    <w:rsid w:val="14DC2E8A"/>
    <w:rsid w:val="151439D2"/>
    <w:rsid w:val="151E03AD"/>
    <w:rsid w:val="15400323"/>
    <w:rsid w:val="15635A69"/>
    <w:rsid w:val="159A3ED7"/>
    <w:rsid w:val="15A54517"/>
    <w:rsid w:val="15B17473"/>
    <w:rsid w:val="15BD40C9"/>
    <w:rsid w:val="15E11B06"/>
    <w:rsid w:val="15EA028F"/>
    <w:rsid w:val="163C6D3C"/>
    <w:rsid w:val="166A76AA"/>
    <w:rsid w:val="168A1BF4"/>
    <w:rsid w:val="16946B78"/>
    <w:rsid w:val="16B112F9"/>
    <w:rsid w:val="16D01B7A"/>
    <w:rsid w:val="17534CCC"/>
    <w:rsid w:val="17A32D95"/>
    <w:rsid w:val="17A51566"/>
    <w:rsid w:val="17D076C7"/>
    <w:rsid w:val="181D2B9D"/>
    <w:rsid w:val="18610CDC"/>
    <w:rsid w:val="18822A00"/>
    <w:rsid w:val="18932E60"/>
    <w:rsid w:val="189A735D"/>
    <w:rsid w:val="18B352B0"/>
    <w:rsid w:val="18F2402A"/>
    <w:rsid w:val="19E33973"/>
    <w:rsid w:val="1A4268EB"/>
    <w:rsid w:val="1AB01AA7"/>
    <w:rsid w:val="1B283D33"/>
    <w:rsid w:val="1B444A07"/>
    <w:rsid w:val="1B711290"/>
    <w:rsid w:val="1BE7774A"/>
    <w:rsid w:val="1C146C8B"/>
    <w:rsid w:val="1C334A5D"/>
    <w:rsid w:val="1C672639"/>
    <w:rsid w:val="1C6B44E3"/>
    <w:rsid w:val="1CAC44F0"/>
    <w:rsid w:val="1D1502E7"/>
    <w:rsid w:val="1D5A03F0"/>
    <w:rsid w:val="1DA33B45"/>
    <w:rsid w:val="1DD75923"/>
    <w:rsid w:val="1E025AFC"/>
    <w:rsid w:val="1E114123"/>
    <w:rsid w:val="1E2D56CD"/>
    <w:rsid w:val="1E5037DD"/>
    <w:rsid w:val="1E636E30"/>
    <w:rsid w:val="1EB83620"/>
    <w:rsid w:val="1EC04283"/>
    <w:rsid w:val="1ED45473"/>
    <w:rsid w:val="1EE57996"/>
    <w:rsid w:val="1F180FC5"/>
    <w:rsid w:val="1F44139E"/>
    <w:rsid w:val="1F9E66C8"/>
    <w:rsid w:val="1FFE5062"/>
    <w:rsid w:val="203F1DA2"/>
    <w:rsid w:val="204571F3"/>
    <w:rsid w:val="20994D8B"/>
    <w:rsid w:val="20BE4D41"/>
    <w:rsid w:val="214B2529"/>
    <w:rsid w:val="216E6218"/>
    <w:rsid w:val="21737674"/>
    <w:rsid w:val="21785658"/>
    <w:rsid w:val="21AB746C"/>
    <w:rsid w:val="224C6559"/>
    <w:rsid w:val="225B679C"/>
    <w:rsid w:val="22BB723B"/>
    <w:rsid w:val="232A43C0"/>
    <w:rsid w:val="232E2103"/>
    <w:rsid w:val="23403BE4"/>
    <w:rsid w:val="23476D20"/>
    <w:rsid w:val="23D02AD7"/>
    <w:rsid w:val="23D305B4"/>
    <w:rsid w:val="2453247D"/>
    <w:rsid w:val="246D3214"/>
    <w:rsid w:val="247476AB"/>
    <w:rsid w:val="24AC1206"/>
    <w:rsid w:val="254067D6"/>
    <w:rsid w:val="254A2AF8"/>
    <w:rsid w:val="25AB7A3A"/>
    <w:rsid w:val="25E55157"/>
    <w:rsid w:val="260452F8"/>
    <w:rsid w:val="260D5FFF"/>
    <w:rsid w:val="262477ED"/>
    <w:rsid w:val="262D66A1"/>
    <w:rsid w:val="26761D5F"/>
    <w:rsid w:val="26771D59"/>
    <w:rsid w:val="26CA3EF0"/>
    <w:rsid w:val="26F85176"/>
    <w:rsid w:val="27182EAE"/>
    <w:rsid w:val="272950BB"/>
    <w:rsid w:val="272A1ED2"/>
    <w:rsid w:val="278E4438"/>
    <w:rsid w:val="27B64475"/>
    <w:rsid w:val="27DF39CB"/>
    <w:rsid w:val="27F81983"/>
    <w:rsid w:val="284952E9"/>
    <w:rsid w:val="285253E7"/>
    <w:rsid w:val="285443B9"/>
    <w:rsid w:val="28823C32"/>
    <w:rsid w:val="28836A4D"/>
    <w:rsid w:val="288527C5"/>
    <w:rsid w:val="28955A85"/>
    <w:rsid w:val="28996270"/>
    <w:rsid w:val="28C878C3"/>
    <w:rsid w:val="291122AA"/>
    <w:rsid w:val="295E4DC4"/>
    <w:rsid w:val="2A9036A3"/>
    <w:rsid w:val="2A96648E"/>
    <w:rsid w:val="2ABE3D6C"/>
    <w:rsid w:val="2B2838DB"/>
    <w:rsid w:val="2B3233EB"/>
    <w:rsid w:val="2B583BAE"/>
    <w:rsid w:val="2B726905"/>
    <w:rsid w:val="2B8C79C6"/>
    <w:rsid w:val="2BAA42F0"/>
    <w:rsid w:val="2BBB02AC"/>
    <w:rsid w:val="2C2F6E99"/>
    <w:rsid w:val="2C302A48"/>
    <w:rsid w:val="2C57495C"/>
    <w:rsid w:val="2C974875"/>
    <w:rsid w:val="2CCB451E"/>
    <w:rsid w:val="2CF9108B"/>
    <w:rsid w:val="2DA76D39"/>
    <w:rsid w:val="2E184591"/>
    <w:rsid w:val="2EA43279"/>
    <w:rsid w:val="2EB07E70"/>
    <w:rsid w:val="2EB34530"/>
    <w:rsid w:val="2EC42A1F"/>
    <w:rsid w:val="2EDA4EED"/>
    <w:rsid w:val="2F4D56BE"/>
    <w:rsid w:val="2FEF6701"/>
    <w:rsid w:val="2FF10740"/>
    <w:rsid w:val="30494C62"/>
    <w:rsid w:val="306C7DC6"/>
    <w:rsid w:val="30862E8B"/>
    <w:rsid w:val="31201963"/>
    <w:rsid w:val="31B163D9"/>
    <w:rsid w:val="32075FF9"/>
    <w:rsid w:val="32364B30"/>
    <w:rsid w:val="323F6356"/>
    <w:rsid w:val="32777ADD"/>
    <w:rsid w:val="32BD68CC"/>
    <w:rsid w:val="333C43C8"/>
    <w:rsid w:val="33CD6DCE"/>
    <w:rsid w:val="33E54F7B"/>
    <w:rsid w:val="33E800AC"/>
    <w:rsid w:val="33EF31E8"/>
    <w:rsid w:val="344352E2"/>
    <w:rsid w:val="34441786"/>
    <w:rsid w:val="344624D7"/>
    <w:rsid w:val="34724719"/>
    <w:rsid w:val="34D36666"/>
    <w:rsid w:val="34F07218"/>
    <w:rsid w:val="351153E0"/>
    <w:rsid w:val="355C6F55"/>
    <w:rsid w:val="35635B24"/>
    <w:rsid w:val="36266C69"/>
    <w:rsid w:val="3667175C"/>
    <w:rsid w:val="36800CB4"/>
    <w:rsid w:val="36C73FA8"/>
    <w:rsid w:val="36FE3F92"/>
    <w:rsid w:val="37D42E21"/>
    <w:rsid w:val="387E2D8D"/>
    <w:rsid w:val="38B1300A"/>
    <w:rsid w:val="395415F4"/>
    <w:rsid w:val="3AC21333"/>
    <w:rsid w:val="3B90705F"/>
    <w:rsid w:val="3C0E4427"/>
    <w:rsid w:val="3C3A1AE3"/>
    <w:rsid w:val="3C9C1A33"/>
    <w:rsid w:val="3CC82828"/>
    <w:rsid w:val="3D1B504E"/>
    <w:rsid w:val="3D5567B2"/>
    <w:rsid w:val="3D5A7038"/>
    <w:rsid w:val="3DDA0A65"/>
    <w:rsid w:val="3DEC67BB"/>
    <w:rsid w:val="3E151A9D"/>
    <w:rsid w:val="3E612F34"/>
    <w:rsid w:val="3E950E30"/>
    <w:rsid w:val="3EC84D62"/>
    <w:rsid w:val="3ECF4342"/>
    <w:rsid w:val="3EEF205B"/>
    <w:rsid w:val="3F222463"/>
    <w:rsid w:val="3F3B19D7"/>
    <w:rsid w:val="3F7D3D9E"/>
    <w:rsid w:val="3F9F1F66"/>
    <w:rsid w:val="40001A89"/>
    <w:rsid w:val="40020685"/>
    <w:rsid w:val="40291830"/>
    <w:rsid w:val="402B7E4E"/>
    <w:rsid w:val="404E340E"/>
    <w:rsid w:val="40520D87"/>
    <w:rsid w:val="40534AFF"/>
    <w:rsid w:val="40556AC9"/>
    <w:rsid w:val="40612CBD"/>
    <w:rsid w:val="41203CF6"/>
    <w:rsid w:val="41222415"/>
    <w:rsid w:val="414C3A28"/>
    <w:rsid w:val="416E7E42"/>
    <w:rsid w:val="4180600C"/>
    <w:rsid w:val="42185A06"/>
    <w:rsid w:val="42383FAC"/>
    <w:rsid w:val="4249440B"/>
    <w:rsid w:val="4262727B"/>
    <w:rsid w:val="42786A9F"/>
    <w:rsid w:val="429D55A6"/>
    <w:rsid w:val="42A653BA"/>
    <w:rsid w:val="43095949"/>
    <w:rsid w:val="434A1377"/>
    <w:rsid w:val="43B35FE0"/>
    <w:rsid w:val="43D67F21"/>
    <w:rsid w:val="43F32881"/>
    <w:rsid w:val="44944504"/>
    <w:rsid w:val="44C23C58"/>
    <w:rsid w:val="44DF4BB3"/>
    <w:rsid w:val="44FC1A3E"/>
    <w:rsid w:val="451A5BEB"/>
    <w:rsid w:val="453A003B"/>
    <w:rsid w:val="454B2248"/>
    <w:rsid w:val="4574354D"/>
    <w:rsid w:val="459D73E9"/>
    <w:rsid w:val="45E306D3"/>
    <w:rsid w:val="45EF7078"/>
    <w:rsid w:val="46366A55"/>
    <w:rsid w:val="46767799"/>
    <w:rsid w:val="46876CBA"/>
    <w:rsid w:val="4690085B"/>
    <w:rsid w:val="46AA2F9F"/>
    <w:rsid w:val="47060B1D"/>
    <w:rsid w:val="474F05BD"/>
    <w:rsid w:val="47B02837"/>
    <w:rsid w:val="47C10BCA"/>
    <w:rsid w:val="47CD3212"/>
    <w:rsid w:val="47F646ED"/>
    <w:rsid w:val="483B65A4"/>
    <w:rsid w:val="48447F63"/>
    <w:rsid w:val="48945CB4"/>
    <w:rsid w:val="48EC5AF0"/>
    <w:rsid w:val="49155F87"/>
    <w:rsid w:val="495F62C2"/>
    <w:rsid w:val="49B56724"/>
    <w:rsid w:val="4A2E579D"/>
    <w:rsid w:val="4A421E6C"/>
    <w:rsid w:val="4AB56AE2"/>
    <w:rsid w:val="4B245A16"/>
    <w:rsid w:val="4B3D39E3"/>
    <w:rsid w:val="4BA2455A"/>
    <w:rsid w:val="4BB5666E"/>
    <w:rsid w:val="4BD44D46"/>
    <w:rsid w:val="4BD765E4"/>
    <w:rsid w:val="4BF54CBC"/>
    <w:rsid w:val="4C0C6700"/>
    <w:rsid w:val="4C1829C8"/>
    <w:rsid w:val="4CA17CA8"/>
    <w:rsid w:val="4CA26BF2"/>
    <w:rsid w:val="4CD03EF9"/>
    <w:rsid w:val="4CDF2C3E"/>
    <w:rsid w:val="4DAE7818"/>
    <w:rsid w:val="4DC112FA"/>
    <w:rsid w:val="4E1A581F"/>
    <w:rsid w:val="4E3162AA"/>
    <w:rsid w:val="4E485577"/>
    <w:rsid w:val="4E932B2A"/>
    <w:rsid w:val="4EC86EF6"/>
    <w:rsid w:val="4ED02686"/>
    <w:rsid w:val="4EE94FAC"/>
    <w:rsid w:val="4EEE3181"/>
    <w:rsid w:val="4EF474AD"/>
    <w:rsid w:val="4EF839E7"/>
    <w:rsid w:val="4EFD2805"/>
    <w:rsid w:val="4F683249"/>
    <w:rsid w:val="4F7F76BE"/>
    <w:rsid w:val="4FB210D0"/>
    <w:rsid w:val="4FDF2436"/>
    <w:rsid w:val="4FFF6735"/>
    <w:rsid w:val="5043693E"/>
    <w:rsid w:val="507E7976"/>
    <w:rsid w:val="50C730CB"/>
    <w:rsid w:val="512B6180"/>
    <w:rsid w:val="51DD247A"/>
    <w:rsid w:val="51EE0B2B"/>
    <w:rsid w:val="520914C1"/>
    <w:rsid w:val="52576767"/>
    <w:rsid w:val="52CA6EA2"/>
    <w:rsid w:val="534F1156"/>
    <w:rsid w:val="53591415"/>
    <w:rsid w:val="538565E9"/>
    <w:rsid w:val="53A21BCD"/>
    <w:rsid w:val="544472A8"/>
    <w:rsid w:val="545033D7"/>
    <w:rsid w:val="545F7ABE"/>
    <w:rsid w:val="54843081"/>
    <w:rsid w:val="552F56E3"/>
    <w:rsid w:val="553E6AE1"/>
    <w:rsid w:val="553E76D4"/>
    <w:rsid w:val="55825812"/>
    <w:rsid w:val="55FC3817"/>
    <w:rsid w:val="56312D95"/>
    <w:rsid w:val="566D0271"/>
    <w:rsid w:val="56B96CFA"/>
    <w:rsid w:val="571263FF"/>
    <w:rsid w:val="57325016"/>
    <w:rsid w:val="575431DF"/>
    <w:rsid w:val="57D367F9"/>
    <w:rsid w:val="58355EB2"/>
    <w:rsid w:val="584520AC"/>
    <w:rsid w:val="58E35B07"/>
    <w:rsid w:val="58EB1921"/>
    <w:rsid w:val="59FB2037"/>
    <w:rsid w:val="5AC6388E"/>
    <w:rsid w:val="5AD00DCE"/>
    <w:rsid w:val="5AD52888"/>
    <w:rsid w:val="5ADA1C4D"/>
    <w:rsid w:val="5AF30F60"/>
    <w:rsid w:val="5B1E3C02"/>
    <w:rsid w:val="5BB75372"/>
    <w:rsid w:val="5BD112A2"/>
    <w:rsid w:val="5BE03293"/>
    <w:rsid w:val="5BF44F90"/>
    <w:rsid w:val="5C5B0B6B"/>
    <w:rsid w:val="5C653798"/>
    <w:rsid w:val="5CC52489"/>
    <w:rsid w:val="5CD64696"/>
    <w:rsid w:val="5CDD040B"/>
    <w:rsid w:val="5CFA65D6"/>
    <w:rsid w:val="5D1470EF"/>
    <w:rsid w:val="5D290C69"/>
    <w:rsid w:val="5D3E3F77"/>
    <w:rsid w:val="5D437F7D"/>
    <w:rsid w:val="5D4A4495"/>
    <w:rsid w:val="5D72616D"/>
    <w:rsid w:val="5D881E34"/>
    <w:rsid w:val="5D8A46CF"/>
    <w:rsid w:val="5DAA7FFC"/>
    <w:rsid w:val="5DC34C1A"/>
    <w:rsid w:val="5DF25621"/>
    <w:rsid w:val="5E082AC2"/>
    <w:rsid w:val="5E603B7C"/>
    <w:rsid w:val="5E940365"/>
    <w:rsid w:val="5EE4753E"/>
    <w:rsid w:val="5F2E07B9"/>
    <w:rsid w:val="5FCB425A"/>
    <w:rsid w:val="5FCB7B2A"/>
    <w:rsid w:val="5FE24034"/>
    <w:rsid w:val="5FEB516D"/>
    <w:rsid w:val="60067040"/>
    <w:rsid w:val="60AE3960"/>
    <w:rsid w:val="61036D68"/>
    <w:rsid w:val="61497B2C"/>
    <w:rsid w:val="6151078F"/>
    <w:rsid w:val="61BF1B9C"/>
    <w:rsid w:val="61D82FDC"/>
    <w:rsid w:val="621C1FB1"/>
    <w:rsid w:val="622A5268"/>
    <w:rsid w:val="62490C02"/>
    <w:rsid w:val="62B877D9"/>
    <w:rsid w:val="62E8403A"/>
    <w:rsid w:val="633A3BD0"/>
    <w:rsid w:val="63495BC1"/>
    <w:rsid w:val="634E311E"/>
    <w:rsid w:val="635B69DF"/>
    <w:rsid w:val="637846F9"/>
    <w:rsid w:val="63C96D1D"/>
    <w:rsid w:val="64414AEB"/>
    <w:rsid w:val="64436AB5"/>
    <w:rsid w:val="64510F36"/>
    <w:rsid w:val="64567464"/>
    <w:rsid w:val="65042353"/>
    <w:rsid w:val="652341F0"/>
    <w:rsid w:val="65841133"/>
    <w:rsid w:val="65913850"/>
    <w:rsid w:val="65931376"/>
    <w:rsid w:val="65A90B99"/>
    <w:rsid w:val="65C76908"/>
    <w:rsid w:val="65E322FD"/>
    <w:rsid w:val="667271DD"/>
    <w:rsid w:val="667747F4"/>
    <w:rsid w:val="66BC0678"/>
    <w:rsid w:val="66CC2D91"/>
    <w:rsid w:val="66E225B5"/>
    <w:rsid w:val="66F66060"/>
    <w:rsid w:val="670A5668"/>
    <w:rsid w:val="677376B1"/>
    <w:rsid w:val="67BD26DA"/>
    <w:rsid w:val="67CE2B39"/>
    <w:rsid w:val="67F73E3E"/>
    <w:rsid w:val="67FD2BAD"/>
    <w:rsid w:val="682B3AE8"/>
    <w:rsid w:val="68464DC5"/>
    <w:rsid w:val="685E5C6B"/>
    <w:rsid w:val="68833924"/>
    <w:rsid w:val="691C7D63"/>
    <w:rsid w:val="69623539"/>
    <w:rsid w:val="69733998"/>
    <w:rsid w:val="69905DA9"/>
    <w:rsid w:val="69D41F5D"/>
    <w:rsid w:val="69EF671A"/>
    <w:rsid w:val="6A301889"/>
    <w:rsid w:val="6A3749C6"/>
    <w:rsid w:val="6A3D3FA6"/>
    <w:rsid w:val="6AD4787D"/>
    <w:rsid w:val="6ADA17F5"/>
    <w:rsid w:val="6AF64881"/>
    <w:rsid w:val="6AFB1E97"/>
    <w:rsid w:val="6B2F1B41"/>
    <w:rsid w:val="6BAC13E3"/>
    <w:rsid w:val="6BB107A8"/>
    <w:rsid w:val="6C50600C"/>
    <w:rsid w:val="6C787517"/>
    <w:rsid w:val="6CA709F7"/>
    <w:rsid w:val="6CE8644B"/>
    <w:rsid w:val="6D042B59"/>
    <w:rsid w:val="6D2D3E5E"/>
    <w:rsid w:val="6D341690"/>
    <w:rsid w:val="6D613FC2"/>
    <w:rsid w:val="6D94212F"/>
    <w:rsid w:val="6DCA78FF"/>
    <w:rsid w:val="6E5C7CBC"/>
    <w:rsid w:val="6EDA0016"/>
    <w:rsid w:val="6F173018"/>
    <w:rsid w:val="6F433E0D"/>
    <w:rsid w:val="6F7C10CD"/>
    <w:rsid w:val="6F810491"/>
    <w:rsid w:val="6F926B42"/>
    <w:rsid w:val="6FA93B24"/>
    <w:rsid w:val="6FB95E7D"/>
    <w:rsid w:val="6FC565D0"/>
    <w:rsid w:val="707D334E"/>
    <w:rsid w:val="70CB278F"/>
    <w:rsid w:val="70D86B89"/>
    <w:rsid w:val="710B2708"/>
    <w:rsid w:val="710E3FA6"/>
    <w:rsid w:val="72227D09"/>
    <w:rsid w:val="729D55E2"/>
    <w:rsid w:val="72B56E6F"/>
    <w:rsid w:val="72E27FC7"/>
    <w:rsid w:val="73D94D40"/>
    <w:rsid w:val="73F76F74"/>
    <w:rsid w:val="74031DBD"/>
    <w:rsid w:val="74141F6A"/>
    <w:rsid w:val="74675EA7"/>
    <w:rsid w:val="750C4E21"/>
    <w:rsid w:val="75537D0B"/>
    <w:rsid w:val="762A0487"/>
    <w:rsid w:val="76BD692E"/>
    <w:rsid w:val="76D35A76"/>
    <w:rsid w:val="76D57A40"/>
    <w:rsid w:val="77043E82"/>
    <w:rsid w:val="771F0CBB"/>
    <w:rsid w:val="772067E2"/>
    <w:rsid w:val="77AE3DED"/>
    <w:rsid w:val="77C1484A"/>
    <w:rsid w:val="77D00208"/>
    <w:rsid w:val="77EB306D"/>
    <w:rsid w:val="78212811"/>
    <w:rsid w:val="78497340"/>
    <w:rsid w:val="784D1858"/>
    <w:rsid w:val="788B01D8"/>
    <w:rsid w:val="78F0091A"/>
    <w:rsid w:val="791206CF"/>
    <w:rsid w:val="79273E57"/>
    <w:rsid w:val="795B1D53"/>
    <w:rsid w:val="79846A1B"/>
    <w:rsid w:val="79A436FA"/>
    <w:rsid w:val="79CF379C"/>
    <w:rsid w:val="79FA156C"/>
    <w:rsid w:val="7A1203BE"/>
    <w:rsid w:val="7A3C7DD6"/>
    <w:rsid w:val="7A613494"/>
    <w:rsid w:val="7A7C37E8"/>
    <w:rsid w:val="7AA37E55"/>
    <w:rsid w:val="7AC2652D"/>
    <w:rsid w:val="7B034450"/>
    <w:rsid w:val="7B25086A"/>
    <w:rsid w:val="7B284E41"/>
    <w:rsid w:val="7B474C85"/>
    <w:rsid w:val="7B5D0072"/>
    <w:rsid w:val="7B707D38"/>
    <w:rsid w:val="7B7610C6"/>
    <w:rsid w:val="7BB37C24"/>
    <w:rsid w:val="7C29438A"/>
    <w:rsid w:val="7C3945CD"/>
    <w:rsid w:val="7C5A471D"/>
    <w:rsid w:val="7CF624BE"/>
    <w:rsid w:val="7D20753B"/>
    <w:rsid w:val="7D44147C"/>
    <w:rsid w:val="7D8F646F"/>
    <w:rsid w:val="7DAC7021"/>
    <w:rsid w:val="7E3A4849"/>
    <w:rsid w:val="7E924469"/>
    <w:rsid w:val="7EC55059"/>
    <w:rsid w:val="7ED95BF4"/>
    <w:rsid w:val="7EFE38AC"/>
    <w:rsid w:val="7F08297D"/>
    <w:rsid w:val="7FB65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5">
    <w:name w:val="Default Paragraph Font"/>
    <w:autoRedefine/>
    <w:semiHidden/>
    <w:qFormat/>
    <w:uiPriority w:val="0"/>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qFormat/>
    <w:uiPriority w:val="0"/>
    <w:rPr>
      <w:sz w:val="24"/>
    </w:rPr>
  </w:style>
  <w:style w:type="table" w:styleId="14">
    <w:name w:val="Table Grid"/>
    <w:basedOn w:val="1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FollowedHyperlink"/>
    <w:basedOn w:val="15"/>
    <w:qFormat/>
    <w:uiPriority w:val="0"/>
    <w:rPr>
      <w:color w:val="800080"/>
      <w:u w:val="single"/>
    </w:rPr>
  </w:style>
  <w:style w:type="character" w:styleId="18">
    <w:name w:val="Hyperlink"/>
    <w:basedOn w:val="15"/>
    <w:qFormat/>
    <w:uiPriority w:val="0"/>
    <w:rPr>
      <w:color w:val="0000FF"/>
      <w:u w:val="single"/>
    </w:rPr>
  </w:style>
  <w:style w:type="paragraph" w:customStyle="1" w:styleId="19">
    <w:name w:val="WPSOffice手动目录 1"/>
    <w:autoRedefine/>
    <w:qFormat/>
    <w:uiPriority w:val="0"/>
    <w:pPr>
      <w:ind w:leftChars="0"/>
    </w:pPr>
    <w:rPr>
      <w:rFonts w:asciiTheme="minorHAnsi" w:hAnsiTheme="minorHAnsi" w:eastAsiaTheme="minorEastAsia" w:cstheme="minorBidi"/>
      <w:sz w:val="20"/>
      <w:szCs w:val="20"/>
    </w:rPr>
  </w:style>
  <w:style w:type="paragraph" w:customStyle="1" w:styleId="20">
    <w:name w:val="WPSOffice手动目录 2"/>
    <w:qFormat/>
    <w:uiPriority w:val="0"/>
    <w:pPr>
      <w:ind w:leftChars="200"/>
    </w:pPr>
    <w:rPr>
      <w:rFonts w:asciiTheme="minorHAnsi" w:hAnsiTheme="minorHAnsi" w:eastAsiaTheme="minorEastAsia" w:cstheme="minorBidi"/>
      <w:sz w:val="20"/>
      <w:szCs w:val="20"/>
    </w:rPr>
  </w:style>
  <w:style w:type="paragraph" w:customStyle="1" w:styleId="21">
    <w:name w:val="Table Paragraph"/>
    <w:basedOn w:val="1"/>
    <w:qFormat/>
    <w:uiPriority w:val="1"/>
    <w:rPr>
      <w:rFonts w:ascii="宋体" w:hAnsi="宋体" w:eastAsia="宋体" w:cs="宋体"/>
      <w:lang w:val="en-US" w:eastAsia="zh-CN" w:bidi="ar-SA"/>
    </w:rPr>
  </w:style>
  <w:style w:type="paragraph" w:customStyle="1" w:styleId="22">
    <w:name w:val="内容块-15-a"/>
    <w:basedOn w:val="1"/>
    <w:next w:val="1"/>
    <w:qFormat/>
    <w:uiPriority w:val="0"/>
    <w:pPr>
      <w:pBdr>
        <w:top w:val="thinThickMediumGap" w:color="E54C5E" w:themeColor="accent6" w:sz="24" w:space="5"/>
        <w:left w:val="thinThickMediumGap" w:color="E54C5E" w:themeColor="accent6" w:sz="24" w:space="13"/>
        <w:bottom w:val="thickThinMediumGap" w:color="E54C5E" w:themeColor="accent6" w:sz="24" w:space="5"/>
        <w:right w:val="thickThinMediumGap" w:color="E54C5E" w:themeColor="accent6" w:sz="24" w:space="13"/>
      </w:pBdr>
      <w:shd w:val="clear" w:color="auto" w:fill="E54C5E" w:themeFill="accent6"/>
      <w:ind w:left="340" w:right="340"/>
      <w:textAlignment w:val="center"/>
    </w:pPr>
    <w:rPr>
      <w:color w:val="FFFFFF" w:themeColor="background1"/>
      <w:szCs w:val="21"/>
      <w14:textFill>
        <w14:solidFill>
          <w14:schemeClr w14:val="bg1"/>
        </w14:solidFill>
      </w14:textFill>
    </w:rPr>
  </w:style>
  <w:style w:type="paragraph" w:customStyle="1" w:styleId="23">
    <w:name w:val="内容块-38-a"/>
    <w:next w:val="1"/>
    <w:qFormat/>
    <w:uiPriority w:val="0"/>
    <w:pPr>
      <w:numPr>
        <w:ilvl w:val="0"/>
        <w:numId w:val="1"/>
      </w:numPr>
      <w:pBdr>
        <w:top w:val="none" w:color="4874CB" w:themeColor="accent1" w:sz="0" w:space="1"/>
        <w:left w:val="none" w:color="4874CB" w:themeColor="accent1" w:sz="0" w:space="4"/>
        <w:bottom w:val="single" w:color="B3ECE7" w:themeColor="accent5" w:themeTint="59" w:sz="12" w:space="10"/>
        <w:right w:val="none" w:color="4874CB" w:themeColor="accent1" w:sz="0" w:space="4"/>
      </w:pBdr>
      <w:bidi w:val="0"/>
      <w:adjustRightInd w:val="0"/>
      <w:snapToGrid w:val="0"/>
      <w:spacing w:before="100" w:beforeLines="100" w:after="100" w:afterLines="100"/>
      <w:ind w:left="0" w:leftChars="0" w:firstLine="0" w:firstLineChars="0"/>
      <w:textAlignment w:val="center"/>
    </w:pPr>
    <w:rPr>
      <w:rFonts w:ascii="汉仪书宋二简" w:hAnsi="汉仪书宋二简" w:eastAsia="汉仪书宋二简" w:cstheme="minorBidi"/>
      <w:color w:val="0D0D0D" w:themeColor="text1" w:themeTint="F2"/>
      <w:sz w:val="44"/>
      <w:szCs w:val="44"/>
      <w:lang w:val="en-US" w:eastAsia="zh-CN" w:bidi="ar-SA"/>
      <w14:textFill>
        <w14:solidFill>
          <w14:schemeClr w14:val="tx1">
            <w14:lumMod w14:val="95000"/>
            <w14:lumOff w14:val="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sv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contractReview xmlns="http://schemas.wps.cn/vas-ai-hub/contract-review">
  <reviewItems>
    <reviewItem>
      <errorID>c58d7af8-179d-4020-91b7-654861b81df5</errorID>
      <errorWord>-</errorWord>
      <group>L1_Format</group>
      <groupName>格式问题</groupName>
      <ability>L2_HalfPunc_CN</ability>
      <abilityName/>
      <candidateList>
        <item>－</item>
      </candidateList>
      <explain>文本全半角错误。</explain>
      <paraID>62914976</paraID>
      <start>208</start>
      <end>209</end>
      <status>ignored</status>
      <modifiedWord/>
      <trackRevisions>false</trackRevisions>
    </reviewItem>
    <reviewItem>
      <errorID>4221a22b-776a-4401-8b26-589cbd486424</errorID>
      <errorWord>（</errorWord>
      <group>L1_Punc</group>
      <groupName>标点问题</groupName>
      <ability>L2_Punc_CN</ability>
      <abilityName/>
      <candidateList/>
      <explain>同一形式括号套用。</explain>
      <paraID> F39D096</paraID>
      <start>61</start>
      <end>62</end>
      <status>ignored</status>
      <modifiedWord/>
      <trackRevisions>false</trackRevisions>
    </reviewItem>
    <reviewItem>
      <errorID>4646a890-63c0-4dca-b116-0691fbeaf0b0</errorID>
      <errorWord>）</errorWord>
      <group>L1_Punc</group>
      <groupName>标点问题</groupName>
      <ability>L2_Punc_CN</ability>
      <abilityName/>
      <candidateList/>
      <explain>同一形式括号套用。</explain>
      <paraID> F39D096</paraID>
      <start>75</start>
      <end>76</end>
      <status>ignored</status>
      <modifiedWord/>
      <trackRevisions>false</trackRevisions>
    </reviewItem>
    <reviewItem>
      <errorID>a2db3abb-e6d2-44d6-99c1-cee7d37b7b99</errorID>
      <errorWord>、</errorWord>
      <group>L1_Word</group>
      <groupName>字词问题</groupName>
      <ability>L2_Typo</ability>
      <abilityName>字词错误</abilityName>
      <candidateList>
        <item>、新</item>
      </candidateList>
      <explain/>
      <paraID>68209036</paraID>
      <start>25</start>
      <end>26</end>
      <status>ignored</status>
      <modifiedWord/>
      <trackRevisions>false</trackRevisions>
    </reviewItem>
    <reviewItem>
      <errorID>2af75faa-c57a-4b6d-a429-c381e5111390</errorID>
      <errorWord>一</errorWord>
      <group>L1_Word</group>
      <groupName>字词问题</groupName>
      <ability>L2_Typo</ability>
      <abilityName>字词错误</abilityName>
      <candidateList>
        <item>一个</item>
      </candidateList>
      <explain/>
      <paraID>  775B42</paraID>
      <start>77</start>
      <end>79</end>
      <status>modified</status>
      <modifiedWord>一个</modifiedWord>
      <trackRevisions>false</trackRevisions>
    </reviewItem>
    <reviewItem>
      <errorID>cbb677fc-08ca-4b02-af40-1577b3b3f0e6</errorID>
      <errorWord>一</errorWord>
      <group>L1_Word</group>
      <groupName>字词问题</groupName>
      <ability>L2_Typo</ability>
      <abilityName>字词错误</abilityName>
      <candidateList>
        <item>一个</item>
      </candidateList>
      <explain/>
      <paraID>  775B42</paraID>
      <start>81</start>
      <end>83</end>
      <status>modified</status>
      <modifiedWord>一个</modifiedWord>
      <trackRevisions>false</trackRevisions>
    </reviewItem>
    <reviewItem>
      <errorID>e43da305-7bbd-4846-a7bc-0b8cb4d67c81</errorID>
      <errorWord>使用</errorWord>
      <group>L1_Grammar</group>
      <groupName>语法问题</groupName>
      <ability>L2_Grammar</ability>
      <abilityName>语法错误</abilityName>
      <candidateList>
        <item>使用的物品</item>
      </candidateList>
      <explain/>
      <paraID>7506BF57</paraID>
      <start>14</start>
      <end>16</end>
      <status>ignored</status>
      <modifiedWord/>
      <trackRevisions>false</trackRevisions>
    </reviewItem>
    <reviewItem>
      <errorID>fe55ec20-82dc-4703-a3cf-2e99d5564ad8</errorID>
      <errorWord>使用</errorWord>
      <group>L1_Grammar</group>
      <groupName>语法问题</groupName>
      <ability>L2_Grammar</ability>
      <abilityName>语法错误</abilityName>
      <candidateList>
        <item>使用的物品</item>
      </candidateList>
      <explain/>
      <paraID>150895DF</paraID>
      <start>11</start>
      <end>13</end>
      <status>ignored</status>
      <modifiedWord/>
      <trackRevisions>false</trackRevisions>
    </reviewItem>
    <reviewItem>
      <errorID>d99adc28-3bd0-402b-b154-515a736cce23</errorID>
      <errorWord>国税总局</errorWord>
      <group>L1_Political</group>
      <groupName>政治性问题</groupName>
      <ability>L2_Keyword</ability>
      <abilityName>固定表述</abilityName>
      <candidateList>
        <item>国家税务总局</item>
      </candidateList>
      <explain>此处内容疑似含有固定表述相关错误，建议核查。</explain>
      <paraID>121C0ACB</paraID>
      <start>111</start>
      <end>115</end>
      <status>ignored</status>
      <modifiedWord/>
      <trackRevisions>false</trackRevisions>
    </reviewItem>
    <reviewItem>
      <errorID>0cc670f4-376c-4be8-8737-f7f628f56c66</errorID>
      <errorWord>国税总局</errorWord>
      <group>L1_Political</group>
      <groupName>政治性问题</groupName>
      <ability>L2_Keyword</ability>
      <abilityName>固定表述</abilityName>
      <candidateList>
        <item>国家税务总局</item>
      </candidateList>
      <explain>此处内容疑似含有固定表述相关错误，建议核查。</explain>
      <paraID>1480BAC9</paraID>
      <start>0</start>
      <end>4</end>
      <status>ignored</status>
      <modifiedWord/>
      <trackRevisions>false</trackRevisions>
    </reviewItem>
    <reviewItem>
      <errorID>19c1e196-18a3-4896-9d94-6b91a6e1cd3d</errorID>
      <errorWord>-</errorWord>
      <group>L1_Format</group>
      <groupName>格式问题</groupName>
      <ability>L2_HalfPunc_CN</ability>
      <abilityName/>
      <candidateList>
        <item>－</item>
      </candidateList>
      <explain>文本全半角错误。</explain>
      <paraID>4535A8A1</paraID>
      <start>57</start>
      <end>58</end>
      <status>ignored</status>
      <modifiedWord/>
      <trackRevisions>false</trackRevisions>
    </reviewItem>
    <reviewItem>
      <errorID>538f8681-87e1-4edb-a677-ee0a1e16de0f</errorID>
      <errorWord>国税总局</errorWord>
      <group>L1_Political</group>
      <groupName>政治性问题</groupName>
      <ability>L2_Keyword</ability>
      <abilityName>固定表述</abilityName>
      <candidateList>
        <item>国家税务总局</item>
      </candidateList>
      <explain>此处内容疑似含有固定表述相关错误，建议核查。</explain>
      <paraID> 8CC02D2</paraID>
      <start>2</start>
      <end>6</end>
      <status>ignored</status>
      <modifiedWord/>
      <trackRevisions>false</trackRevisions>
    </reviewItem>
    <reviewItem>
      <errorID>15b50dd2-cdab-4c86-8dd9-51f981de450b</errorID>
      <errorWord>50</errorWord>
      <group>L1_Word</group>
      <groupName>字词问题</groupName>
      <ability>L2_Typo</ability>
      <abilityName>字词错误</abilityName>
      <candidateList>
        <item>从50</item>
      </candidateList>
      <explain/>
      <paraID>77B492BC</paraID>
      <start>20</start>
      <end>23</end>
      <status>modified</status>
      <modifiedWord>从50</modifiedWord>
      <trackRevisions>false</trackRevisions>
    </reviewItem>
    <reviewItem>
      <errorID>ddd551d0-c798-42a3-afce-c7a1e082d162</errorID>
      <errorWord>、</errorWord>
      <group>L1_Word</group>
      <groupName>字词问题</groupName>
      <ability>L2_Typo</ability>
      <abilityName>字词错误</abilityName>
      <candidateList>
        <item>到</item>
      </candidateList>
      <explain/>
      <paraID>77B492BC</paraID>
      <start>33</start>
      <end>34</end>
      <status>modified</status>
      <modifiedWord>到</modifiedWord>
      <trackRevisions>false</trackRevisions>
    </reviewItem>
    <reviewItem>
      <errorID>4c8320cb-9db0-4ca3-8bee-cedd3611df3a</errorID>
      <errorWord>。</errorWord>
      <group>L1_Grammar</group>
      <groupName>语法问题</groupName>
      <ability>L2_Grammar</ability>
      <abilityName>语法错误</abilityName>
      <candidateList>
        <item>的调整过程。</item>
      </candidateList>
      <explain/>
      <paraID>77B492BC</paraID>
      <start>38</start>
      <end>44</end>
      <status>modified</status>
      <modifiedWord>的调整过程。</modifiedWord>
      <trackRevisions>false</trackRevisions>
    </reviewItem>
    <reviewItem>
      <errorID>bbbfd76e-9264-40a5-a053-39e4dc93c583</errorID>
      <errorWord>120</errorWord>
      <group>L1_Word</group>
      <groupName>字词问题</groupName>
      <ability>L2_Typo</ability>
      <abilityName>字词错误</abilityName>
      <candidateList>
        <item>为120</item>
      </candidateList>
      <explain/>
      <paraID>77B492BC</paraID>
      <start>111</start>
      <end>115</end>
      <status>modified</status>
      <modifiedWord>为120</modifiedWord>
      <trackRevisions>false</trackRevisions>
    </reviewItem>
    <reviewItem>
      <errorID>55b8eb2c-118d-4f96-aeec-43727eedd52b</errorID>
      <errorWord>100</errorWord>
      <group>L1_Word</group>
      <groupName>字词问题</groupName>
      <ability>L2_Typo</ability>
      <abilityName>字词错误</abilityName>
      <candidateList>
        <item>为100</item>
      </candidateList>
      <explain/>
      <paraID>77B492BC</paraID>
      <start>121</start>
      <end>125</end>
      <status>modified</status>
      <modifiedWord>为100</modifiedWord>
      <trackRevisions>false</trackRevisions>
    </reviewItem>
    <reviewItem>
      <errorID>3bd8dd9a-1e96-4aed-ac90-1294fe6e2cd0</errorID>
      <errorWord>研发费用税前扣除</errorWord>
      <group>L1_Political</group>
      <groupName>政治性问题</groupName>
      <ability>L2_Keyword</ability>
      <abilityName>固定表述</abilityName>
      <candidateList>
        <item>研发费用加计扣除</item>
      </candidateList>
      <explain>词汇“研发费用加计扣除”在特定场景下为固定表述形式，请确认此处的“研发费用税前扣除”是否存在不当。</explain>
      <paraID>7CE2F404</paraID>
      <start>9</start>
      <end>17</end>
      <status>ignored</status>
      <modifiedWord/>
      <trackRevisions>false</trackRevisions>
    </reviewItem>
    <reviewItem>
      <errorID>3be4c8d1-fc63-4993-aaa6-d7b5b814d58f</errorID>
      <errorWord>1-10%</errorWord>
      <group>L1_Knowledge</group>
      <groupName>知识性问题</groupName>
      <ability>L2_Knowledge</ability>
      <abilityName>其他知识</abilityName>
      <candidateList>
        <item>1%—10%</item>
      </candidateList>
      <explain>1. “1-10%”中的单位“%”仅出现在后一个数字上，容易引起歧义；根据《现代汉语标点符号数字用法规范手册》，数字表示范围两边需要使用统一的格式。2. 根据标点国标 4.13 中的规则，数字、时间或地域连接符应使用（视觉上更长的）“—”或“～”。</explain>
      <paraID>66310694</paraID>
      <start>47</start>
      <end>52</end>
      <status>ignored</status>
      <modifiedWord/>
      <trackRevisions>false</trackRevisions>
    </reviewItem>
    <reviewItem>
      <errorID>3582592a-db8b-4226-90ce-02765713f8f9</errorID>
      <errorWord>第3季度</errorWord>
      <group>L1_Word</group>
      <groupName>字词问题</groupName>
      <ability>L2_Typo</ability>
      <abilityName>字词错误</abilityName>
      <candidateList>
        <item>第三季度</item>
      </candidateList>
      <explain/>
      <paraID> 7E7FE42</paraID>
      <start>86</start>
      <end>90</end>
      <status>ignored</status>
      <modifiedWord/>
      <trackRevisions>false</trackRevisions>
    </reviewItem>
    <reviewItem>
      <errorID>f17c93bf-e90c-4a02-96ed-ad42a7cd52ce</errorID>
      <errorWord>-</errorWord>
      <group>L1_Format</group>
      <groupName>格式问题</groupName>
      <ability>L2_HalfPunc_CN</ability>
      <abilityName/>
      <candidateList>
        <item>－</item>
      </candidateList>
      <explain>文本全半角错误。</explain>
      <paraID>59023048</paraID>
      <start>23</start>
      <end>24</end>
      <status>ignored</status>
      <modifiedWord/>
      <trackRevisions>false</trackRevisions>
    </reviewItem>
    <reviewItem>
      <errorID>25412607-1b9c-464e-a7ce-4c1b6723d2cf</errorID>
      <errorWord>研发研发</errorWord>
      <group>L1_Word</group>
      <groupName>字词问题</groupName>
      <ability>L2_Typo</ability>
      <abilityName>字词错误</abilityName>
      <candidateList>
        <item>研发</item>
      </candidateList>
      <explain/>
      <paraID>4224C2F4</paraID>
      <start>9</start>
      <end>13</end>
      <status>ignored</status>
      <modifiedWord/>
      <trackRevisions>false</trackRevisions>
    </reviewItem>
    <reviewItem>
      <errorID>d234bf79-3857-475e-a6d5-8d1722ea4149</errorID>
      <errorWord>研发研发</errorWord>
      <group>L1_Word</group>
      <groupName>字词问题</groupName>
      <ability>L2_Typo</ability>
      <abilityName>字词错误</abilityName>
      <candidateList>
        <item>研发</item>
      </candidateList>
      <explain/>
      <paraID>3328FFDF</paraID>
      <start>9</start>
      <end>13</end>
      <status>ignored</status>
      <modifiedWord/>
      <trackRevisions>false</trackRevisions>
    </reviewItem>
    <reviewItem>
      <errorID>96bf05f7-a238-4cf9-b90a-97de3acc3702</errorID>
      <errorWord>研发研发</errorWord>
      <group>L1_Word</group>
      <groupName>字词问题</groupName>
      <ability>L2_Typo</ability>
      <abilityName>字词错误</abilityName>
      <candidateList>
        <item>研发</item>
      </candidateList>
      <explain/>
      <paraID>545F45ED</paraID>
      <start>9</start>
      <end>13</end>
      <status>ignored</status>
      <modifiedWord/>
      <trackRevisions>false</trackRevisions>
    </reviewItem>
    <reviewItem>
      <errorID>69f82a21-b7fd-4e63-b798-0588106d03ef</errorID>
      <errorWord>研发研发</errorWord>
      <group>L1_Word</group>
      <groupName>字词问题</groupName>
      <ability>L2_Typo</ability>
      <abilityName>字词错误</abilityName>
      <candidateList>
        <item>研发</item>
      </candidateList>
      <explain/>
      <paraID>3D56851A</paraID>
      <start>9</start>
      <end>13</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93e906-15ba-451e-b364-400535881837}">
  <ds:schemaRefs/>
</ds:datastoreItem>
</file>

<file path=docProps/app.xml><?xml version="1.0" encoding="utf-8"?>
<Properties xmlns="http://schemas.openxmlformats.org/officeDocument/2006/extended-properties" xmlns:vt="http://schemas.openxmlformats.org/officeDocument/2006/docPropsVTypes">
  <Template>Normal.dotm</Template>
  <Pages>31</Pages>
  <Words>2762</Words>
  <Characters>3017</Characters>
  <Lines>0</Lines>
  <Paragraphs>0</Paragraphs>
  <TotalTime>140</TotalTime>
  <ScaleCrop>false</ScaleCrop>
  <LinksUpToDate>false</LinksUpToDate>
  <CharactersWithSpaces>3147</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2024-12-30T01:39:00Z</dcterms:created>
  <dc:creator>wxf10</dc:creator>
  <cp:lastModifiedBy>wxf10</cp:lastModifiedBy>
  <dcterms:modified xsi:type="dcterms:W3CDTF">2026-05-26T05:47:13Z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KSOTemplateDocerSaveRecord">
    <vt:lpwstr>eyJoZGlkIjoiNzUxYjY1YTkwNmRmNDdmZGQ5ZjEwZjNiZTE4N2ZhNGUiLCJ1c2VySWQiOiIyMzUzNjI4ODUifQ==</vt:lpwstr>
  </property>
  <property fmtid="{D5CDD505-2E9C-101B-9397-08002B2CF9AE}" pid="4" name="ICV">
    <vt:lpwstr>23A7053397754BF19F22B812CE9F32E1</vt:lpwstr>
  </property>
</Properties>
</file>