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C2" w:rsidRDefault="005F0AC2">
      <w:pPr>
        <w:rPr>
          <w:rFonts w:hint="eastAsia"/>
        </w:rPr>
      </w:pPr>
      <w:r>
        <w:rPr>
          <w:rFonts w:hint="eastAsia"/>
        </w:rPr>
        <w:t>2.1</w:t>
      </w:r>
      <w:r>
        <w:rPr>
          <w:rFonts w:hint="eastAsia"/>
        </w:rPr>
        <w:t>概述及相关工作</w:t>
      </w:r>
    </w:p>
    <w:p w:rsidR="005F0AC2" w:rsidRDefault="005F0AC2">
      <w:pPr>
        <w:rPr>
          <w:rFonts w:hint="eastAsia"/>
        </w:rPr>
      </w:pPr>
      <w:r>
        <w:rPr>
          <w:rFonts w:hint="eastAsia"/>
        </w:rPr>
        <w:tab/>
      </w:r>
      <w:r w:rsidR="00381330">
        <w:rPr>
          <w:rFonts w:hint="eastAsia"/>
        </w:rPr>
        <w:t>在以</w:t>
      </w:r>
      <w:r w:rsidR="00381330">
        <w:rPr>
          <w:rFonts w:hint="eastAsia"/>
        </w:rPr>
        <w:t>SPH</w:t>
      </w:r>
      <w:r w:rsidR="00381330">
        <w:rPr>
          <w:rFonts w:hint="eastAsia"/>
        </w:rPr>
        <w:t>，</w:t>
      </w:r>
      <w:r w:rsidR="00381330">
        <w:rPr>
          <w:rFonts w:hint="eastAsia"/>
        </w:rPr>
        <w:t>MPM</w:t>
      </w:r>
      <w:r w:rsidR="00381330">
        <w:rPr>
          <w:rFonts w:hint="eastAsia"/>
        </w:rPr>
        <w:t>等为代表的各类无网格法仿真计算的结果表示中，多以粒子的形式存在。各粒子携带有物质的质量、速度、温度等各种物理量，而其最重要的一个特点就是，粒子的位置分布是非规则的</w:t>
      </w:r>
      <w:r w:rsidR="00F8101D">
        <w:rPr>
          <w:rFonts w:hint="eastAsia"/>
        </w:rPr>
        <w:t>，所以这也造成了其所代表的模型很难从这样的非规则分布粒子中提取表面信息。</w:t>
      </w:r>
    </w:p>
    <w:p w:rsidR="00E46E74" w:rsidRDefault="00890839">
      <w:pPr>
        <w:rPr>
          <w:rFonts w:hint="eastAsia"/>
        </w:rPr>
      </w:pPr>
      <w:r>
        <w:rPr>
          <w:rFonts w:hint="eastAsia"/>
        </w:rPr>
        <w:tab/>
      </w:r>
      <w:r>
        <w:rPr>
          <w:rFonts w:hint="eastAsia"/>
        </w:rPr>
        <w:t>针对这类问题，隐式表面方法是一种被广泛采用的重构表面信息的方法。</w:t>
      </w:r>
      <w:r w:rsidR="00E46E74">
        <w:rPr>
          <w:rFonts w:hint="eastAsia"/>
        </w:rPr>
        <w:t>该方法主要有两种形式</w:t>
      </w:r>
      <w:r w:rsidR="00CD5F6F">
        <w:rPr>
          <w:rFonts w:hint="eastAsia"/>
        </w:rPr>
        <w:t>，</w:t>
      </w:r>
      <w:r w:rsidR="00E46E74">
        <w:rPr>
          <w:rFonts w:hint="eastAsia"/>
        </w:rPr>
        <w:t>其一为</w:t>
      </w:r>
      <w:r w:rsidR="00E46E74">
        <w:rPr>
          <w:rFonts w:hint="eastAsia"/>
        </w:rPr>
        <w:t>Hoppe</w:t>
      </w:r>
      <w:r w:rsidR="00E46E74">
        <w:rPr>
          <w:rFonts w:hint="eastAsia"/>
        </w:rPr>
        <w:t>等人【</w:t>
      </w:r>
      <w:r w:rsidR="002A5596">
        <w:rPr>
          <w:rFonts w:hint="eastAsia"/>
        </w:rPr>
        <w:t>1</w:t>
      </w:r>
      <w:r w:rsidR="00E46E74">
        <w:rPr>
          <w:rFonts w:hint="eastAsia"/>
        </w:rPr>
        <w:t>】</w:t>
      </w:r>
      <w:r w:rsidR="00FA4335">
        <w:rPr>
          <w:rFonts w:hint="eastAsia"/>
        </w:rPr>
        <w:t>提出的符号距离函数法，该方法分两个步骤：首先通过一点附近邻域内的点集进行线性拟合，得到一个局部的正切平面</w:t>
      </w:r>
      <w:r w:rsidR="0073019F" w:rsidRPr="00DB6AF1">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6" o:title=""/>
          </v:shape>
          <o:OLEObject Type="Embed" ProgID="Equation.DSMT4" ShapeID="_x0000_i1025" DrawAspect="Content" ObjectID="_1491682541" r:id="rId7"/>
        </w:object>
      </w:r>
      <w:r w:rsidR="00FA4335">
        <w:rPr>
          <w:rFonts w:hint="eastAsia"/>
        </w:rPr>
        <w:t>；然后</w:t>
      </w:r>
      <w:r w:rsidR="0073019F">
        <w:rPr>
          <w:rFonts w:hint="eastAsia"/>
        </w:rPr>
        <w:t>对于空间中任意一点</w:t>
      </w:r>
      <w:r w:rsidR="0073019F" w:rsidRPr="00DB6AF1">
        <w:rPr>
          <w:position w:val="-4"/>
        </w:rPr>
        <w:object w:dxaOrig="200" w:dyaOrig="200">
          <v:shape id="_x0000_i1027" type="#_x0000_t75" style="width:9.75pt;height:9.75pt" o:ole="">
            <v:imagedata r:id="rId8" o:title=""/>
          </v:shape>
          <o:OLEObject Type="Embed" ProgID="Equation.DSMT4" ShapeID="_x0000_i1027" DrawAspect="Content" ObjectID="_1491682542" r:id="rId9"/>
        </w:object>
      </w:r>
      <w:r w:rsidR="0073019F">
        <w:rPr>
          <w:rFonts w:hint="eastAsia"/>
        </w:rPr>
        <w:t>，计算</w:t>
      </w:r>
      <w:r w:rsidR="0073019F" w:rsidRPr="00DB6AF1">
        <w:rPr>
          <w:position w:val="-4"/>
        </w:rPr>
        <w:object w:dxaOrig="200" w:dyaOrig="200">
          <v:shape id="_x0000_i1028" type="#_x0000_t75" style="width:9.75pt;height:9.75pt" o:ole="">
            <v:imagedata r:id="rId10" o:title=""/>
          </v:shape>
          <o:OLEObject Type="Embed" ProgID="Equation.DSMT4" ShapeID="_x0000_i1028" DrawAspect="Content" ObjectID="_1491682543" r:id="rId11"/>
        </w:object>
      </w:r>
      <w:r w:rsidR="0073019F">
        <w:rPr>
          <w:rFonts w:hint="eastAsia"/>
        </w:rPr>
        <w:t>到</w:t>
      </w:r>
      <w:r w:rsidR="0073019F" w:rsidRPr="00DB6AF1">
        <w:rPr>
          <w:position w:val="-6"/>
        </w:rPr>
        <w:object w:dxaOrig="220" w:dyaOrig="279">
          <v:shape id="_x0000_i1026" type="#_x0000_t75" style="width:11.25pt;height:14.25pt" o:ole="">
            <v:imagedata r:id="rId12" o:title=""/>
          </v:shape>
          <o:OLEObject Type="Embed" ProgID="Equation.DSMT4" ShapeID="_x0000_i1026" DrawAspect="Content" ObjectID="_1491682544" r:id="rId13"/>
        </w:object>
      </w:r>
      <w:r w:rsidR="0073019F">
        <w:rPr>
          <w:rFonts w:hint="eastAsia"/>
        </w:rPr>
        <w:t>的距离函数</w:t>
      </w:r>
      <w:r w:rsidR="0073019F" w:rsidRPr="00DB6AF1">
        <w:rPr>
          <w:position w:val="-14"/>
        </w:rPr>
        <w:object w:dxaOrig="560" w:dyaOrig="400">
          <v:shape id="_x0000_i1029" type="#_x0000_t75" style="width:27.75pt;height:20.25pt" o:ole="">
            <v:imagedata r:id="rId14" o:title=""/>
          </v:shape>
          <o:OLEObject Type="Embed" ProgID="Equation.DSMT4" ShapeID="_x0000_i1029" DrawAspect="Content" ObjectID="_1491682545" r:id="rId15"/>
        </w:object>
      </w:r>
      <w:r w:rsidR="0073019F">
        <w:rPr>
          <w:rFonts w:hint="eastAsia"/>
        </w:rPr>
        <w:t>，若</w:t>
      </w:r>
      <w:r w:rsidR="0073019F" w:rsidRPr="00DB6AF1">
        <w:rPr>
          <w:position w:val="-4"/>
        </w:rPr>
        <w:object w:dxaOrig="200" w:dyaOrig="200">
          <v:shape id="_x0000_i1030" type="#_x0000_t75" style="width:9.75pt;height:9.75pt" o:ole="">
            <v:imagedata r:id="rId16" o:title=""/>
          </v:shape>
          <o:OLEObject Type="Embed" ProgID="Equation.DSMT4" ShapeID="_x0000_i1030" DrawAspect="Content" ObjectID="_1491682546" r:id="rId17"/>
        </w:object>
      </w:r>
      <w:r w:rsidR="0073019F">
        <w:rPr>
          <w:rFonts w:hint="eastAsia"/>
        </w:rPr>
        <w:t>位于表面外则记为正，反之为负。则该重构的表面便可以用</w:t>
      </w:r>
      <w:r w:rsidR="0073019F" w:rsidRPr="00DB6AF1">
        <w:rPr>
          <w:position w:val="-14"/>
        </w:rPr>
        <w:object w:dxaOrig="920" w:dyaOrig="400">
          <v:shape id="_x0000_i1031" type="#_x0000_t75" style="width:45.75pt;height:20.25pt" o:ole="">
            <v:imagedata r:id="rId18" o:title=""/>
          </v:shape>
          <o:OLEObject Type="Embed" ProgID="Equation.DSMT4" ShapeID="_x0000_i1031" DrawAspect="Content" ObjectID="_1491682547" r:id="rId19"/>
        </w:object>
      </w:r>
      <w:r w:rsidR="0073019F">
        <w:rPr>
          <w:rFonts w:hint="eastAsia"/>
        </w:rPr>
        <w:t>隐式地表达。</w:t>
      </w:r>
      <w:r w:rsidR="00002E59">
        <w:rPr>
          <w:rFonts w:hint="eastAsia"/>
        </w:rPr>
        <w:t>其二为</w:t>
      </w:r>
      <w:r w:rsidR="00440CC1" w:rsidRPr="00FA7C51">
        <w:t>M¨uller</w:t>
      </w:r>
      <w:r w:rsidR="00440CC1" w:rsidRPr="00FA7C51">
        <w:rPr>
          <w:rFonts w:hint="eastAsia"/>
        </w:rPr>
        <w:t>等人【</w:t>
      </w:r>
      <w:r w:rsidR="00440CC1" w:rsidRPr="00FA7C51">
        <w:rPr>
          <w:rFonts w:hint="eastAsia"/>
        </w:rPr>
        <w:t>2</w:t>
      </w:r>
      <w:r w:rsidR="00A9286A">
        <w:rPr>
          <w:rFonts w:hint="eastAsia"/>
        </w:rPr>
        <w:t>】使用</w:t>
      </w:r>
      <w:r w:rsidR="00440CC1" w:rsidRPr="00FA7C51">
        <w:rPr>
          <w:rFonts w:hint="eastAsia"/>
        </w:rPr>
        <w:t>的用标量场的等值面定义表面的算法</w:t>
      </w:r>
      <w:r w:rsidR="00E15093">
        <w:rPr>
          <w:rFonts w:hint="eastAsia"/>
        </w:rPr>
        <w:t>。该算法在每一个粒子的位置定义一个“核”，空间一点处的值为该点到核心的半径的函数，对空间中任意一点，该处的标量场值为所有“核”在该点处贡献的叠加。</w:t>
      </w:r>
    </w:p>
    <w:p w:rsidR="00935908" w:rsidRDefault="00935908">
      <w:pPr>
        <w:rPr>
          <w:rFonts w:hint="eastAsia"/>
        </w:rPr>
      </w:pPr>
      <w:r>
        <w:rPr>
          <w:rFonts w:hint="eastAsia"/>
        </w:rPr>
        <w:tab/>
      </w:r>
      <w:r>
        <w:rPr>
          <w:rFonts w:hint="eastAsia"/>
        </w:rPr>
        <w:t>第一类方法适用于粒子数量较大、密度分布较为均匀的情况，而当模型局部的粒子比较少的时候，通过局部拟合来构造表面的方法明显不合适，而第二类方法却不受这个限制，即使只有一个粒子，也可以完成表面构造。而本文需要处理碎片等情况，会有局部粒子较少的情况，所以考虑使用第二类方法。</w:t>
      </w:r>
    </w:p>
    <w:p w:rsidR="008B06FB" w:rsidRDefault="008B06FB">
      <w:pPr>
        <w:rPr>
          <w:rFonts w:hint="eastAsia"/>
        </w:rPr>
      </w:pPr>
    </w:p>
    <w:p w:rsidR="00935908" w:rsidRDefault="008B06FB">
      <w:pPr>
        <w:rPr>
          <w:rFonts w:hint="eastAsia"/>
        </w:rPr>
      </w:pPr>
      <w:r>
        <w:rPr>
          <w:rFonts w:hint="eastAsia"/>
        </w:rPr>
        <w:tab/>
      </w:r>
      <w:r>
        <w:rPr>
          <w:rFonts w:hint="eastAsia"/>
        </w:rPr>
        <w:t>本文中此部分</w:t>
      </w:r>
      <w:r w:rsidR="00A9286A">
        <w:rPr>
          <w:rFonts w:hint="eastAsia"/>
        </w:rPr>
        <w:t>的功能</w:t>
      </w:r>
      <w:r>
        <w:rPr>
          <w:rFonts w:hint="eastAsia"/>
        </w:rPr>
        <w:t>主要基于</w:t>
      </w:r>
      <w:r w:rsidRPr="008B06FB">
        <w:t>Yu</w:t>
      </w:r>
      <w:r w:rsidRPr="008B06FB">
        <w:rPr>
          <w:rFonts w:hint="eastAsia"/>
        </w:rPr>
        <w:t>和</w:t>
      </w:r>
      <w:r w:rsidRPr="008B06FB">
        <w:t>Turk</w:t>
      </w:r>
      <w:r>
        <w:rPr>
          <w:rFonts w:hint="eastAsia"/>
        </w:rPr>
        <w:t>在</w:t>
      </w:r>
      <w:r>
        <w:rPr>
          <w:rFonts w:hint="eastAsia"/>
        </w:rPr>
        <w:t>2013</w:t>
      </w:r>
      <w:r>
        <w:rPr>
          <w:rFonts w:hint="eastAsia"/>
        </w:rPr>
        <w:t>年的工作【</w:t>
      </w:r>
      <w:r>
        <w:rPr>
          <w:rFonts w:hint="eastAsia"/>
        </w:rPr>
        <w:t>3</w:t>
      </w:r>
      <w:r>
        <w:rPr>
          <w:rFonts w:hint="eastAsia"/>
        </w:rPr>
        <w:t>】，</w:t>
      </w:r>
      <w:r w:rsidR="00195014">
        <w:rPr>
          <w:rFonts w:hint="eastAsia"/>
        </w:rPr>
        <w:t>这篇文章主要基于【</w:t>
      </w:r>
      <w:r w:rsidR="00195014">
        <w:rPr>
          <w:rFonts w:hint="eastAsia"/>
        </w:rPr>
        <w:t>2</w:t>
      </w:r>
      <w:r w:rsidR="00195014">
        <w:rPr>
          <w:rFonts w:hint="eastAsia"/>
        </w:rPr>
        <w:t>】的方法，但是通过引入各向异性核，并加入表面粒子位置调整功能从而实现了更加光滑的表面构造，并且能够保持边角棱等模型的局部细节</w:t>
      </w:r>
      <w:r w:rsidR="00E025E6">
        <w:rPr>
          <w:rFonts w:hint="eastAsia"/>
        </w:rPr>
        <w:t>。</w:t>
      </w:r>
      <w:r w:rsidR="00C74330">
        <w:rPr>
          <w:rFonts w:hint="eastAsia"/>
        </w:rPr>
        <w:t>本章针对【</w:t>
      </w:r>
      <w:r w:rsidR="00C74330">
        <w:rPr>
          <w:rFonts w:hint="eastAsia"/>
        </w:rPr>
        <w:t>3</w:t>
      </w:r>
      <w:r w:rsidR="00C74330">
        <w:rPr>
          <w:rFonts w:hint="eastAsia"/>
        </w:rPr>
        <w:t>】中的一些不足之处对其中的算法提出一定改进，以及结合本文后处理模块的特点和需求，对其算法进行了适用性扩展，主要工作如下：</w:t>
      </w:r>
    </w:p>
    <w:p w:rsidR="00C74330" w:rsidRDefault="00C74330">
      <w:pPr>
        <w:rPr>
          <w:rFonts w:hint="eastAsia"/>
        </w:rPr>
      </w:pPr>
    </w:p>
    <w:p w:rsidR="00C74330" w:rsidRDefault="00C74330">
      <w:pPr>
        <w:rPr>
          <w:rFonts w:hint="eastAsia"/>
        </w:rPr>
      </w:pPr>
      <w:r>
        <w:rPr>
          <w:rFonts w:hint="eastAsia"/>
        </w:rPr>
        <w:tab/>
        <w:t>1.</w:t>
      </w:r>
      <w:r w:rsidR="00306902">
        <w:rPr>
          <w:rFonts w:hint="eastAsia"/>
        </w:rPr>
        <w:t>【</w:t>
      </w:r>
      <w:r w:rsidR="00306902">
        <w:rPr>
          <w:rFonts w:hint="eastAsia"/>
        </w:rPr>
        <w:t>3</w:t>
      </w:r>
      <w:r w:rsidR="00306902">
        <w:rPr>
          <w:rFonts w:hint="eastAsia"/>
        </w:rPr>
        <w:t>】中的主要效率瓶颈为标量场的计算，其算法要为模型中的每个粒子计算标量场值，这消耗了大量时间，同时存储所有网格结点也会耗费较大内存。本文通过引入一种增长型八叉树结构，可以实现只计算模型表面附近的标量场从而达到大大降低计算时间和减小内存消耗的目的；同时实现了空间划分，加速光线跟踪算法中光线和重构出的三角形表面求交运算的速度。</w:t>
      </w:r>
    </w:p>
    <w:p w:rsidR="000317BC" w:rsidRDefault="000317BC">
      <w:pPr>
        <w:rPr>
          <w:rFonts w:hint="eastAsia"/>
        </w:rPr>
      </w:pPr>
      <w:r>
        <w:rPr>
          <w:rFonts w:hint="eastAsia"/>
        </w:rPr>
        <w:tab/>
        <w:t>2.</w:t>
      </w:r>
      <w:r w:rsidR="006460C6">
        <w:rPr>
          <w:rFonts w:hint="eastAsia"/>
        </w:rPr>
        <w:t>由于【</w:t>
      </w:r>
      <w:r w:rsidR="006460C6">
        <w:rPr>
          <w:rFonts w:hint="eastAsia"/>
        </w:rPr>
        <w:t>3</w:t>
      </w:r>
      <w:r w:rsidR="006460C6">
        <w:rPr>
          <w:rFonts w:hint="eastAsia"/>
        </w:rPr>
        <w:t>】中算法仅仅是针对算例，需要根据模型数据的不同手工调试参数，这对于后处理系统来说明显不现实，于是本文</w:t>
      </w:r>
      <w:r w:rsidR="00047A86">
        <w:rPr>
          <w:rFonts w:hint="eastAsia"/>
        </w:rPr>
        <w:t>设计了一套对数据文件的自动分析模块，具体实现参考第四章。该模块的分析结果在表面重构中可以动态自动设置标量场值范围、粒子半径及邻近粒子搜索半径等参数。</w:t>
      </w:r>
    </w:p>
    <w:p w:rsidR="00E973E3" w:rsidRDefault="00E973E3">
      <w:pPr>
        <w:rPr>
          <w:rFonts w:hint="eastAsia"/>
        </w:rPr>
      </w:pPr>
    </w:p>
    <w:p w:rsidR="00E973E3" w:rsidRDefault="00E973E3">
      <w:pPr>
        <w:rPr>
          <w:rFonts w:hint="eastAsia"/>
        </w:rPr>
      </w:pPr>
      <w:r>
        <w:rPr>
          <w:rFonts w:hint="eastAsia"/>
        </w:rPr>
        <w:t>2.2</w:t>
      </w:r>
    </w:p>
    <w:p w:rsidR="00C74330" w:rsidRPr="00C74330" w:rsidRDefault="00C74330"/>
    <w:p w:rsidR="00E46E74" w:rsidRDefault="00E46E74" w:rsidP="00FA7C51">
      <w:r>
        <w:br w:type="page"/>
      </w:r>
    </w:p>
    <w:p w:rsidR="008778FA" w:rsidRDefault="002A5596" w:rsidP="00E46E74">
      <w:pPr>
        <w:rPr>
          <w:rFonts w:ascii="Verdana" w:hAnsi="Verdana" w:hint="eastAsia"/>
          <w:szCs w:val="21"/>
        </w:rPr>
      </w:pPr>
      <w:r>
        <w:rPr>
          <w:rFonts w:ascii="Verdana" w:hAnsi="Verdana" w:hint="eastAsia"/>
          <w:szCs w:val="21"/>
          <w:shd w:val="clear" w:color="auto" w:fill="FFFFFF"/>
        </w:rPr>
        <w:lastRenderedPageBreak/>
        <w:t>[1]</w:t>
      </w:r>
      <w:r w:rsidR="00E46E74" w:rsidRPr="008778FA">
        <w:rPr>
          <w:rFonts w:ascii="Verdana" w:hAnsi="Verdana"/>
          <w:szCs w:val="21"/>
          <w:shd w:val="clear" w:color="auto" w:fill="FFFFFF"/>
        </w:rPr>
        <w:t>Hugues Hoppe,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Tony DeRose,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Tom Duchamp,</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John McDonald,</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Werner Stuetzle</w:t>
      </w:r>
      <w:r w:rsidR="008778FA">
        <w:rPr>
          <w:rFonts w:ascii="Verdana" w:hAnsi="Verdana" w:hint="eastAsia"/>
          <w:szCs w:val="21"/>
          <w:shd w:val="clear" w:color="auto" w:fill="FFFFFF"/>
        </w:rPr>
        <w:t>.</w:t>
      </w:r>
      <w:r w:rsidR="008778FA" w:rsidRPr="008778FA">
        <w:t xml:space="preserve"> </w:t>
      </w:r>
      <w:r w:rsidR="008778FA" w:rsidRPr="008778FA">
        <w:rPr>
          <w:rFonts w:ascii="Verdana" w:hAnsi="Verdana"/>
          <w:szCs w:val="21"/>
        </w:rPr>
        <w:t>Surface reconstruction from unorganized points</w:t>
      </w:r>
      <w:r w:rsidR="008778FA">
        <w:rPr>
          <w:rFonts w:ascii="Verdana" w:hAnsi="Verdana" w:hint="eastAsia"/>
          <w:szCs w:val="21"/>
        </w:rPr>
        <w:t>. Computer Graphics (Proceeding of ACM SIGGRAPH 92),26(2):71-78,1992</w:t>
      </w:r>
    </w:p>
    <w:p w:rsidR="008B06FB" w:rsidRDefault="008B06FB" w:rsidP="00E46E74">
      <w:pPr>
        <w:rPr>
          <w:rFonts w:ascii="Verdana" w:hAnsi="Verdana" w:hint="eastAsia"/>
          <w:szCs w:val="21"/>
        </w:rPr>
      </w:pPr>
    </w:p>
    <w:p w:rsidR="008B06FB" w:rsidRDefault="008B06FB" w:rsidP="008B06FB">
      <w:pPr>
        <w:rPr>
          <w:rFonts w:ascii="Verdana" w:hAnsi="Verdana" w:hint="eastAsia"/>
          <w:szCs w:val="21"/>
        </w:rPr>
      </w:pPr>
      <w:r>
        <w:rPr>
          <w:rFonts w:ascii="Verdana" w:hAnsi="Verdana" w:hint="eastAsia"/>
          <w:szCs w:val="21"/>
        </w:rPr>
        <w:t>【</w:t>
      </w:r>
      <w:r>
        <w:rPr>
          <w:rFonts w:ascii="Verdana" w:hAnsi="Verdana" w:hint="eastAsia"/>
          <w:szCs w:val="21"/>
        </w:rPr>
        <w:t>2</w:t>
      </w:r>
      <w:r>
        <w:rPr>
          <w:rFonts w:ascii="Verdana" w:hAnsi="Verdana" w:hint="eastAsia"/>
          <w:szCs w:val="21"/>
        </w:rPr>
        <w:t>】</w:t>
      </w:r>
      <w:r>
        <w:rPr>
          <w:rFonts w:ascii="Times-Roman" w:hAnsi="Times-Roman" w:cs="Times-Roman"/>
          <w:kern w:val="0"/>
          <w:sz w:val="16"/>
          <w:szCs w:val="16"/>
        </w:rPr>
        <w:t>M</w:t>
      </w:r>
      <w:r w:rsidRPr="008B06FB">
        <w:rPr>
          <w:rFonts w:ascii="Verdana" w:hAnsi="Verdana"/>
          <w:szCs w:val="21"/>
        </w:rPr>
        <w:t>¨ULLER, M., CHARYPAR, D., AND GROSS, M. 2003. Particle-based</w:t>
      </w:r>
      <w:r>
        <w:rPr>
          <w:rFonts w:ascii="Verdana" w:hAnsi="Verdana" w:hint="eastAsia"/>
          <w:szCs w:val="21"/>
        </w:rPr>
        <w:t xml:space="preserve"> </w:t>
      </w:r>
      <w:r w:rsidRPr="008B06FB">
        <w:rPr>
          <w:rFonts w:ascii="Verdana" w:hAnsi="Verdana"/>
          <w:szCs w:val="21"/>
        </w:rPr>
        <w:t xml:space="preserve">fluid simulation for interactive applications. </w:t>
      </w:r>
    </w:p>
    <w:p w:rsidR="008B06FB" w:rsidRDefault="008B06FB" w:rsidP="008B06FB">
      <w:pPr>
        <w:rPr>
          <w:rFonts w:ascii="Verdana" w:hAnsi="Verdana" w:hint="eastAsia"/>
          <w:szCs w:val="21"/>
        </w:rPr>
      </w:pPr>
      <w:r w:rsidRPr="008B06FB">
        <w:rPr>
          <w:rFonts w:ascii="Verdana" w:hAnsi="Verdana"/>
          <w:szCs w:val="21"/>
        </w:rPr>
        <w:t>In Proceedings of the</w:t>
      </w:r>
      <w:r>
        <w:rPr>
          <w:rFonts w:ascii="Verdana" w:hAnsi="Verdana" w:hint="eastAsia"/>
          <w:szCs w:val="21"/>
        </w:rPr>
        <w:t xml:space="preserve"> </w:t>
      </w:r>
      <w:r w:rsidRPr="008B06FB">
        <w:rPr>
          <w:rFonts w:ascii="Verdana" w:hAnsi="Verdana"/>
          <w:szCs w:val="21"/>
        </w:rPr>
        <w:t>ACM SIGGRAPH/Eurographics Symposium on Computer Animation.</w:t>
      </w:r>
      <w:r>
        <w:rPr>
          <w:rFonts w:ascii="Verdana" w:hAnsi="Verdana" w:hint="eastAsia"/>
          <w:szCs w:val="21"/>
        </w:rPr>
        <w:t xml:space="preserve"> </w:t>
      </w:r>
      <w:r w:rsidRPr="008B06FB">
        <w:rPr>
          <w:rFonts w:ascii="Verdana" w:hAnsi="Verdana"/>
          <w:szCs w:val="21"/>
        </w:rPr>
        <w:t>Eurographics Association, 154–159.</w:t>
      </w:r>
    </w:p>
    <w:p w:rsidR="00A5040E" w:rsidRDefault="00A5040E" w:rsidP="008B06FB">
      <w:pPr>
        <w:rPr>
          <w:rFonts w:ascii="Verdana" w:hAnsi="Verdana" w:hint="eastAsia"/>
          <w:szCs w:val="21"/>
        </w:rPr>
      </w:pPr>
    </w:p>
    <w:p w:rsidR="00A5040E" w:rsidRPr="00A5040E" w:rsidRDefault="00A5040E" w:rsidP="00A5040E">
      <w:pPr>
        <w:rPr>
          <w:rFonts w:ascii="Verdana" w:hAnsi="Verdana"/>
          <w:szCs w:val="21"/>
          <w:shd w:val="clear" w:color="auto" w:fill="FFFFFF"/>
        </w:rPr>
      </w:pPr>
      <w:r>
        <w:rPr>
          <w:rFonts w:ascii="Verdana" w:hAnsi="Verdana" w:hint="eastAsia"/>
          <w:szCs w:val="21"/>
        </w:rPr>
        <w:t>【</w:t>
      </w:r>
      <w:r>
        <w:rPr>
          <w:rFonts w:ascii="Verdana" w:hAnsi="Verdana" w:hint="eastAsia"/>
          <w:szCs w:val="21"/>
        </w:rPr>
        <w:t>3</w:t>
      </w:r>
      <w:r>
        <w:rPr>
          <w:rFonts w:ascii="Verdana" w:hAnsi="Verdana" w:hint="eastAsia"/>
          <w:szCs w:val="21"/>
        </w:rPr>
        <w:t>】</w:t>
      </w:r>
      <w:r w:rsidRPr="00A5040E">
        <w:rPr>
          <w:rFonts w:ascii="Verdana" w:hAnsi="Verdana"/>
          <w:szCs w:val="21"/>
          <w:shd w:val="clear" w:color="auto" w:fill="FFFFFF"/>
        </w:rPr>
        <w:t>Yu, J. and Turk, G. 2013. Reconstructing surfaces of particle-based fluids</w:t>
      </w:r>
      <w:r>
        <w:rPr>
          <w:rFonts w:ascii="Verdana" w:hAnsi="Verdana" w:hint="eastAsia"/>
          <w:szCs w:val="21"/>
          <w:shd w:val="clear" w:color="auto" w:fill="FFFFFF"/>
        </w:rPr>
        <w:t xml:space="preserve"> </w:t>
      </w:r>
      <w:r w:rsidRPr="00A5040E">
        <w:rPr>
          <w:rFonts w:ascii="Verdana" w:hAnsi="Verdana"/>
          <w:szCs w:val="21"/>
          <w:shd w:val="clear" w:color="auto" w:fill="FFFFFF"/>
        </w:rPr>
        <w:t>using anisotropic kernels. ACM Trans. Graph. 32, 1, Article 5 (January</w:t>
      </w:r>
      <w:r>
        <w:rPr>
          <w:rFonts w:ascii="Verdana" w:hAnsi="Verdana" w:hint="eastAsia"/>
          <w:szCs w:val="21"/>
          <w:shd w:val="clear" w:color="auto" w:fill="FFFFFF"/>
        </w:rPr>
        <w:t xml:space="preserve"> </w:t>
      </w:r>
      <w:r w:rsidRPr="00A5040E">
        <w:rPr>
          <w:rFonts w:ascii="Verdana" w:hAnsi="Verdana"/>
          <w:szCs w:val="21"/>
          <w:shd w:val="clear" w:color="auto" w:fill="FFFFFF"/>
        </w:rPr>
        <w:t>2013)</w:t>
      </w:r>
    </w:p>
    <w:sectPr w:rsidR="00A5040E" w:rsidRPr="00A5040E"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9E4" w:rsidRDefault="00E829E4" w:rsidP="005F0AC2">
      <w:r>
        <w:separator/>
      </w:r>
    </w:p>
  </w:endnote>
  <w:endnote w:type="continuationSeparator" w:id="0">
    <w:p w:rsidR="00E829E4" w:rsidRDefault="00E829E4" w:rsidP="005F0A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9E4" w:rsidRDefault="00E829E4" w:rsidP="005F0AC2">
      <w:r>
        <w:separator/>
      </w:r>
    </w:p>
  </w:footnote>
  <w:footnote w:type="continuationSeparator" w:id="0">
    <w:p w:rsidR="00E829E4" w:rsidRDefault="00E829E4" w:rsidP="005F0A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0AC2"/>
    <w:rsid w:val="00002E59"/>
    <w:rsid w:val="000317BC"/>
    <w:rsid w:val="00047A86"/>
    <w:rsid w:val="00156B32"/>
    <w:rsid w:val="00195014"/>
    <w:rsid w:val="002A5596"/>
    <w:rsid w:val="00306902"/>
    <w:rsid w:val="00381330"/>
    <w:rsid w:val="00416848"/>
    <w:rsid w:val="00440CC1"/>
    <w:rsid w:val="005F0AC2"/>
    <w:rsid w:val="006460C6"/>
    <w:rsid w:val="0073019F"/>
    <w:rsid w:val="00757B49"/>
    <w:rsid w:val="008778FA"/>
    <w:rsid w:val="00890839"/>
    <w:rsid w:val="008B06FB"/>
    <w:rsid w:val="008F04F2"/>
    <w:rsid w:val="00935908"/>
    <w:rsid w:val="00A5040E"/>
    <w:rsid w:val="00A9286A"/>
    <w:rsid w:val="00C74330"/>
    <w:rsid w:val="00CD5F6F"/>
    <w:rsid w:val="00E025E6"/>
    <w:rsid w:val="00E15093"/>
    <w:rsid w:val="00E46E74"/>
    <w:rsid w:val="00E829E4"/>
    <w:rsid w:val="00E973E3"/>
    <w:rsid w:val="00EE76EB"/>
    <w:rsid w:val="00F8101D"/>
    <w:rsid w:val="00FA4335"/>
    <w:rsid w:val="00FA7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AC2"/>
    <w:rPr>
      <w:sz w:val="18"/>
      <w:szCs w:val="18"/>
    </w:rPr>
  </w:style>
  <w:style w:type="paragraph" w:styleId="a4">
    <w:name w:val="footer"/>
    <w:basedOn w:val="a"/>
    <w:link w:val="Char0"/>
    <w:uiPriority w:val="99"/>
    <w:semiHidden/>
    <w:unhideWhenUsed/>
    <w:rsid w:val="005F0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AC2"/>
    <w:rPr>
      <w:sz w:val="18"/>
      <w:szCs w:val="18"/>
    </w:rPr>
  </w:style>
  <w:style w:type="character" w:styleId="a5">
    <w:name w:val="Hyperlink"/>
    <w:basedOn w:val="a0"/>
    <w:uiPriority w:val="99"/>
    <w:semiHidden/>
    <w:unhideWhenUsed/>
    <w:rsid w:val="00E46E74"/>
    <w:rPr>
      <w:color w:val="0000FF"/>
      <w:u w:val="single"/>
    </w:rPr>
  </w:style>
  <w:style w:type="character" w:customStyle="1" w:styleId="apple-converted-space">
    <w:name w:val="apple-converted-space"/>
    <w:basedOn w:val="a0"/>
    <w:rsid w:val="00E46E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267</Words>
  <Characters>1526</Characters>
  <Application>Microsoft Office Word</Application>
  <DocSecurity>0</DocSecurity>
  <Lines>12</Lines>
  <Paragraphs>3</Paragraphs>
  <ScaleCrop>false</ScaleCrop>
  <Company>THU</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26</cp:revision>
  <dcterms:created xsi:type="dcterms:W3CDTF">2015-04-27T07:31:00Z</dcterms:created>
  <dcterms:modified xsi:type="dcterms:W3CDTF">2015-04-27T15:27:00Z</dcterms:modified>
</cp:coreProperties>
</file>