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qmyjtclu411x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Аннотация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Современный мир все больше придает значение экологии и изучению сложных экосистем. Традиционные аналитические методы не всегда способны полностью объяснить и предсказать динамику биологических систем из-за их сложности и разнообразия. В таких случаях компьютерные симуляции являются мощным инструментом для исследования и моделирования экологических процессов. Цель данного проекта - разработка и проведение компьютерных симуляций, основанных на моделировании стационарных сообществ. Проект включает разработку специализированного пакета для симуляций, проведение большого числа симуляций и обработку данных. Модель Дикмана-Лоу выбрана для проведения симуляций, так как она учитывает стохастические процессы и случайные факторы в динамике популяций. Она также позволяет учесть взаимодействия между индивидами и пространственную структуру сообщества.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Ключевые слова: стохастические симуляции, IBM модели (Individual Based Models), компьютерные симуляции, математическая биология, математическое моделирование, модель Дикманна-Лоу.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qmyjtclu411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Аннотация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p092gftmq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ca0qfc1o41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Основные термины и определения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jpltjq70on1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Цель исследования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hftrqjr9dw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Обзор литературы и предметная область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rdksatog89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Результаты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04qmyexvx0s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Библиотека для симуляции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b7ebal9dyrg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Механизмы сосуществования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1owj36u6ngj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Механизм Heteromyopia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rrqm4jt5jnz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Одномерный случай Heteromyopia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2qqargthc4h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Результаты симуляций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brd0w6a5qlz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Результаты численного метода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2meoovvtdug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Сравнение результатов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6myrzkekfay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Двумерный случай Heteromyopia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t5u8q8j40ky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Результаты симуляции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9vyifcb4psp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Результаты численного метода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1cfto2jmfdx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Сравнение результатов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78skgkzp12d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Механизм CCTO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68u0kmano5s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Одномерный случай CCTO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8utbveooe3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Результаты симуляций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03jgyvt0yp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Результаты численного метода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lmx9nrrbb3b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Сравнение результатов: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riqx8xderl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Двумерный случай CCTO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4x8texv5zbi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Результаты симуляций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uc4488ft8ob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Результаты численного метода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k2fhjnvd2z7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Сравнение результатов: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94fnsm44ttb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Применение методов машинного обучения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3u8jx7yo4a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b1qiotsrcr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Список литературы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ep092gftmqy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Введение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современном мире экология и изучение сложных экосистем становятся все более важными задачами. Однако, из-за сложности и разнообразия биологических систем, традиционные аналитические методы не всегда могут полностью объяснить и предсказать их динамику. В таких случаях компьютерные симуляции становятся мощным инструментом для исследования и моделирования экологических процессов.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истории развития моделирования популяций было предложено множество различных аналитических моделей, как например модель Лотки-Вольтерры, которая описывала популяционную динамику посредством системы дифференциальных уравнений. Однако, с появлением компьютерных технологий и возможности учета индивидуальных особенностей в моделях, стали популярными модели, основанные на индивидах. Эти модели позволяют учесть взаимодействия между индивидами и рассмотреть более реалистичные сценарии. В рамках данного проекта была выбрана модель Дикмана-Лоу для проведения симуляций, так как она представляет собой один из современных подходов в моделировании популяций.</w:t>
      </w:r>
    </w:p>
    <w:p w:rsidR="00000000" w:rsidDel="00000000" w:rsidP="00000000" w:rsidRDefault="00000000" w:rsidRPr="00000000" w14:paraId="00000028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vca0qfc1o41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Основные термины и определения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Стохастическая симуляция - компьютерная симуляция, которая во время каждой генерации использует псевдослучайные значения для определения следующего состояния симулируемой системы.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Стационарное сообщество - сообщество живых организмов, которые в течение жизни не двигаются друг относительно друг друга(в модельной ситуации), как например деревья в лесу или планктон в океане.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IBM модель (Individual Based Models) - модель биологического сообщества развитие которого основано на взаимодействии отдельных индивидов.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Ядро рождения - функция, которая описывает вероятность появления нового индивида на заданном расстоянии от родителя. 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Ядро конкуренции - функция, описывающая вероятность некоторого индивида погибнуть от конкуренции с другим индивидом, находящегося от него на заданном расстоянии.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Сосуществование - состояние, при котором два вида сосуществуют в сообществе, ни один из них не доминирует над другим.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Precision - метрика классификации, показывающая долю правильно предсказанных положительных классов от общего числа предсказанных положительных классов.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Recall - метрика классификации, показывающая долю правильно предсказанных положительных классов от общего числа истинных положительных классов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Macro-F1 - метрика классификации, учитывающая precision и recall обоих классов и устойчивая к дисбалансу классов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Датасет - набор данных, используемый для обучения и тестирования моделей машинного обучения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Oversampling - метод балансировки классов путем увеличения числа образцов в меньшем классе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Undersampling - метод балансировки классов путем уменьшения числа образцов в большем классе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Кросс-валидация: метод оценки производительности модели, при котором данные разделяются на обучающий и тестовый наборы несколько раз.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Нейронные сети - модель машинного обучения в которой есть множество объектов, называемых нейронами, которые объединены в слои. Нейроны между соседними слоями в этой модели передают друг другу импульсы.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Наивный байесовский классификатор - вероятностный классификатор, основанный на принципе независимости признаков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Решающие деревья- модель машинного обучения, основанная на том, что строится дерево, в котором у каждой вершины не являющейся листом есть вопрос ответ на который показывает куда дальше двигаться по дереву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Градиентный бустинг - метод машинного обучения, который оптимизированным образом складывает небольшие решающие деревья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Ансамбли деревьев - метод машинного обучения, основанный на усреднении большого количества больших разрешающих деревьев. 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Логистическая регрессия - модель машинного обучения, которая применяется для бинарной классификации и основана на линейной регрессии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Метод опорных векторов(SVM) - алгоритм машинного обучения, который разделяет гиперплоскостью пространство, причём при помощи специально подобранных ядер можно регулировать форму гиперплоскости.</w:t>
      </w:r>
    </w:p>
    <w:p w:rsidR="00000000" w:rsidDel="00000000" w:rsidP="00000000" w:rsidRDefault="00000000" w:rsidRPr="00000000" w14:paraId="00000050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kjpltjq70on1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Цель исследования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Целью данного проекта является разработка и проведение компьютерных симуляций, основанных на моделировании стационарных сообществ. Основное внимание уделяется механизмам сосуществования двух видов на участках прямой и плоскости. Основные задачи включают участие в разработке специализированного пакета для проведения симуляций, проведение большого числа симуляций и обработку полученных данных, получение данных численных методов, сравнение результатов численных методов и симуляций. Также задачей является попытка применить методы машинного обучения для обнаружения ситуации сосуществования.</w:t>
      </w:r>
    </w:p>
    <w:p w:rsidR="00000000" w:rsidDel="00000000" w:rsidP="00000000" w:rsidRDefault="00000000" w:rsidRPr="00000000" w14:paraId="00000052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whftrqjr9dwa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Обзор литературы и предметная область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Модель Дикмана-Лоу основана на стохастических процессах и позволяет учитывать случайные факторы в динамике популяций. Это позволяет проводить большое количество симуляций и получать разнообразные результаты. Выбор этой модели обусловлен ее способностью учесть различные факторы, влияющие на стационарные сообщества, и пространственную структуру сообщества.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модели Дикмана-Лоу сообщество рассматривается как набор точек на прямой, плоскости или в трехмерном пространстве (тогда соответствующая модель будет называться одномерной, двумерной или трёхмерной), причём в каждой такой точке находится один индивид. В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многовидовом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случае каждому индивиду соответствует свой биологический вид, причём может быть так, что все индивиды принадлежат одному и тому же виду. Каждому виду соответствуют свои параметры, в том числе темп размножения, темп смертности и ядро рождения. Индивид порождает потомка того же вида как и он сам, причём для простоты считается, что индивиды сразу рождаются взрослыми.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Особенностью модели является взаимодействие индивидов, поэтому также рассматриваются такие параметры как темп и ядро конкуренции при действии индивида одного вида на индивида другого вида (возможно, что эти два вида совпадают).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в модели, так и в симуляции и численных методах существуют следующие обозначения: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5760"/>
        <w:tblGridChange w:id="0">
          <w:tblGrid>
            <w:gridCol w:w="3240"/>
            <w:gridCol w:w="57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b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Темп рождения i-го вида. В каждый момент времени вероятность того, что индивид i-го вида даст потомство пропорциональна этому коэффициенту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d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Темп смертности i-го вида от причин не связанных с конкуренцией с другими индивидами. В каждый момент времени вероятность того, что индивид i-го вида умрёт естественной смертью пропорциональна этому коэффициенту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dd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ij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Сила конкуренции i-го вида по отношению к j-ому виду. В каждый момент времени вероятность того, что индивид i-го вида убъёт индивид j-го вида пропорциональна этому коэффиценту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m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i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sz w:val="24"/>
                  <w:szCs w:val="24"/>
                </w:rPr>
                <m:t xml:space="preserve">(x)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Ядро рождаемости i-го индивида. Задаёт пространственное распределение возможностей появления нового индивида i-го вида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w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ij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sz w:val="24"/>
                  <w:szCs w:val="24"/>
                </w:rPr>
                <m:t xml:space="preserve">(x)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Ядро конкуренции i-го вида по отношению к j-ому.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Задаёт пространственное распределение возможностей нападения индивида i-го вида на индивида j-го вида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Модель удовлетворяет бесконечной систему интегро-дифференциальных уравнений, о чём можно прочитать в [3]. Но для численного решения приходится как-то ограничивать эту систему, для этого используя так называемые “замыкания”, благодаря которым можно искать приближенные решения исходной бесконечной системы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всеми подробностями обращаться в [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3], [4], [8].</w:t>
      </w:r>
    </w:p>
    <w:p w:rsidR="00000000" w:rsidDel="00000000" w:rsidP="00000000" w:rsidRDefault="00000000" w:rsidRPr="00000000" w14:paraId="00000069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xrdksatog89a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Результаты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Основной темой проекта было исследование механизмов сосуществования двухвидовой модели. Механизм сосуществования - это совокупность наборов параметров симуляции при которых ни один из видов не вымирает. Существует два наиболее известных механизма сосуществования, которые имеют смысл в модели Дикмана-Лоу: это Heteromyopia и Competition-Colonization Trade-Off (далее CCTO). Их описание следует за описанием библиотеки.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Все симуляции и результаты данного проекта расположены в репозитории[7], в котором в README указана структура репозитория.</w:t>
      </w:r>
    </w:p>
    <w:p w:rsidR="00000000" w:rsidDel="00000000" w:rsidP="00000000" w:rsidRDefault="00000000" w:rsidRPr="00000000" w14:paraId="0000006D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804qmyexvx0s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Библиотека для симуляции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проведения симуляции в высоких размерностях требовалась соответствующая библиотека[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], она написана на языке C++ и в качестве интерфейса для работы с ней используется язык R. Но последняя версия для проведения многовидовых симуляций не обновлялась последние 3 года, что стало некоторым препятствием для работы с нею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попытках проводить симуляции постоянно появлялись ошибки и странное поведение. Как оказалось странное поведение объяснялось тем, что в библиотеке были проблемы с учётом параметра рождаемости, что было исправлено. 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шибки же сводились к тому, что программа неправильно учитывала влияние особей друг на друга. Из-за этого возможна была ситуация, когда уже мёртвый индивид мог выбираться программой для того, чтобы умереть вновь, что приводило к ошибке. В свою очередь, такое поведение появлялось потому при своём появлении индивид мог не влиять на другого индивида, но когда этот другой умирал, то он влил на первого, эта несимметричность приводила к падению программы. Это происходило из-за неправильной работы итератора по чанкам. Ошибка была исправлена, что позволило далее проводить симуляции.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Также был изменён алгоритм генерации равномерного распределения на сфере. В библиотеке содержалась наивная реализация, которая оказалась неверна. Был имплементирован другой известный алгоритм.</w:t>
      </w:r>
    </w:p>
    <w:p w:rsidR="00000000" w:rsidDel="00000000" w:rsidP="00000000" w:rsidRDefault="00000000" w:rsidRPr="00000000" w14:paraId="00000073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xb7ebal9dyrg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Механизмы сосуществования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Механизм Heteromyopia[1] относится к соотношению межвидовой и внутривидовой конкуренции. Механизм предполагает, что если межвидовая конкуренция происходит на меньшем расстоянии чем внутривидовая, то виды будут сосуществовать. В модели за это отвечают параметры </w:t>
      </w:r>
      <m:oMath>
        <m:sSubSup>
          <m:sSub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SupPr>
          <m:e>
            <m: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in</m:t>
            </m:r>
          </m:sub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w</m:t>
            </m:r>
          </m:sup>
        </m:sSubSup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=</m:t>
        </m:r>
        <m:sSubSup>
          <m:sSub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11</m:t>
            </m:r>
          </m:sub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w</m:t>
            </m:r>
          </m:sup>
        </m:sSubSup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=</m:t>
        </m:r>
        <m:sSubSup>
          <m:sSub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22</m:t>
            </m:r>
          </m:sub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w</m:t>
            </m:r>
          </m:sup>
        </m:sSub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и </w:t>
      </w:r>
      <m:oMath>
        <m:sSubSup>
          <m:sSub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SupPr>
          <m:e>
            <m: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ex</m:t>
            </m:r>
          </m:sub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w</m:t>
            </m:r>
          </m:sup>
        </m:sSubSup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=</m:t>
        </m:r>
        <m:sSubSup>
          <m:sSub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12</m:t>
            </m:r>
          </m:sub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w</m:t>
            </m:r>
          </m:sup>
        </m:sSubSup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=</m:t>
        </m:r>
        <m:sSubSup>
          <m:sSub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21</m:t>
            </m:r>
          </m:sub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w</m:t>
            </m:r>
          </m:sup>
        </m:sSub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Механизм CCTO относится к сценарию “хищник-жертва”, когда один вид атакует, а другой убегает. В модели за этот механизм отвечают параметры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d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 </w:t>
      </w:r>
      <m:oMath>
        <m:sSubSup>
          <m:sSub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SupPr>
          <m:e>
            <m: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2</m:t>
            </m:r>
          </m:sub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m</m:t>
            </m:r>
          </m:sup>
        </m:sSub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первый вид - хищник, второй -жертва. Предполагается, что при правильной настройке параметров будет происходить сосуществование вида-хищника и вида-жертвы.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своей ВКР[4] А.С.Савостьянов рассматривал эти механизмы с точки зрения численных методов, но есть поводы сомневаться в некоторых его результатах в случае высоких размерностей. В этой работе рассматриваются эти механизмы с точки зрения симуляций и проводятся сравнения с новыми результатами численных методов. Для численных методов будет использовано то же замыкание которое использовал Савостьянов в своей работе. 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Далее в качестве базовых параметров, которые не участвуют в механизмах сосуществования были взяты параметры из этой статьи[3].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Ниже даны некоторые примеры того как могут вести себя численности видов при сосуществовании и при доминировании одного из видов: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30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Яркий пример сосуществования, который реализуется при </w:t>
      </w:r>
      <m:oMath>
        <m:sSubSup>
          <m:sSub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SupPr>
          <m:e>
            <m: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in</m:t>
            </m:r>
          </m:sub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w</m:t>
            </m:r>
          </m:sup>
        </m:sSub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0.21, </w:t>
      </w:r>
      <m:oMath>
        <m:sSubSup>
          <m:sSub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SupPr>
          <m:e>
            <m: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ex</m:t>
            </m:r>
          </m:sub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w</m:t>
            </m:r>
          </m:sup>
        </m:sSub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0.06, </w:t>
      </w:r>
      <m:oMath>
        <m:sSubSup>
          <m:sSub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SupPr>
          <m:e>
            <m: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2</m:t>
            </m:r>
          </m:sub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m</m:t>
            </m:r>
          </m:sup>
        </m:sSub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0.06,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d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0.001.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433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Случай вымирания вида-жертвы, который реализуется при </w:t>
      </w:r>
      <m:oMath>
        <m:sSubSup>
          <m:sSub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SupPr>
          <m:e>
            <m: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in</m:t>
            </m:r>
          </m:sub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w</m:t>
            </m:r>
          </m:sup>
        </m:sSub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0.06, </w:t>
      </w:r>
      <m:oMath>
        <m:sSubSup>
          <m:sSub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SupPr>
          <m:e>
            <m: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ex</m:t>
            </m:r>
          </m:sub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w</m:t>
            </m:r>
          </m:sup>
        </m:sSub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0.21, </w:t>
      </w:r>
      <m:oMath>
        <m:sSubSup>
          <m:sSub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SupPr>
          <m:e>
            <m: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2</m:t>
            </m:r>
          </m:sub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m</m:t>
            </m:r>
          </m:sup>
        </m:sSub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0.01,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d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0.007.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Были проведены симуляции для одномерной и двумерной двухвидовой модели в двух сценариях Heteromyopia и CCTO. Они проводились в пространстве параметров </w:t>
      </w:r>
      <m:oMath>
        <m:sSubSup>
          <m:sSub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SupPr>
          <m:e>
            <m: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in</m:t>
            </m:r>
          </m:sub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w</m:t>
            </m:r>
          </m:sup>
        </m:sSub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m:oMath>
        <m:sSubSup>
          <m:sSub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SupPr>
          <m:e>
            <m: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ex</m:t>
            </m:r>
          </m:sub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w</m:t>
            </m:r>
          </m:sup>
        </m:sSub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m:oMath>
        <m:sSubSup>
          <m:sSub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SupPr>
          <m:e>
            <m: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2</m:t>
            </m:r>
          </m:sub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m</m:t>
            </m:r>
          </m:sup>
        </m:sSub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,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d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Результаты симуляции усреднялись, чтобы получить более объективную картину.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k1owj36u6ngj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Механизм Heteromyopia</w:t>
      </w:r>
    </w:p>
    <w:p w:rsidR="00000000" w:rsidDel="00000000" w:rsidP="00000000" w:rsidRDefault="00000000" w:rsidRPr="00000000" w14:paraId="00000087">
      <w:pPr>
        <w:pStyle w:val="Heading4"/>
        <w:rPr>
          <w:rFonts w:ascii="Times New Roman" w:cs="Times New Roman" w:eastAsia="Times New Roman" w:hAnsi="Times New Roman"/>
        </w:rPr>
      </w:pPr>
      <w:bookmarkStart w:colFirst="0" w:colLast="0" w:name="_urrqm4jt5jnz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Одномерный случай Heteromyopia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сценарии механизма Heteromyopia существует гипотеза[1], что сосуществование происходит, если радиус ядра межвидовой конкуренции меньше чем радиус ядра внутривидовой конкуренции. Для симуляции этого механизма были зафиксированы </w:t>
      </w:r>
      <m:oMath>
        <m:sSubSup>
          <m:sSub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SupPr>
          <m:e>
            <m: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2</m:t>
            </m:r>
          </m:sub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m</m:t>
            </m:r>
          </m:sup>
        </m:sSub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0.06,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d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0.001, первый вид стартовал со 100 особей, второй с 200, параметры были взяты из статьи[3]</w:t>
      </w:r>
    </w:p>
    <w:p w:rsidR="00000000" w:rsidDel="00000000" w:rsidP="00000000" w:rsidRDefault="00000000" w:rsidRPr="00000000" w14:paraId="00000089">
      <w:pPr>
        <w:pStyle w:val="Heading5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l2qqargthc4h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Результаты симуляций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0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25"/>
        <w:gridCol w:w="5580"/>
        <w:tblGridChange w:id="0">
          <w:tblGrid>
            <w:gridCol w:w="5325"/>
            <w:gridCol w:w="5580"/>
          </w:tblGrid>
        </w:tblGridChange>
      </w:tblGrid>
      <w:tr>
        <w:trPr>
          <w:cantSplit w:val="0"/>
          <w:trHeight w:val="44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383007" cy="2377568"/>
                  <wp:effectExtent b="0" l="0" r="0" t="0"/>
                  <wp:docPr id="23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007" cy="23775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417007" cy="2377568"/>
                  <wp:effectExtent b="0" l="0" r="0" t="0"/>
                  <wp:docPr id="1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007" cy="23775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Численность первого вида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Численность второго вида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 всех случаях второй вид выживает, поэтому степень сосуществования можно рассматривать здесь как отношение численности первого вида ко второму виду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1783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5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brd0w6a5qlz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Результаты численного метода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90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25"/>
        <w:gridCol w:w="5580"/>
        <w:tblGridChange w:id="0">
          <w:tblGrid>
            <w:gridCol w:w="5325"/>
            <w:gridCol w:w="5580"/>
          </w:tblGrid>
        </w:tblGridChange>
      </w:tblGrid>
      <w:tr>
        <w:trPr>
          <w:cantSplit w:val="0"/>
          <w:trHeight w:val="44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248025" cy="2349500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409950" cy="2552700"/>
                  <wp:effectExtent b="0" l="0" r="0" t="0"/>
                  <wp:docPr id="15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Численность первого вида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Численность второго вида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Отношение численности первого вида к численности второго вида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2545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5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52meoovvtdug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Сравнение результатов</w:t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Характеристика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Коэффициент корреляции результатов симуляции и численного метода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Численность первого вида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0.84566681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Численность второго вида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0.85272098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Отношение численности первого вида к численности второго вида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0.85829182</w:t>
            </w:r>
          </w:p>
        </w:tc>
      </w:tr>
    </w:tbl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Можно сделать вывод, что в данном случае результаты симуляции и численного метода довольно схожи, также отлична видна предполагаемая линейная граница между ситуациями сосуществования и не сосуществования</w:t>
      </w:r>
    </w:p>
    <w:p w:rsidR="00000000" w:rsidDel="00000000" w:rsidP="00000000" w:rsidRDefault="00000000" w:rsidRPr="00000000" w14:paraId="000000A6">
      <w:pPr>
        <w:pStyle w:val="Heading4"/>
        <w:rPr>
          <w:rFonts w:ascii="Times New Roman" w:cs="Times New Roman" w:eastAsia="Times New Roman" w:hAnsi="Times New Roman"/>
        </w:rPr>
      </w:pPr>
      <w:bookmarkStart w:colFirst="0" w:colLast="0" w:name="_n6myrzkekfay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Двумерный случай Heteromyopia</w:t>
      </w:r>
    </w:p>
    <w:p w:rsidR="00000000" w:rsidDel="00000000" w:rsidP="00000000" w:rsidRDefault="00000000" w:rsidRPr="00000000" w14:paraId="000000A7">
      <w:pPr>
        <w:pStyle w:val="Heading5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nt5u8q8j40ky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Результаты симуляции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90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25"/>
        <w:gridCol w:w="5580"/>
        <w:tblGridChange w:id="0">
          <w:tblGrid>
            <w:gridCol w:w="5325"/>
            <w:gridCol w:w="5580"/>
          </w:tblGrid>
        </w:tblGridChange>
      </w:tblGrid>
      <w:tr>
        <w:trPr>
          <w:cantSplit w:val="0"/>
          <w:trHeight w:val="44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248025" cy="2197100"/>
                  <wp:effectExtent b="0" l="0" r="0" t="0"/>
                  <wp:docPr id="1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409950" cy="243840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Численность первого вида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Численность второго вида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График вымирания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640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Зелёным отмечены ситуации сосуществования, красным не сосуществования. Здесь чётко заметна линейная связь между параметрами и выживаемостью. 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5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u9vyifcb4psp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Результаты численного метода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90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25"/>
        <w:gridCol w:w="5580"/>
        <w:tblGridChange w:id="0">
          <w:tblGrid>
            <w:gridCol w:w="5325"/>
            <w:gridCol w:w="5580"/>
          </w:tblGrid>
        </w:tblGridChange>
      </w:tblGrid>
      <w:tr>
        <w:trPr>
          <w:cantSplit w:val="0"/>
          <w:trHeight w:val="44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248025" cy="2438400"/>
                  <wp:effectExtent b="0" l="0" r="0" t="0"/>
                  <wp:docPr id="1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409950" cy="2501900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50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Численность первого вида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Численность второго вида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pStyle w:val="Heading5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t1cfto2jmfdx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Сравнение результатов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Очевидна несостыковка, что означает, что используемое замыкание не применимо в данной ситуации и по рассмотрению результатов численного метода здесь нельзя сделать выводов о результатах симуляции.</w:t>
      </w:r>
    </w:p>
    <w:p w:rsidR="00000000" w:rsidDel="00000000" w:rsidP="00000000" w:rsidRDefault="00000000" w:rsidRPr="00000000" w14:paraId="000000BA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v78skgkzp12d" w:id="17"/>
      <w:bookmarkEnd w:id="1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Механизм CCTO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симуляции этого механизма были зафиксированы </w:t>
      </w:r>
      <m:oMath>
        <m:sSubSup>
          <m:sSub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SupPr>
          <m:e>
            <m: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in</m:t>
            </m:r>
          </m:sub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d</m:t>
            </m:r>
          </m:sup>
        </m:sSub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m:oMath>
        <m:sSubSup>
          <m:sSub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SupPr>
          <m:e>
            <m: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in</m:t>
            </m:r>
          </m:sub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d</m:t>
            </m:r>
          </m:sup>
        </m:sSubSup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=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0.04, первый вид стартовал со 100 особей, второй с 200, параметры были взяты из статьи[3]</w:t>
      </w:r>
    </w:p>
    <w:p w:rsidR="00000000" w:rsidDel="00000000" w:rsidP="00000000" w:rsidRDefault="00000000" w:rsidRPr="00000000" w14:paraId="000000BC">
      <w:pPr>
        <w:pStyle w:val="Heading4"/>
        <w:rPr>
          <w:rFonts w:ascii="Times New Roman" w:cs="Times New Roman" w:eastAsia="Times New Roman" w:hAnsi="Times New Roman"/>
        </w:rPr>
      </w:pPr>
      <w:bookmarkStart w:colFirst="0" w:colLast="0" w:name="_u68u0kmano5s" w:id="18"/>
      <w:bookmarkEnd w:id="1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Одномерный случай CCTO</w:t>
      </w:r>
    </w:p>
    <w:p w:rsidR="00000000" w:rsidDel="00000000" w:rsidP="00000000" w:rsidRDefault="00000000" w:rsidRPr="00000000" w14:paraId="000000BD">
      <w:pPr>
        <w:pStyle w:val="Heading5"/>
        <w:rPr>
          <w:rFonts w:ascii="Times New Roman" w:cs="Times New Roman" w:eastAsia="Times New Roman" w:hAnsi="Times New Roman"/>
        </w:rPr>
      </w:pPr>
      <w:bookmarkStart w:colFirst="0" w:colLast="0" w:name="_t8utbveooe3f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Результаты симуляций</w:t>
      </w:r>
      <w:r w:rsidDel="00000000" w:rsidR="00000000" w:rsidRPr="00000000">
        <w:rPr>
          <w:rtl w:val="0"/>
        </w:rPr>
      </w:r>
    </w:p>
    <w:tbl>
      <w:tblPr>
        <w:tblStyle w:val="Table7"/>
        <w:tblW w:w="1090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90"/>
        <w:gridCol w:w="5415"/>
        <w:tblGridChange w:id="0">
          <w:tblGrid>
            <w:gridCol w:w="5490"/>
            <w:gridCol w:w="5415"/>
          </w:tblGrid>
        </w:tblGridChange>
      </w:tblGrid>
      <w:tr>
        <w:trPr>
          <w:cantSplit w:val="0"/>
          <w:trHeight w:val="44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478623" cy="2458499"/>
                  <wp:effectExtent b="0" l="0" r="0" t="0"/>
                  <wp:docPr id="1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623" cy="24584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409950" cy="2501900"/>
                  <wp:effectExtent b="0" l="0" r="0" t="0"/>
                  <wp:docPr id="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50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Численность первого вида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Численность второго вида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График сосуществования: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52813" cy="2466295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466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Зелёный цвет означает сосуществование, синий цвет означает доминирование вида “жертвы”, красный цвет означает доминирование вида “хищника”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5"/>
        <w:rPr>
          <w:rFonts w:ascii="Times New Roman" w:cs="Times New Roman" w:eastAsia="Times New Roman" w:hAnsi="Times New Roman"/>
        </w:rPr>
      </w:pPr>
      <w:bookmarkStart w:colFirst="0" w:colLast="0" w:name="_o03jgyvt0ypf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Результаты численного метода</w:t>
      </w:r>
      <w:r w:rsidDel="00000000" w:rsidR="00000000" w:rsidRPr="00000000">
        <w:rPr>
          <w:rtl w:val="0"/>
        </w:rPr>
      </w:r>
    </w:p>
    <w:tbl>
      <w:tblPr>
        <w:tblStyle w:val="Table8"/>
        <w:tblW w:w="1090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25"/>
        <w:gridCol w:w="5580"/>
        <w:tblGridChange w:id="0">
          <w:tblGrid>
            <w:gridCol w:w="5325"/>
            <w:gridCol w:w="5580"/>
          </w:tblGrid>
        </w:tblGridChange>
      </w:tblGrid>
      <w:tr>
        <w:trPr>
          <w:cantSplit w:val="0"/>
          <w:trHeight w:val="44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371041" cy="2451666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041" cy="24516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409950" cy="2654300"/>
                  <wp:effectExtent b="0" l="0" r="0" t="0"/>
                  <wp:docPr id="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65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Численность первого вида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Численность второго вида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pStyle w:val="Heading5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8lmx9nrrbb3b" w:id="21"/>
      <w:bookmarkEnd w:id="2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Сравнение результатов:</w:t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Характеристика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Коэффициент корреляции результатов симуляции и численного метода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Численность первого вида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4"/>
                <w:szCs w:val="24"/>
                <w:highlight w:val="white"/>
                <w:rtl w:val="0"/>
              </w:rPr>
              <w:t xml:space="preserve">0.22647384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Численность второго вида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4"/>
                <w:szCs w:val="24"/>
                <w:highlight w:val="white"/>
                <w:rtl w:val="0"/>
              </w:rPr>
              <w:t xml:space="preserve">0.40720084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Результаты имеют лишь отдаленное сходство, можно сказать, что между ними нет соответствия, что ставит под вопрос применимость используемого замыкания в данном случае.</w:t>
      </w:r>
    </w:p>
    <w:p w:rsidR="00000000" w:rsidDel="00000000" w:rsidP="00000000" w:rsidRDefault="00000000" w:rsidRPr="00000000" w14:paraId="000000D4">
      <w:pPr>
        <w:pStyle w:val="Heading4"/>
        <w:rPr>
          <w:rFonts w:ascii="Times New Roman" w:cs="Times New Roman" w:eastAsia="Times New Roman" w:hAnsi="Times New Roman"/>
        </w:rPr>
      </w:pPr>
      <w:bookmarkStart w:colFirst="0" w:colLast="0" w:name="_xriqx8xderlf" w:id="22"/>
      <w:bookmarkEnd w:id="2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Двумерный случай CCTO</w:t>
      </w:r>
    </w:p>
    <w:p w:rsidR="00000000" w:rsidDel="00000000" w:rsidP="00000000" w:rsidRDefault="00000000" w:rsidRPr="00000000" w14:paraId="000000D5">
      <w:pPr>
        <w:pStyle w:val="Heading5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74x8texv5zbi" w:id="23"/>
      <w:bookmarkEnd w:id="2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Результаты симуляций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90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25"/>
        <w:gridCol w:w="5580"/>
        <w:tblGridChange w:id="0">
          <w:tblGrid>
            <w:gridCol w:w="5325"/>
            <w:gridCol w:w="5580"/>
          </w:tblGrid>
        </w:tblGridChange>
      </w:tblGrid>
      <w:tr>
        <w:trPr>
          <w:cantSplit w:val="0"/>
          <w:trHeight w:val="44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248025" cy="2362200"/>
                  <wp:effectExtent b="0" l="0" r="0" t="0"/>
                  <wp:docPr id="1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236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409950" cy="2501900"/>
                  <wp:effectExtent b="0" l="0" r="0" t="0"/>
                  <wp:docPr id="2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50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Численность первого вида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Численность второго вида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График сосуществования: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987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Зелёный цвет означает сосуществование, синий цвет означает доминирование вида “жертвы”, красный цвет означает доминирование вида “хищника”</w:t>
      </w:r>
    </w:p>
    <w:p w:rsidR="00000000" w:rsidDel="00000000" w:rsidP="00000000" w:rsidRDefault="00000000" w:rsidRPr="00000000" w14:paraId="000000DF">
      <w:pPr>
        <w:pStyle w:val="Heading5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xuc4488ft8ob" w:id="24"/>
      <w:bookmarkEnd w:id="2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Результаты численного метода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90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25"/>
        <w:gridCol w:w="5580"/>
        <w:tblGridChange w:id="0">
          <w:tblGrid>
            <w:gridCol w:w="5325"/>
            <w:gridCol w:w="5580"/>
          </w:tblGrid>
        </w:tblGridChange>
      </w:tblGrid>
      <w:tr>
        <w:trPr>
          <w:cantSplit w:val="0"/>
          <w:trHeight w:val="44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248025" cy="2336800"/>
                  <wp:effectExtent b="0" l="0" r="0" t="0"/>
                  <wp:docPr id="1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233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409950" cy="2476500"/>
                  <wp:effectExtent b="0" l="0" r="0" t="0"/>
                  <wp:docPr id="10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47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Численность первого вида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Численность второго вида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pStyle w:val="Heading5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wk2fhjnvd2z7" w:id="25"/>
      <w:bookmarkEnd w:id="2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Сравнение результатов:</w:t>
      </w:r>
    </w:p>
    <w:p w:rsidR="00000000" w:rsidDel="00000000" w:rsidP="00000000" w:rsidRDefault="00000000" w:rsidRPr="00000000" w14:paraId="000000E6">
      <w:pPr>
        <w:pStyle w:val="Heading5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w817g5e7xax" w:id="26"/>
      <w:bookmarkEnd w:id="26"/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Характеристика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Коэффициент корреляции результатов симуляции и численного метода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Численность первого вида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4"/>
                <w:szCs w:val="24"/>
                <w:highlight w:val="white"/>
                <w:rtl w:val="0"/>
              </w:rPr>
              <w:t xml:space="preserve">0.38422526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Численность второго вида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1212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4"/>
                <w:szCs w:val="24"/>
                <w:highlight w:val="white"/>
                <w:rtl w:val="0"/>
              </w:rPr>
              <w:t xml:space="preserve">0.01300331</w:t>
            </w:r>
          </w:p>
        </w:tc>
      </w:tr>
    </w:tbl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Хотя графики для первого вида слегка похожи, для второго вида они, можно сказать, почти “ортогональны”. Это показывает, что в данном случае численные методы тоже показывают неправильный результат</w:t>
      </w:r>
    </w:p>
    <w:p w:rsidR="00000000" w:rsidDel="00000000" w:rsidP="00000000" w:rsidRDefault="00000000" w:rsidRPr="00000000" w14:paraId="000000EF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994fnsm44ttb" w:id="27"/>
      <w:bookmarkEnd w:id="2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Применение методов машинного обучения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Был составлен датасет из более чем 16000 разнообразных симуляций[7]. Рассматривалась задача бинарной классификации, где все симуляции делились на два класса: сосуществование и не сосуществование. Для задачи классификации рассматривались следующие модели: логистическая регрессия, метод опорных векторов, решающие деревья, ансамбли деревьев, градиентный бустинг, наивный байесовский классификатор и небольшие нейронные сети. Для каждой модели гиперпараметры подбирались методом кросс-валидации. В качестве метрики классификации была выбрана macro-F1. Такой выбор был сделан из-за того, что сама ситуация сосуществования является редкой из-за чего появился дисбаланс классов в датасете.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Метрика macro-F1 учитывает precision и recall обоих классов и устойчива к их дисбалансу.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Рейтинговая таблица моделей по показателю macro-F1 на тестовой выборке: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4395"/>
        <w:gridCol w:w="1605"/>
        <w:tblGridChange w:id="0">
          <w:tblGrid>
            <w:gridCol w:w="3000"/>
            <w:gridCol w:w="4395"/>
            <w:gridCol w:w="1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Модель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Гиперпараметры и замечания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macro-F1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опорных векторов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-Реализация из библиотеки sklearn -Параметр C равен 10000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-Параметр “kernel” равен “rbf”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-Параметр “gamma” равен “scale”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-Использовалось радиальное ядро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0.92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Градиентный бустинг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-Реализация из библиотеки sklearn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-Параметр “learning_rate” равен 0.3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-Параметр “max_depth” равен 3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-Параметр “min_samples_leaf” равен 1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-Параметр “min_samples_splite” равен 2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-Параметр “n_estimatorы” равен 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0.91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Случайный лес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-Реализация из библиотеки sklearn -Количество деревьев равно 500 -Максимальная глубина ограничена 20 -Параметр “min_samples_leaf” равен 2 -Параметр “min_samples_split” равен 5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-Использовался критерий Джини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kNN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-Рассматриваются 17 соседей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-Расстояние - манхэттенская метрика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Решающее дерево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Реализация из библиотеки sklearn -Параметр “min_samples_leaf” равен 1 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-Параметр “min_samples_split” равен 2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-Максимальная глубина не ограничена -Использовался критерий энтропии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Небольшие нейронные сети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-Реализация из библиотеки Keras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-Полносвязная сеть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-Два скрытых слоя по 128 нейронов -Функция активации - ReLU -Оптимизатор rmsprop 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-Параметр “epochs” равен 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Логистическая регрессия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-Параметр “С” равен 10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-Параметр “penalty” равен “l1”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-Параметр “solver” равен “saga”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-Параметр “learning_rate” равен 0.3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Наивный байесовский классификатор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-Реализация из библиотеки sklearn -Параметр “var_smoothing” равен 1e-07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0.76</w:t>
            </w:r>
          </w:p>
        </w:tc>
      </w:tr>
    </w:tbl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Методы машинного обучения в целом п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оказали неплохой результат. Неожиданно хорошо показали себя метод опорных векторов, kNN и обычное решающее дерево, можно предположить, что это связано с тем, что границы между зонами сосуществования и не сосуществования имеют простой характер.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Были попытки преодолеть дисбаланс классов с помощью oversampling и undersampling, но при их использовании результаты моделей получались хуже.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Подробнее с тем, что означают параметры можно ознакомиться в документации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[5] и [6].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x3u8jx7yo4ap" w:id="28"/>
      <w:bookmarkEnd w:id="2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Проведенное исследование позволило глубже понять динамику популяций в экологических системах с использованием компьютерных симуляций на основе модели Дикмана-Лоу. В процессе исследования были применены разнообразные методы анализа, включая статистические модели, машинное обучение и численные методы, что позволило получить более глубокое понимание рассматриваемых экологических процессов. Сделаны выводы о применимости используемого замыкания к механизмам сосуществования.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Можно сказать, что в целом при его использовании численные методы показывают неадекватные результаты. За исключением случая 1-мерной Heteromyopia. Поэтому стоит рассматривать и другие замыкания и тестировать их.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Несмотря на достигнутые результаты, следует отметить, что данная работа имеет определенные ограничения, такие как ограниченный объем данных и упрощенные модели, которые могут потребовать дальнейшего углубленного исследования.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hb1qiotsrcr9" w:id="29"/>
      <w:bookmarkEnd w:id="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David J. Murrell, Richard Law “Heteromyopia and the spatial coexistence of similar competitors”. Ecology letters, 2003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Rcpp interface for c++ based poisson simulator. url: https://github.com/YegorGalkin/RcppSim (д. о.: 20.03.2024).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А.А.Никитин Е.Г.Галкин В.К. Зеленков. “Компьютерные симуляции и численные методы в двухвидовой модели пространственных сообществ”. International Journal of Open Information Technologies (2019)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А.С. Савостьянов: Выпускная квалификационная работа бакалавра на тему “Механизмы сосуществования стационарных биологических сообществ в пространствах разных размерностей”, НИУ ВШЭ, ФКН, ОП “Прикладная математика и информатика”, Москва 2017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Scikit-learn: Machine Learning in Python. url: https://scikit-learn.org/stable/index.html (д. о.: 20.03.2024).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6) Keras: The Python Deep Learning API. url: https://keras.io/ (д. о.: 20.03.2024).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7) Наговицын Александр. Scripts and results for Course Work. url: https://github.com/ocelot335/BioSimulations (д. о. 25.03.2024). 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8) 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3"/>
          <w:szCs w:val="23"/>
          <w:highlight w:val="white"/>
          <w:rtl w:val="0"/>
        </w:rPr>
        <w:t xml:space="preserve">Richard Law, David J. Murrell, Ulf Dieckmann. On moment closures for population dynamics in continuous space. Journal of Theoretical Biology 229, pages 421–432, 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23.png"/><Relationship Id="rId24" Type="http://schemas.openxmlformats.org/officeDocument/2006/relationships/image" Target="media/image9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.png"/><Relationship Id="rId25" Type="http://schemas.openxmlformats.org/officeDocument/2006/relationships/image" Target="media/image18.png"/><Relationship Id="rId28" Type="http://schemas.openxmlformats.org/officeDocument/2006/relationships/image" Target="media/image22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eader" Target="header1.xml"/><Relationship Id="rId7" Type="http://schemas.openxmlformats.org/officeDocument/2006/relationships/image" Target="media/image16.png"/><Relationship Id="rId8" Type="http://schemas.openxmlformats.org/officeDocument/2006/relationships/image" Target="media/image20.png"/><Relationship Id="rId11" Type="http://schemas.openxmlformats.org/officeDocument/2006/relationships/image" Target="media/image7.png"/><Relationship Id="rId10" Type="http://schemas.openxmlformats.org/officeDocument/2006/relationships/image" Target="media/image19.png"/><Relationship Id="rId13" Type="http://schemas.openxmlformats.org/officeDocument/2006/relationships/image" Target="media/image21.png"/><Relationship Id="rId12" Type="http://schemas.openxmlformats.org/officeDocument/2006/relationships/image" Target="media/image17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19" Type="http://schemas.openxmlformats.org/officeDocument/2006/relationships/image" Target="media/image11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