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B3C4" w14:textId="77777777" w:rsidR="00470E72" w:rsidRDefault="00000000">
      <w:pPr>
        <w:spacing w:after="40"/>
      </w:pPr>
      <w:r>
        <w:rPr>
          <w:b/>
          <w:color w:val="555555"/>
          <w:sz w:val="20"/>
        </w:rPr>
        <w:t>JUMA-AGRO USA · SITE</w:t>
      </w:r>
    </w:p>
    <w:p w14:paraId="16061FD3" w14:textId="77777777" w:rsidR="00470E72" w:rsidRDefault="00000000">
      <w:pPr>
        <w:pStyle w:val="Ttulo1"/>
      </w:pPr>
      <w:r>
        <w:t>O que precisamos da Juma</w:t>
      </w:r>
    </w:p>
    <w:p w14:paraId="03FFAF48" w14:textId="77777777" w:rsidR="00470E72" w:rsidRPr="00BE21FD" w:rsidRDefault="00000000">
      <w:pPr>
        <w:spacing w:after="40"/>
        <w:rPr>
          <w:u w:val="single"/>
        </w:rPr>
      </w:pPr>
      <w:r w:rsidRPr="00BE21FD">
        <w:rPr>
          <w:color w:val="555555"/>
          <w:u w:val="single"/>
        </w:rPr>
        <w:t>Só o que trava o site hoje.</w:t>
      </w:r>
    </w:p>
    <w:p w14:paraId="02F41788" w14:textId="77777777" w:rsidR="00470E72" w:rsidRDefault="00000000">
      <w:pPr>
        <w:pStyle w:val="Ttulo2"/>
      </w:pPr>
      <w:r>
        <w:t>1. Rótulo dos produtos</w:t>
      </w:r>
    </w:p>
    <w:p w14:paraId="69375CA0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Rótulo aprovado dos dois produtos nos EUA, em PDF. Se ainda não existe, qual a previsão?</w:t>
      </w:r>
    </w:p>
    <w:p w14:paraId="0BE94404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Dose em fl oz/acre, por cultura.</w:t>
      </w:r>
    </w:p>
    <w:p w14:paraId="08D35AD0" w14:textId="77777777" w:rsidR="00470E72" w:rsidRDefault="00000000">
      <w:pPr>
        <w:pStyle w:val="Ttulo2"/>
      </w:pPr>
      <w:r>
        <w:t>2. KMEP Ultra — situação nos EUA</w:t>
      </w:r>
    </w:p>
    <w:p w14:paraId="2F4F8487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Como o produto está classificado lá: fertilizante, adjuvante ou outra categoria? Tem registro na EPA?</w:t>
      </w:r>
    </w:p>
    <w:p w14:paraId="189BF3E8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Quem responde pelo regulatório da LLC nos Estados Unidos?</w:t>
      </w:r>
    </w:p>
    <w:p w14:paraId="31E8BBFC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Alguém aí já revisou os claims de desalojar o inseto e aumentar a eficiência do inseticida?</w:t>
      </w:r>
    </w:p>
    <w:p w14:paraId="48808EEF" w14:textId="77777777" w:rsidR="00470E72" w:rsidRDefault="00000000">
      <w:pPr>
        <w:spacing w:before="40" w:after="120"/>
        <w:ind w:left="340"/>
      </w:pPr>
      <w:r>
        <w:rPr>
          <w:i/>
          <w:color w:val="555555"/>
          <w:sz w:val="19"/>
        </w:rPr>
        <w:t>É o item mais sensível. A copy no ar descreve o mecanismo real do produto e está correta do ponto de vista agronômico. O risco é outro: nos EUA, afirmar efeito sobre inseto ou sobre a performance de um defensivo costuma ser tratado como claim de pesticida, o que exige registro na EPA. Esse mesmo texto já está publicado hoje em juma-agro.com.br/en.</w:t>
      </w:r>
    </w:p>
    <w:p w14:paraId="06F83F3E" w14:textId="77777777" w:rsidR="00470E72" w:rsidRDefault="00000000">
      <w:pPr>
        <w:pStyle w:val="Ttulo2"/>
      </w:pPr>
      <w:r>
        <w:t>3. Onde e para quem vamos vender</w:t>
      </w:r>
    </w:p>
    <w:p w14:paraId="7C9EEDE2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Em quais estados a Juma vai atuar no primeiro ano?</w:t>
      </w:r>
    </w:p>
    <w:p w14:paraId="7818F86D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Quais culturas, e qual a cultura mais forte de cada um desses estados?</w:t>
      </w:r>
    </w:p>
    <w:p w14:paraId="70FF5B37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O público prioritário é o produtor, o distribuidor ou o consultor agronômico?</w:t>
      </w:r>
    </w:p>
    <w:p w14:paraId="0F5B434C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A venda é direta, via distribuidor, ou os dois?</w:t>
      </w:r>
    </w:p>
    <w:p w14:paraId="3B3166E5" w14:textId="77777777" w:rsidR="00470E72" w:rsidRDefault="00000000">
      <w:pPr>
        <w:pStyle w:val="Ttulo2"/>
      </w:pPr>
      <w:r>
        <w:t>4. Time nos Estados Unidos</w:t>
      </w:r>
    </w:p>
    <w:p w14:paraId="03EC84A6" w14:textId="77777777" w:rsidR="00470E72" w:rsidRDefault="00000000">
      <w:pPr>
        <w:ind w:left="340" w:hanging="340"/>
      </w:pPr>
      <w:proofErr w:type="gramStart"/>
      <w:r>
        <w:rPr>
          <w:color w:val="1B4D2E"/>
        </w:rPr>
        <w:t xml:space="preserve">☐  </w:t>
      </w:r>
      <w:proofErr w:type="spellStart"/>
      <w:r>
        <w:t>Existe</w:t>
      </w:r>
      <w:proofErr w:type="spellEnd"/>
      <w:proofErr w:type="gramEnd"/>
      <w:r>
        <w:t xml:space="preserve"> </w:t>
      </w:r>
      <w:proofErr w:type="spellStart"/>
      <w:r>
        <w:t>agrônomo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técnico agrícola disponível? Em quais estados, e fazem visita a campo?</w:t>
      </w:r>
    </w:p>
    <w:p w14:paraId="23A97EA4" w14:textId="77777777" w:rsidR="00470E72" w:rsidRDefault="00000000">
      <w:pPr>
        <w:spacing w:before="40" w:after="120"/>
        <w:ind w:left="340"/>
      </w:pPr>
      <w:r>
        <w:rPr>
          <w:i/>
          <w:color w:val="555555"/>
          <w:sz w:val="19"/>
        </w:rPr>
        <w:t>Se não há agrônomo em campo, o site não pode oferecer avaliação de lavoura nem acompanhar uma faixa de teste até a colheita.</w:t>
      </w:r>
    </w:p>
    <w:p w14:paraId="386C251B" w14:textId="77777777" w:rsidR="00470E72" w:rsidRDefault="00000000">
      <w:pPr>
        <w:pStyle w:val="Ttulo1"/>
      </w:pPr>
      <w:r>
        <w:t>5. A ação do site — precisa de decisão</w:t>
      </w:r>
    </w:p>
    <w:p w14:paraId="27D85A3F" w14:textId="77777777" w:rsidR="00470E72" w:rsidRDefault="00000000">
      <w:pPr>
        <w:spacing w:after="120"/>
      </w:pPr>
      <w:r>
        <w:rPr>
          <w:color w:val="555555"/>
        </w:rPr>
        <w:t>São dois caminhos. Podem coexistir, mas um precisa ser o principal, porque é ele que define o botão de todas as páginas.</w:t>
      </w:r>
    </w:p>
    <w:p w14:paraId="320AE9C5" w14:textId="77777777" w:rsidR="00470E72" w:rsidRDefault="00000000">
      <w:pPr>
        <w:pStyle w:val="Ttulo2"/>
      </w:pPr>
      <w:r>
        <w:t>Caminho A — captação de lead</w:t>
      </w:r>
    </w:p>
    <w:p w14:paraId="67B6FDF6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A pessoa preenche o formulário e o time da Juma entra em contato depois.</w:t>
      </w:r>
    </w:p>
    <w:p w14:paraId="7239A693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Quem recebe esse lead nos EUA: nome, cargo e e-mail.</w:t>
      </w:r>
    </w:p>
    <w:p w14:paraId="28B837EF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Em quanto tempo a Juma retorna, e por qual canal — e-mail ou telefone?</w:t>
      </w:r>
    </w:p>
    <w:p w14:paraId="3E46A045" w14:textId="77777777" w:rsidR="00470E72" w:rsidRDefault="00000000">
      <w:pPr>
        <w:pStyle w:val="Ttulo2"/>
      </w:pPr>
      <w:r>
        <w:lastRenderedPageBreak/>
        <w:t>Caminho B — contato direto</w:t>
      </w:r>
    </w:p>
    <w:p w14:paraId="367F45BE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O site exibe telefone e a pessoa liga na hora.</w:t>
      </w:r>
    </w:p>
    <w:p w14:paraId="4BA35939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Qual número, quem atende, em que horário e em qual idioma?</w:t>
      </w:r>
    </w:p>
    <w:p w14:paraId="54A2B952" w14:textId="77777777" w:rsidR="00470E72" w:rsidRDefault="00000000">
      <w:pPr>
        <w:pStyle w:val="Ttulo2"/>
      </w:pPr>
      <w:r>
        <w:t>A promessa do contato</w:t>
      </w:r>
    </w:p>
    <w:p w14:paraId="01AC61EC" w14:textId="77777777" w:rsidR="00470E72" w:rsidRDefault="00000000">
      <w:pPr>
        <w:spacing w:after="100"/>
      </w:pPr>
      <w:r>
        <w:rPr>
          <w:color w:val="555555"/>
        </w:rPr>
        <w:t>O que a pessoa ganha ao entrar em contato? É isso que vai escrito no botão, e ele precisa prometer exatamente o que a Juma consegue entregar.</w:t>
      </w:r>
    </w:p>
    <w:p w14:paraId="4D355A20" w14:textId="77777777" w:rsidR="00470E72" w:rsidRDefault="00000000">
      <w:pPr>
        <w:ind w:left="964" w:hanging="340"/>
      </w:pPr>
      <w:r>
        <w:rPr>
          <w:color w:val="1B4D2E"/>
        </w:rPr>
        <w:t xml:space="preserve">☐  </w:t>
      </w:r>
      <w:r>
        <w:t>Faixa de teste gratuita na lavoura dele, com o produto por conta da Juma</w:t>
      </w:r>
    </w:p>
    <w:p w14:paraId="12CF4ABB" w14:textId="77777777" w:rsidR="00470E72" w:rsidRDefault="00000000">
      <w:pPr>
        <w:ind w:left="964" w:hanging="340"/>
      </w:pPr>
      <w:r>
        <w:rPr>
          <w:color w:val="1B4D2E"/>
        </w:rPr>
        <w:t xml:space="preserve">☐  </w:t>
      </w:r>
      <w:r>
        <w:t>Avaliação gratuita da lavoura, com visita de agrônomo</w:t>
      </w:r>
    </w:p>
    <w:p w14:paraId="3572AEE4" w14:textId="77777777" w:rsidR="00470E72" w:rsidRDefault="00000000">
      <w:pPr>
        <w:ind w:left="964" w:hanging="340"/>
      </w:pPr>
      <w:r>
        <w:rPr>
          <w:color w:val="1B4D2E"/>
        </w:rPr>
        <w:t xml:space="preserve">☐  </w:t>
      </w:r>
      <w:r>
        <w:t>Conversa com um agrônomo, sem compromisso</w:t>
      </w:r>
    </w:p>
    <w:p w14:paraId="0BAC3B32" w14:textId="77777777" w:rsidR="00470E72" w:rsidRDefault="00000000">
      <w:pPr>
        <w:ind w:left="964" w:hanging="340"/>
      </w:pPr>
      <w:r>
        <w:rPr>
          <w:color w:val="1B4D2E"/>
        </w:rPr>
        <w:t xml:space="preserve">☐  </w:t>
      </w:r>
      <w:r>
        <w:t>Rótulo e tabela de doses por e-mail</w:t>
      </w:r>
    </w:p>
    <w:p w14:paraId="6967A2E3" w14:textId="77777777" w:rsidR="00470E72" w:rsidRDefault="00000000">
      <w:pPr>
        <w:ind w:left="964" w:hanging="340"/>
      </w:pPr>
      <w:r>
        <w:rPr>
          <w:color w:val="1B4D2E"/>
        </w:rPr>
        <w:t xml:space="preserve">☐  </w:t>
      </w:r>
      <w:r>
        <w:t>Encaminhamento para um distribuidor da região</w:t>
      </w:r>
    </w:p>
    <w:p w14:paraId="47E0C15F" w14:textId="77777777" w:rsidR="00470E72" w:rsidRDefault="00000000">
      <w:pPr>
        <w:spacing w:before="40" w:after="120"/>
        <w:ind w:left="340"/>
      </w:pPr>
      <w:r>
        <w:rPr>
          <w:i/>
          <w:color w:val="555555"/>
          <w:sz w:val="19"/>
        </w:rPr>
        <w:t>Hoje o site está com a faixa de teste como promessa principal. É a mais forte para esse produtor, e a que mais exige da operação: precisa de produto e de alguém acompanhando até a colheita. Se não estiver de pé, trocamos o texto do botão e o formulário continua igual.</w:t>
      </w:r>
    </w:p>
    <w:p w14:paraId="14672A5D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Se for faixa de teste: quantos acres, quantos produtores por safra, e quem acompanha a colheita?</w:t>
      </w:r>
    </w:p>
    <w:p w14:paraId="54D0E4E3" w14:textId="77777777" w:rsidR="00470E72" w:rsidRDefault="00000000">
      <w:pPr>
        <w:pStyle w:val="Ttulo2"/>
      </w:pPr>
      <w:r>
        <w:t>6. Domínio e acessos</w:t>
      </w:r>
    </w:p>
    <w:p w14:paraId="6CE9ADA8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Acesso da conta GoDaddy para fazer o apontamento.</w:t>
      </w:r>
    </w:p>
    <w:p w14:paraId="3B197CE5" w14:textId="5272C504" w:rsidR="00470E72" w:rsidRDefault="00000000">
      <w:pPr>
        <w:ind w:left="340" w:hanging="340"/>
      </w:pPr>
      <w:proofErr w:type="gramStart"/>
      <w:r>
        <w:rPr>
          <w:color w:val="1B4D2E"/>
        </w:rPr>
        <w:t xml:space="preserve">☐  </w:t>
      </w:r>
      <w:r>
        <w:t>O</w:t>
      </w:r>
      <w:proofErr w:type="gramEnd"/>
      <w:r>
        <w:t xml:space="preserve"> /en do site brasileiro vira </w:t>
      </w:r>
      <w:proofErr w:type="spellStart"/>
      <w:r>
        <w:t>redirecionamento</w:t>
      </w:r>
      <w:proofErr w:type="spellEnd"/>
      <w:r>
        <w:t xml:space="preserve"> para o site</w:t>
      </w:r>
      <w:r w:rsidR="00BE21FD">
        <w:t xml:space="preserve"> </w:t>
      </w:r>
      <w:proofErr w:type="spellStart"/>
      <w:r w:rsidR="00BE21FD">
        <w:t>ou</w:t>
      </w:r>
      <w:proofErr w:type="spellEnd"/>
      <w:r w:rsidR="00BE21FD">
        <w:t xml:space="preserve"> </w:t>
      </w:r>
      <w:proofErr w:type="spellStart"/>
      <w:r w:rsidR="00BE21FD">
        <w:t>ficará</w:t>
      </w:r>
      <w:proofErr w:type="spellEnd"/>
      <w:r w:rsidR="00BE21FD">
        <w:t xml:space="preserve"> </w:t>
      </w:r>
      <w:proofErr w:type="spellStart"/>
      <w:r w:rsidR="00BE21FD">
        <w:t>na</w:t>
      </w:r>
      <w:proofErr w:type="spellEnd"/>
      <w:r w:rsidR="00BE21FD">
        <w:t xml:space="preserve"> </w:t>
      </w:r>
      <w:proofErr w:type="spellStart"/>
      <w:r w:rsidR="00BE21FD">
        <w:t>versão</w:t>
      </w:r>
      <w:proofErr w:type="spellEnd"/>
      <w:r w:rsidR="00BE21FD">
        <w:t xml:space="preserve"> </w:t>
      </w:r>
      <w:proofErr w:type="spellStart"/>
      <w:r w:rsidR="00BE21FD">
        <w:t>traduzida</w:t>
      </w:r>
      <w:proofErr w:type="spellEnd"/>
      <w:r w:rsidR="00BE21FD">
        <w:t xml:space="preserve"> </w:t>
      </w:r>
      <w:proofErr w:type="spellStart"/>
      <w:r w:rsidR="00BE21FD">
        <w:t>mesmo</w:t>
      </w:r>
      <w:proofErr w:type="spellEnd"/>
      <w:r>
        <w:t>?</w:t>
      </w:r>
    </w:p>
    <w:p w14:paraId="5BD93A8D" w14:textId="77777777" w:rsidR="00470E72" w:rsidRDefault="00000000">
      <w:pPr>
        <w:spacing w:before="40" w:after="120"/>
        <w:ind w:left="340"/>
      </w:pPr>
      <w:r>
        <w:rPr>
          <w:i/>
          <w:color w:val="555555"/>
          <w:sz w:val="19"/>
        </w:rPr>
        <w:t>Sem o acesso da GoDaddy o site não sai do endereço de teste.</w:t>
      </w:r>
    </w:p>
    <w:p w14:paraId="37A81980" w14:textId="77777777" w:rsidR="00470E72" w:rsidRDefault="00000000">
      <w:pPr>
        <w:pStyle w:val="Ttulo2"/>
      </w:pPr>
      <w:r>
        <w:t>7. Prova e imagens</w:t>
      </w:r>
    </w:p>
    <w:p w14:paraId="46E71B04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Produtividade da testemunha nos ensaios de Aminosan (Taquarivaí/SP e Lavras/MG) — temos o ganho, mas não a base de comparação.</w:t>
      </w:r>
    </w:p>
    <w:p w14:paraId="2B04484A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Ano do ensaio do KMEP Ultra na Rehagro.</w:t>
      </w:r>
    </w:p>
    <w:p w14:paraId="5E55FE92" w14:textId="77777777" w:rsidR="00470E72" w:rsidRDefault="00000000">
      <w:pPr>
        <w:ind w:left="340" w:hanging="340"/>
      </w:pPr>
      <w:r>
        <w:rPr>
          <w:color w:val="1B4D2E"/>
        </w:rPr>
        <w:t xml:space="preserve">☐  </w:t>
      </w:r>
      <w:r>
        <w:t>Podemos citar DETEC, Rehagro, Terras Gerais, JP Agrícola, NITEC/UNESP e UENP pelo nome?</w:t>
      </w:r>
    </w:p>
    <w:p w14:paraId="30B72F4A" w14:textId="77777777" w:rsidR="00470E72" w:rsidRDefault="00000000">
      <w:pPr>
        <w:ind w:left="340" w:hanging="340"/>
      </w:pPr>
      <w:proofErr w:type="gramStart"/>
      <w:r>
        <w:rPr>
          <w:color w:val="1B4D2E"/>
        </w:rPr>
        <w:t xml:space="preserve">☐  </w:t>
      </w:r>
      <w:r>
        <w:t>Imagens</w:t>
      </w:r>
      <w:proofErr w:type="gramEnd"/>
      <w:r>
        <w:t xml:space="preserve"> de </w:t>
      </w:r>
      <w:proofErr w:type="spellStart"/>
      <w:r>
        <w:t>ensaio</w:t>
      </w:r>
      <w:proofErr w:type="spellEnd"/>
      <w:r>
        <w:t xml:space="preserve"> com a faixa tratada e a testemunha juntas, do mesmo dia e do mesmo ângulo.</w:t>
      </w:r>
    </w:p>
    <w:p w14:paraId="2E4F6134" w14:textId="17FD1095" w:rsidR="00470E72" w:rsidRDefault="00470E72">
      <w:pPr>
        <w:ind w:left="340" w:hanging="340"/>
      </w:pPr>
    </w:p>
    <w:sectPr w:rsidR="00470E72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9721162">
    <w:abstractNumId w:val="8"/>
  </w:num>
  <w:num w:numId="2" w16cid:durableId="1295865513">
    <w:abstractNumId w:val="6"/>
  </w:num>
  <w:num w:numId="3" w16cid:durableId="1363093059">
    <w:abstractNumId w:val="5"/>
  </w:num>
  <w:num w:numId="4" w16cid:durableId="1138838582">
    <w:abstractNumId w:val="4"/>
  </w:num>
  <w:num w:numId="5" w16cid:durableId="260455181">
    <w:abstractNumId w:val="7"/>
  </w:num>
  <w:num w:numId="6" w16cid:durableId="734276728">
    <w:abstractNumId w:val="3"/>
  </w:num>
  <w:num w:numId="7" w16cid:durableId="1095323755">
    <w:abstractNumId w:val="2"/>
  </w:num>
  <w:num w:numId="8" w16cid:durableId="187716859">
    <w:abstractNumId w:val="1"/>
  </w:num>
  <w:num w:numId="9" w16cid:durableId="200632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E72"/>
    <w:rsid w:val="005326D5"/>
    <w:rsid w:val="00AA1D8D"/>
    <w:rsid w:val="00B47730"/>
    <w:rsid w:val="00BE21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8EE4B1"/>
  <w14:defaultImageDpi w14:val="300"/>
  <w15:docId w15:val="{E3D06926-03C7-42EA-929C-D922FB4F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00" w:after="100"/>
      <w:outlineLvl w:val="0"/>
    </w:pPr>
    <w:rPr>
      <w:rFonts w:asciiTheme="majorHAnsi" w:eastAsiaTheme="majorEastAsia" w:hAnsiTheme="majorHAnsi" w:cstheme="majorBidi"/>
      <w:b/>
      <w:bCs/>
      <w:color w:val="1B4D2E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/>
      <w:b/>
      <w:bCs/>
      <w:color w:val="1B4D2E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524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Trincha</cp:lastModifiedBy>
  <cp:revision>2</cp:revision>
  <dcterms:created xsi:type="dcterms:W3CDTF">2013-12-23T23:15:00Z</dcterms:created>
  <dcterms:modified xsi:type="dcterms:W3CDTF">2026-08-13T12:43:00Z</dcterms:modified>
  <cp:category/>
</cp:coreProperties>
</file>