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5555"/>
          <w:sz w:val="20"/>
        </w:rPr>
        <w:t>JUMA-AGRO USA · SITE</w:t>
      </w:r>
    </w:p>
    <w:p>
      <w:pPr>
        <w:pStyle w:val="Heading1"/>
      </w:pPr>
      <w:r>
        <w:t>O que precisamos pedir e perguntar</w:t>
      </w:r>
    </w:p>
    <w:p>
      <w:pPr>
        <w:spacing w:after="80"/>
      </w:pPr>
      <w:r>
        <w:rPr>
          <w:color w:val="555555"/>
        </w:rPr>
        <w:t>Lista de pendências para destravar o site. Os quatro primeiros blocos são os que seguram conteúdo hoje.</w:t>
      </w:r>
    </w:p>
    <w:p>
      <w:pPr>
        <w:pStyle w:val="Heading2"/>
      </w:pPr>
      <w:r>
        <w:t>1. Rótulos e ficha técnica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Rótulo aprovado dos dois produtos nos EUA, em PDF — em inglês, o que estiver no rótulo é o que podemos dizer no site.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Se o rótulo americano ainda não existe: qual é a previsão? (isso muda o que as páginas podem afirmar hoje)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Guaranteed Analysis dos dois produtos: N, P₂O₅, K₂O, micronutrientes, aminoácidos livres, carbono orgânico, “derived from”, densidade e pH.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Dose em fl oz/acre ou gal/acre, por cultura, e número de aplicações por ciclo.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Estágio de aplicação em terminologia americana (V4, V6, R1, R3…).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Restrições: intervalo pré-colheita, temperatura, incompatibilidades de mistura.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FISPQ / SDS dos dois produtos, versão americana em PDF.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Quais são as embalagens vendidas nos EUA? (hoje temos 1L, 10L e 20L, que são as brasileiras — lá precisa ser galão, drum ou tote)</w:t>
      </w:r>
    </w:p>
    <w:p>
      <w:pPr>
        <w:spacing w:after="160" w:before="40"/>
        <w:ind w:left="340"/>
      </w:pPr>
      <w:r>
        <w:rPr>
          <w:i/>
          <w:color w:val="555555"/>
          <w:sz w:val="19"/>
        </w:rPr>
        <w:t>Um único arquivo — o rótulo — resolve a maior parte desta lista de uma vez.</w:t>
      </w:r>
    </w:p>
    <w:p>
      <w:pPr>
        <w:pStyle w:val="Heading2"/>
      </w:pPr>
      <w:r>
        <w:t>2. KMEP Ultra — classificação e regulação nos EUA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O produto está registrado na EPA? Se sim, qual o número de registro?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Está registrado como fertilizante em quais estados? Números de registro por estado.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Como ele é classificado nos EUA: fertilizante foliar, adjuvante, ou outra categoria?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Existe consultoria ou responsável pelo regulatório da LLC nos Estados Unidos? Nome e contato.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Alguém nos EUA já revisou os claims que usamos no Brasil — potencializador de inseticida, ação desalojante, expõe a praga escondida, aumenta a eficiência do inseticida?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Se esses claims não puderem ser usados, a Juma prefere qual caminho: posicionar pelo potássio foliar, ou segurar a página até resolver o registro?</w:t>
      </w:r>
    </w:p>
    <w:p>
      <w:pPr>
        <w:spacing w:after="160" w:before="40"/>
        <w:ind w:left="340"/>
      </w:pPr>
      <w:r>
        <w:rPr>
          <w:i/>
          <w:color w:val="555555"/>
          <w:sz w:val="19"/>
        </w:rPr>
        <w:t>Por que perguntamos: a copy que está no ar hoje descreve o mecanismo real do produto — ele vai misturado no inseticida, desaloja o inseto do esconderijo e aumenta a eficiência do defensivo. Agronomicamente está correto. O ponto é que, nos Estados Unidos, afirmar efeito sobre inseto ou sobre a performance de um defensivo costuma ser tratado como claim de pesticida sob a FIFRA, e isso exige registro na EPA. Adjuvantes normalmente não são registrados justamente por não fazerem claim de eficácia. Precisamos saber o que está autorizado antes do go-live. Esse mesmo texto já está publicado hoje em juma-agro.com.br/en.</w:t>
      </w:r>
    </w:p>
    <w:p>
      <w:pPr>
        <w:pStyle w:val="Heading2"/>
      </w:pPr>
      <w:r>
        <w:t>3. Culturas e regiões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Quais culturas a Juma vai trabalhar nos Estados Unidos? (a lista do site hoje é provisória)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Em quais estados a Juma pode legalmente vender hoje?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Em quais estados vai atuar comercialmente no primeiro ano?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Dentro desses estados, quais são as culturas mais fortes para cada um? (é o que ordena a seção de culturas e o mapa)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Existe alguma cultura que a Juma NÃO quer que apareça no site americano?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Milho e soja são a prioridade, ou existe alguma cultura de alto valor puxando a operação (cítricos na Flórida, por exemplo)?</w:t>
      </w:r>
    </w:p>
    <w:p>
      <w:pPr>
        <w:pStyle w:val="Heading2"/>
      </w:pPr>
      <w:r>
        <w:t>4. Operação nos Estados Unidos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Como está funcionando a operação hoje: quem está lá, com que estrutura?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A venda é direta ao produtor, via distribuidor, ou os dois?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Já existem distribuidores ou revendas fechadas? Em quais estados?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Existe estoque nos EUA ou o produto ainda vem por importação a cada pedido?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A Juma tem técnicos agrícolas ou agrônomos disponíveis nos Estados Unidos?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Se tem: quantos, em quais estados atuam, e eles fazem visita a campo?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Quem responde tecnicamente por um produtor que ligar com dúvida de aplicação?</w:t>
      </w:r>
    </w:p>
    <w:p>
      <w:pPr>
        <w:spacing w:after="160" w:before="40"/>
        <w:ind w:left="340"/>
      </w:pPr>
      <w:r>
        <w:rPr>
          <w:i/>
          <w:color w:val="555555"/>
          <w:sz w:val="19"/>
        </w:rPr>
        <w:t>Isso define o CTA. Se não há agrônomo em campo, “fale com um agrônomo” não pode ir ao ar — e a faixa de teste precisa de alguém para acompanhar a colheita.</w:t>
      </w:r>
    </w:p>
    <w:p>
      <w:pPr>
        <w:pStyle w:val="Heading2"/>
      </w:pPr>
      <w:r>
        <w:t>5. Público-alvo e chamada para ação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Quem é o público-alvo prioritário: o produtor direto, o distribuidor/revenda, ou o consultor agronômico?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O tamanho de propriedade que interessa: pequeno, médio, grande? Tem corte de acres?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O que a Juma quer que o visitante faça no site? Marcar a opção principal:</w:t>
      </w:r>
    </w:p>
    <w:p>
      <w:pPr>
        <w:spacing w:after="60"/>
        <w:ind w:left="1020" w:hanging="340"/>
      </w:pPr>
      <w:r>
        <w:rPr>
          <w:color w:val="1B4D2E"/>
        </w:rPr>
        <w:t xml:space="preserve">☐  </w:t>
      </w:r>
      <w:r>
        <w:t>Fazer uma faixa de teste gratuita na lavoura dele, com o produto por conta da Juma</w:t>
      </w:r>
    </w:p>
    <w:p>
      <w:pPr>
        <w:spacing w:after="60"/>
        <w:ind w:left="1020" w:hanging="340"/>
      </w:pPr>
      <w:r>
        <w:rPr>
          <w:color w:val="1B4D2E"/>
        </w:rPr>
        <w:t xml:space="preserve">☐  </w:t>
      </w:r>
      <w:r>
        <w:t>Conversar com alguém do time para entender melhor</w:t>
      </w:r>
    </w:p>
    <w:p>
      <w:pPr>
        <w:spacing w:after="60"/>
        <w:ind w:left="1020" w:hanging="340"/>
      </w:pPr>
      <w:r>
        <w:rPr>
          <w:color w:val="1B4D2E"/>
        </w:rPr>
        <w:t xml:space="preserve">☐  </w:t>
      </w:r>
      <w:r>
        <w:t>Receber o rótulo e a tabela de doses por e-mail</w:t>
      </w:r>
    </w:p>
    <w:p>
      <w:pPr>
        <w:spacing w:after="60"/>
        <w:ind w:left="1020" w:hanging="340"/>
      </w:pPr>
      <w:r>
        <w:rPr>
          <w:color w:val="1B4D2E"/>
        </w:rPr>
        <w:t xml:space="preserve">☐  </w:t>
      </w:r>
      <w:r>
        <w:t>Ser encaminhado para um distribuidor da região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A faixa de teste está confirmada como oferta? Se sim: quantos acres, quantos produtores por safra, e quem acompanha a colheita?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Se a faixa de teste não estiver confirmada, o botão muda de texto — precisamos saber antes do ar.</w:t>
      </w:r>
    </w:p>
    <w:p>
      <w:pPr>
        <w:spacing w:after="160" w:before="40"/>
        <w:ind w:left="340"/>
      </w:pPr>
      <w:r>
        <w:rPr>
          <w:i/>
          <w:color w:val="555555"/>
          <w:sz w:val="19"/>
        </w:rPr>
        <w:t>Hoje o site está com “Run a trial strip / Faça uma faixa de teste” como chamada principal. É a mais forte, mas é a que mais exige da operação.</w:t>
      </w:r>
    </w:p>
    <w:p>
      <w:pPr>
        <w:pStyle w:val="Heading2"/>
      </w:pPr>
      <w:r>
        <w:t>6. Contato e formulário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Quem recebe os leads do formulário nos EUA: nome, cargo e e-mail.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Telefone americano para ligação direta — o site vai exibir?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Existe WhatsApp Business com número americano?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O atendimento é em inglês, espanhol ou nos dois?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Horário e fuso de atendimento.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Depois que a pessoa preenche o formulário, o que acontece: a Juma entra em contato em quanto tempo? Por e-mail ou por telefone?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Os leads vão para um CRM? Qual? (define como o formulário é integrado)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Quem responde os leads do site brasileiro hoje é a mesma pessoa? (Debora, marketing)</w:t>
      </w:r>
    </w:p>
    <w:p>
      <w:pPr>
        <w:pStyle w:val="Heading2"/>
      </w:pPr>
      <w:r>
        <w:t>7. Domínio, acessos e o site brasileiro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Acesso à conta da GoDaddy para fazer o apontamento do domínio — login e senha, ou nos adicionar como usuário delegado.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Qual domínio será usado no site americano? Já está comprado?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Quem é o dono da conta do registrador hoje?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Decisão sobre o /en do site brasileiro: vira redirecionamento para o site novo, recebe canonical, ou sai do ar?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Existe e-mail corporativo americano configurado nesse domínio?</w:t>
      </w:r>
    </w:p>
    <w:p>
      <w:pPr>
        <w:spacing w:after="160" w:before="40"/>
        <w:ind w:left="340"/>
      </w:pPr>
      <w:r>
        <w:rPr>
          <w:i/>
          <w:color w:val="555555"/>
          <w:sz w:val="19"/>
        </w:rPr>
        <w:t>Sem o acesso da GoDaddy o site não sai do endereço de teste. O /en atual precisa de decisão porque os dois sites competem pelas mesmas buscas em inglês.</w:t>
      </w:r>
    </w:p>
    <w:p>
      <w:pPr>
        <w:pStyle w:val="Heading2"/>
      </w:pPr>
      <w:r>
        <w:t>8. Ensaios e prova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Produtividade da TESTEMUNHA nos ensaios de Aminosan de Taquarivaí/SP e Lavras/MG — temos o ganho, mas não a base de comparação.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Ano, cultivar, número de repetições e delineamento desses ensaios.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Ano do ensaio do KMEP Ultra na Rehagro (a tabela está sem o ano).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Podemos citar pelo nome DETEC, Rehagro, Terras Gerais, JP Agrícola, NITEC/UNESP e UENP? Existe contrato que restrinja?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Existe algum ensaio conduzido nos Estados Unidos, mesmo preliminar ou em área de demonstração?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Podemos receber os relatórios completos em PDF, para enviar a quem pedir pelo site?</w:t>
      </w:r>
    </w:p>
    <w:p>
      <w:pPr>
        <w:spacing w:after="160" w:before="40"/>
        <w:ind w:left="340"/>
      </w:pPr>
      <w:r>
        <w:rPr>
          <w:i/>
          <w:color w:val="555555"/>
          <w:sz w:val="19"/>
        </w:rPr>
        <w:t>Um único dado americano vale mais que dez brasileiros para esse produtor.</w:t>
      </w:r>
    </w:p>
    <w:p>
      <w:pPr>
        <w:pStyle w:val="Heading2"/>
      </w:pPr>
      <w:r>
        <w:t>9. Imagens e vídeos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Fotos dos dois produtos com o rótulo americano, frente e verso.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Fotos de lavoura e de aplicação nos Estados Unidos, em alta resolução.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Imagens de ensaio com a faixa tratada E a testemunha, do mesmo dia e do mesmo ângulo — são a base dos comparativos do site.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Vídeo ou imagens do laboratório de controle de qualidade em operação.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Vídeo ou imagens da fermentação enzimática na fábrica de Mogi Guaçu.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Fotos das três frentes: Projeto DESATA, Juma Experience e Juma 360.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Foto de arquivo do fundador ou da fábrica nos anos 80.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Ano de início e número de edições do Juma 360.</w:t>
      </w:r>
    </w:p>
    <w:p>
      <w:pPr>
        <w:pStyle w:val="Heading2"/>
      </w:pPr>
      <w:r>
        <w:t>10. Jurídico e identidade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Razão social completa e endereço da LLC para o rodapé.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A LLC usa a mesma logo da Juma Agro ou tem variação? Manual de marca, se existir.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Política de privacidade e termos de uso: a Juma tem texto jurídico próprio ou nós providenciamos?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Os depoimentos publicados hoje no /en (João Carvalho, Ricardo Marques, André Souza) são reais e autorizados?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Existe algum cliente americano disposto a dar depoimento com nome?</w:t>
      </w:r>
    </w:p>
    <w:p>
      <w:pPr>
        <w:spacing w:after="160" w:before="40"/>
        <w:ind w:left="340"/>
      </w:pPr>
      <w:r>
        <w:rPr>
          <w:i/>
          <w:color w:val="555555"/>
          <w:sz w:val="19"/>
        </w:rPr>
        <w:t>Como o site vai receber visitantes da Califórnia, o aviso de privacidade precisa atender à CCPA.</w:t>
      </w:r>
    </w:p>
    <w:p>
      <w:pPr>
        <w:pStyle w:val="Heading2"/>
      </w:pPr>
      <w:r>
        <w:t>11. Para o futuro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Quais são os próximos produtos que entram no mercado americano?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Previsão de quando entram no site.</w:t>
      </w:r>
    </w:p>
    <w:p>
      <w:pPr>
        <w:spacing w:after="60"/>
        <w:ind w:left="340" w:hanging="340"/>
      </w:pPr>
      <w:r>
        <w:rPr>
          <w:color w:val="1B4D2E"/>
        </w:rPr>
        <w:t xml:space="preserve">☐  </w:t>
      </w:r>
      <w:r>
        <w:t>Já têm registro nos EUA?</w:t>
      </w:r>
    </w:p>
    <w:p>
      <w:pPr>
        <w:spacing w:after="160" w:before="40"/>
        <w:ind w:left="340"/>
      </w:pPr>
      <w:r>
        <w:rPr>
          <w:i/>
          <w:color w:val="555555"/>
          <w:sz w:val="19"/>
        </w:rPr>
        <w:t>Sem urgência — é só para o modelo de página não precisar ser refeito depois.</w:t>
      </w:r>
    </w:p>
    <w:p>
      <w:pPr>
        <w:pStyle w:val="Heading1"/>
      </w:pPr>
      <w:r>
        <w:t>Os cinco que travam mais coisa</w:t>
      </w:r>
    </w:p>
    <w:p>
      <w:pPr>
        <w:spacing w:after="60"/>
        <w:ind w:left="340" w:hanging="340"/>
      </w:pPr>
      <w:r>
        <w:rPr>
          <w:b/>
          <w:color w:val="1B4D2E"/>
        </w:rPr>
        <w:t xml:space="preserve">☐  </w:t>
      </w:r>
      <w:r>
        <w:rPr>
          <w:b/>
        </w:rPr>
        <w:t>Rótulo americano dos dois produtos, em PDF.</w:t>
      </w:r>
    </w:p>
    <w:p>
      <w:pPr>
        <w:spacing w:after="60"/>
        <w:ind w:left="340" w:hanging="340"/>
      </w:pPr>
      <w:r>
        <w:rPr>
          <w:b/>
          <w:color w:val="1B4D2E"/>
        </w:rPr>
        <w:t xml:space="preserve">☐  </w:t>
      </w:r>
      <w:r>
        <w:rPr>
          <w:b/>
        </w:rPr>
        <w:t>Situação regulatória do KMEP Ultra nos EUA e revisão dos claims.</w:t>
      </w:r>
    </w:p>
    <w:p>
      <w:pPr>
        <w:spacing w:after="60"/>
        <w:ind w:left="340" w:hanging="340"/>
      </w:pPr>
      <w:r>
        <w:rPr>
          <w:b/>
          <w:color w:val="1B4D2E"/>
        </w:rPr>
        <w:t xml:space="preserve">☐  </w:t>
      </w:r>
      <w:r>
        <w:rPr>
          <w:b/>
        </w:rPr>
        <w:t>Testemunha dos ensaios de Aminosan.</w:t>
      </w:r>
    </w:p>
    <w:p>
      <w:pPr>
        <w:spacing w:after="60"/>
        <w:ind w:left="340" w:hanging="340"/>
      </w:pPr>
      <w:r>
        <w:rPr>
          <w:b/>
          <w:color w:val="1B4D2E"/>
        </w:rPr>
        <w:t xml:space="preserve">☐  </w:t>
      </w:r>
      <w:r>
        <w:rPr>
          <w:b/>
        </w:rPr>
        <w:t>Quem atende o lead nos EUA, com telefone.</w:t>
      </w:r>
    </w:p>
    <w:p>
      <w:pPr>
        <w:spacing w:after="60"/>
        <w:ind w:left="340" w:hanging="340"/>
      </w:pPr>
      <w:r>
        <w:rPr>
          <w:b/>
          <w:color w:val="1B4D2E"/>
        </w:rPr>
        <w:t xml:space="preserve">☐  </w:t>
      </w:r>
      <w:r>
        <w:rPr>
          <w:b/>
        </w:rPr>
        <w:t>Acesso da conta GoDaddy para o apontamento do domínio.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4D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4D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