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20"/>
        </w:rPr>
        <w:t>JUMA-AGRO FERTILIZER LLC</w:t>
      </w:r>
    </w:p>
    <w:p>
      <w:pPr>
        <w:pStyle w:val="Heading1"/>
      </w:pPr>
      <w:r>
        <w:t>Estrutura do site: seções e conteúdo</w:t>
      </w:r>
    </w:p>
    <w:p>
      <w:pPr>
        <w:spacing w:after="120"/>
      </w:pPr>
      <w:r>
        <w:rPr>
          <w:i w:val="0"/>
          <w:color w:val="555555"/>
        </w:rPr>
        <w:t>O que existe em cada página, o que cada seção diz e quais peças de imagem (animação, vídeo e comparativo antes/depois) entram em cada uma.</w:t>
      </w:r>
    </w:p>
    <w:p>
      <w:pPr>
        <w:spacing w:after="120"/>
      </w:pPr>
      <w:r>
        <w:rPr>
          <w:i/>
          <w:color w:val="555555"/>
        </w:rPr>
        <w:t>Versão de agosto de 2026 · protótipo em juma-agro-eua.vercel.app</w:t>
      </w:r>
    </w:p>
    <w:p/>
    <w:p>
      <w:pPr>
        <w:pStyle w:val="Heading2"/>
      </w:pPr>
      <w:r>
        <w:t>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/>
            <w:r>
              <w:rPr>
                <w:b/>
                <w:color w:val="1B4D2E"/>
                <w:sz w:val="19"/>
              </w:rPr>
              <w:t>Página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B4D2E"/>
                <w:sz w:val="19"/>
              </w:rPr>
              <w:t>Nº de seções</w:t>
            </w:r>
          </w:p>
        </w:tc>
        <w:tc>
          <w:tcPr>
            <w:tcW w:type="dxa" w:w="5783"/>
          </w:tcPr>
          <w:p>
            <w:r/>
            <w:r>
              <w:rPr>
                <w:b/>
                <w:color w:val="1B4D2E"/>
                <w:sz w:val="19"/>
              </w:rPr>
              <w:t>Função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Home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Apresenta a empresa, os dois produtos e a oferta de faixa de teste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KMEP Ultra®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Página de venda do produto: mecanismo, prova e conversão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Aminosan®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Página de venda do produto: mecanismo, prova e conversão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55555"/>
        </w:rPr>
        <w:t>O menu do site tem três itens: Home, Aminosan e KMEP Ultra.</w:t>
      </w:r>
    </w:p>
    <w:p>
      <w:r>
        <w:br w:type="page"/>
      </w:r>
    </w:p>
    <w:p>
      <w:pPr>
        <w:pStyle w:val="Heading1"/>
      </w:pPr>
      <w:r>
        <w:t>Home — 10 seções</w:t>
      </w:r>
    </w:p>
    <w:p>
      <w:pPr>
        <w:spacing w:before="200" w:after="40"/>
      </w:pPr>
      <w:r>
        <w:rPr>
          <w:b/>
          <w:color w:val="1B4D2E"/>
          <w:sz w:val="23"/>
        </w:rPr>
        <w:t>S1 — Hero</w:t>
      </w:r>
    </w:p>
    <w:p>
      <w:pPr>
        <w:spacing w:after="60"/>
      </w:pPr>
      <w:r>
        <w:t>Dez segundos para dizer quem somos, onde estamos e por que o Brasil importa. Título: “Comprovado onde a safra nunca para”. Explica que no Brasil se tiram duas e três safras do mesmo talhão, sem inverno para zerar a lavoura, e que a nutrição foliar foi testada nisso por 38 anos. Ao lado do texto já aparece o resultado do ensaio de milho (221,3 contra 212,3 bu/ac) para o visitante cético encontrar o dado sem rolar a página. Botões: fazer uma faixa de teste e ver os dados de ensaio.</w:t>
      </w:r>
    </w:p>
    <w:p>
      <w:pPr>
        <w:spacing w:after="160"/>
      </w:pPr>
      <w:r>
        <w:rPr>
          <w:i/>
          <w:color w:val="555555"/>
          <w:sz w:val="20"/>
        </w:rPr>
        <w:t>Peças de imagem: Foto de lavoura americana em plano aberto (P13).</w:t>
      </w:r>
    </w:p>
    <w:p>
      <w:pPr>
        <w:spacing w:before="200" w:after="40"/>
      </w:pPr>
      <w:r>
        <w:rPr>
          <w:b/>
          <w:color w:val="1B4D2E"/>
          <w:sz w:val="23"/>
        </w:rPr>
        <w:t>S2 — Barra de prova</w:t>
      </w:r>
    </w:p>
    <w:p>
      <w:pPr>
        <w:spacing w:after="60"/>
      </w:pPr>
      <w:r>
        <w:t>Três a quatro números, cada um com a testemunha ao lado e a fonte embaixo: o ensaio de milho (221,3 vs 212,3 bu/ac, Rehagro), 38 anos de ensaios de campo, e laboratório próprio desde 1988. O quarto espaço está reservado para o ensaio de soja com Aminosan e só é preenchido quando chegar a produtividade da testemunha.</w:t>
      </w:r>
    </w:p>
    <w:p>
      <w:pPr>
        <w:spacing w:after="160"/>
      </w:pPr>
      <w:r>
        <w:rPr>
          <w:i/>
          <w:color w:val="555555"/>
          <w:sz w:val="20"/>
        </w:rPr>
        <w:t>Peças de imagem: Nenhuma — a seção é feita de número e fonte.</w:t>
      </w:r>
    </w:p>
    <w:p>
      <w:pPr>
        <w:spacing w:before="200" w:after="40"/>
      </w:pPr>
      <w:r>
        <w:rPr>
          <w:b/>
          <w:color w:val="1B4D2E"/>
          <w:sz w:val="23"/>
        </w:rPr>
        <w:t>S3 — A expertise brasileira em solo americano</w:t>
      </w:r>
    </w:p>
    <w:p>
      <w:pPr>
        <w:spacing w:after="60"/>
      </w:pPr>
      <w:r>
        <w:t>A seção que faz a transferência: o conhecimento construído no agro brasileiro chegando à lavoura americana. Título: “A expertise do agro brasileiro, agora em solo americano”. Três blocos explicam o que isso entrega — eficiência (a aplicação já está programada e paga, o produto entra nesse tanque e faz ele trabalhar mais), produtividade (a safra se define em duas ou três semanas, e é nessa janela que os produtos atuam) e lucratividade (nove bushels por acre sobre a testemunha, de um produto que pegou carona numa aplicação que já aconteceria).</w:t>
      </w:r>
    </w:p>
    <w:p>
      <w:pPr>
        <w:spacing w:after="160"/>
      </w:pPr>
      <w:r>
        <w:rPr>
          <w:i/>
          <w:color w:val="555555"/>
          <w:sz w:val="20"/>
        </w:rPr>
        <w:t>Peças de imagem: VD-01a e VD-01b — par comparativo de talhão: testemunha e faixa tratada.</w:t>
      </w:r>
    </w:p>
    <w:p>
      <w:pPr>
        <w:spacing w:before="200" w:after="40"/>
      </w:pPr>
      <w:r>
        <w:rPr>
          <w:b/>
          <w:color w:val="1B4D2E"/>
          <w:sz w:val="23"/>
        </w:rPr>
        <w:t>S4 — Produtos</w:t>
      </w:r>
    </w:p>
    <w:p>
      <w:pPr>
        <w:spacing w:after="60"/>
      </w:pPr>
      <w:r>
        <w:t>Dois cards, um por produto, cada um com uma linha só e o link para a página completa. KMEP Ultra: vai no tanque misturado ao inseticida e tira o alvo do esconderijo, para que a calda que você já pagou chegue de fato nele. Aminosan: os blocos de construção entregues prontos para uso, em campo há 40 anos.</w:t>
      </w:r>
    </w:p>
    <w:p>
      <w:pPr>
        <w:spacing w:after="160"/>
      </w:pPr>
      <w:r>
        <w:rPr>
          <w:i/>
          <w:color w:val="555555"/>
          <w:sz w:val="20"/>
        </w:rPr>
        <w:t>Peças de imagem: VD-02a e VD-02b — GIF mudo de 6 s do mecanismo de cada produto, dentro do card.</w:t>
      </w:r>
    </w:p>
    <w:p>
      <w:pPr>
        <w:spacing w:before="200" w:after="40"/>
      </w:pPr>
      <w:r>
        <w:rPr>
          <w:b/>
          <w:color w:val="1B4D2E"/>
          <w:sz w:val="23"/>
        </w:rPr>
        <w:t>S5 — Culturas</w:t>
      </w:r>
    </w:p>
    <w:p>
      <w:pPr>
        <w:spacing w:after="60"/>
      </w:pPr>
      <w:r>
        <w:t>Mostra em quais culturas os programas se encaixam, ordenadas pelo estado do visitante (detectado por IP). Todas as culturas sempre aparecem; só a ordem muda. Quem não encontra a sua cultura é convidado a dizer o que planta. A lista atual ainda é provisória e depende de confirmação técnica.</w:t>
      </w:r>
    </w:p>
    <w:p>
      <w:pPr>
        <w:spacing w:after="160"/>
      </w:pPr>
      <w:r>
        <w:rPr>
          <w:i/>
          <w:color w:val="555555"/>
          <w:sz w:val="20"/>
        </w:rPr>
        <w:t>Peças de imagem: AN-06 — mapa dos Estados Unidos com o estado detectado em destaque.</w:t>
      </w:r>
    </w:p>
    <w:p>
      <w:pPr>
        <w:spacing w:before="200" w:after="40"/>
      </w:pPr>
      <w:r>
        <w:rPr>
          <w:b/>
          <w:color w:val="1B4D2E"/>
          <w:sz w:val="23"/>
        </w:rPr>
        <w:t>S6 — O Brasil é a credencial</w:t>
      </w:r>
    </w:p>
    <w:p>
      <w:pPr>
        <w:spacing w:after="60"/>
      </w:pPr>
      <w:r>
        <w:t>Transforma a origem brasileira de ressalva em argumento. O Brasil produz mais soja que os Estados Unidos e é o único grande produtor que tira duas e três safras do mesmo talhão no mesmo ano — um produto que aguenta ali foi testado sob severidade que o Corn Belt não impõe. Três blocos: 1988 (o produto veio antes da empresa), 12 meses de pressão por ano, e 40 anos sobre agricultura tropical.</w:t>
      </w:r>
    </w:p>
    <w:p>
      <w:pPr>
        <w:spacing w:after="160"/>
      </w:pPr>
      <w:r>
        <w:rPr>
          <w:i/>
          <w:color w:val="555555"/>
          <w:sz w:val="20"/>
        </w:rPr>
        <w:t>Peças de imagem: Nenhuma prevista.</w:t>
      </w:r>
    </w:p>
    <w:p>
      <w:pPr>
        <w:spacing w:before="200" w:after="40"/>
      </w:pPr>
      <w:r>
        <w:rPr>
          <w:b/>
          <w:color w:val="1B4D2E"/>
          <w:sz w:val="23"/>
        </w:rPr>
        <w:t>S7 — As frentes da Juma</w:t>
      </w:r>
    </w:p>
    <w:p>
      <w:pPr>
        <w:spacing w:after="60"/>
      </w:pPr>
      <w:r>
        <w:t>Seção nova. Os três programas institucionais que explicam por que a empresa se comporta como se comporta. Projeto DESATA: pesquisa em tecnologia de aplicação com a UENP e o NITEC/UNESP desde 2021, com túnel de vento, espectro de gotas, deriva e deposição. Juma Experience: um dia de imersão dentro da operação, com produção, laboratório, logística e conversa com o fundador. Juma 360: convenção de quatro dias que reúne o time Juma de todas as regiões do Brasil — a agronomia que chega aos EUA foi discutida ali primeiro.</w:t>
      </w:r>
    </w:p>
    <w:p>
      <w:pPr>
        <w:spacing w:after="160"/>
      </w:pPr>
      <w:r>
        <w:rPr>
          <w:i/>
          <w:color w:val="555555"/>
          <w:sz w:val="20"/>
        </w:rPr>
        <w:t>Peças de imagem: Fotos reais das três frentes. Banco de imagens não serve: a seção inteira afirma que isso acontece de verdade.</w:t>
      </w:r>
    </w:p>
    <w:p>
      <w:pPr>
        <w:spacing w:before="200" w:after="40"/>
      </w:pPr>
      <w:r>
        <w:rPr>
          <w:b/>
          <w:color w:val="1B4D2E"/>
          <w:sz w:val="23"/>
        </w:rPr>
        <w:t>S8 — O método</w:t>
      </w:r>
    </w:p>
    <w:p>
      <w:pPr>
        <w:spacing w:after="60"/>
      </w:pPr>
      <w:r>
        <w:t>A seção que sustenta todos os números do site: um número de produtividade sem a parcela testemunha ao lado é propaganda. Aqui a empresa declara que publica o número tratado, o número da testemunha, onde o ensaio foi feito e quem fez. Lista as instituições que conduziram os ensaios — DETEC, Rehagro, NITEC/UNESP, JP Agrícola, Terras Gerais e UENP.</w:t>
      </w:r>
    </w:p>
    <w:p>
      <w:pPr>
        <w:spacing w:after="160"/>
      </w:pPr>
      <w:r>
        <w:rPr>
          <w:i/>
          <w:color w:val="555555"/>
          <w:sz w:val="20"/>
        </w:rPr>
        <w:t>Peças de imagem: Foto do laboratório próprio (P26) e VD-03 — vídeo do laboratório analisando um lote.</w:t>
      </w:r>
    </w:p>
    <w:p>
      <w:pPr>
        <w:spacing w:before="200" w:after="40"/>
      </w:pPr>
      <w:r>
        <w:rPr>
          <w:b/>
          <w:color w:val="1B4D2E"/>
          <w:sz w:val="23"/>
        </w:rPr>
        <w:t>S9 — A faixa de teste</w:t>
      </w:r>
    </w:p>
    <w:p>
      <w:pPr>
        <w:spacing w:after="60"/>
      </w:pPr>
      <w:r>
        <w:t>A seção de conversão. Em vez de “fale conosco”, a oferta é uma faixa de teste na lavoura do próprio visitante, com o produto por conta da empresa. Explicada em três passos: escolher o talhão, deixar a faixa testemunha ao lado, e ler o resultado no monitor na colheita — inclusive se não separar. Traz o formulário completo do site e o endereço da operação americana em Lakeland, Flórida. Para quem ainda não está pronto para a faixa, há duas portas menores: receber o rótulo e a tabela de doses, ou falar com um agrônomo.</w:t>
      </w:r>
    </w:p>
    <w:p>
      <w:pPr>
        <w:spacing w:after="160"/>
      </w:pPr>
      <w:r>
        <w:rPr>
          <w:i/>
          <w:color w:val="555555"/>
          <w:sz w:val="20"/>
        </w:rPr>
        <w:t>Peças de imagem: Nenhuma prevista — a seção é formulário e texto.</w:t>
      </w:r>
    </w:p>
    <w:p>
      <w:pPr>
        <w:spacing w:before="200" w:after="40"/>
      </w:pPr>
      <w:r>
        <w:rPr>
          <w:b/>
          <w:color w:val="1B4D2E"/>
          <w:sz w:val="23"/>
        </w:rPr>
        <w:t>S10 — Rodapé</w:t>
      </w:r>
    </w:p>
    <w:p>
      <w:pPr>
        <w:spacing w:after="60"/>
      </w:pPr>
      <w:r>
        <w:t>Endereço americano, navegação, links jurídicos e o vínculo com a matriz: subsidiária da Juma Agro, empresa familiar em Mogi Guaçu desde 1988. Fecha com a ressalva que acompanha todo número do site: os resultados vêm de ensaios conduzidos no Brasil e o desempenho em campo varia com clima, solo e manejo.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r>
        <w:br w:type="page"/>
      </w:r>
    </w:p>
    <w:p>
      <w:pPr>
        <w:pStyle w:val="Heading1"/>
      </w:pPr>
      <w:r>
        <w:t>KMEP Ultra® — 10 seções</w:t>
      </w:r>
    </w:p>
    <w:p>
      <w:pPr>
        <w:spacing w:after="120"/>
      </w:pPr>
      <w:r>
        <w:rPr>
          <w:i w:val="0"/>
          <w:color w:val="555555"/>
        </w:rPr>
        <w:t>O produto é um potencializador de inseticida. Ele vai misturado no inseticida, paralisa e desaloja o inseto do ponto onde ele se protege, e o mantém exposto à calda. Ele não faz o inseticida render mais: aumenta a eficiência do inseticida que já está no tanque. Essa distinção aparece em três lugares diferentes da página, de propósito.</w:t>
      </w:r>
    </w:p>
    <w:p>
      <w:pPr>
        <w:spacing w:before="200" w:after="40"/>
      </w:pPr>
      <w:r>
        <w:rPr>
          <w:b/>
          <w:color w:val="1B4D2E"/>
          <w:sz w:val="23"/>
        </w:rPr>
        <w:t>K1 — Hero</w:t>
      </w:r>
    </w:p>
    <w:p>
      <w:pPr>
        <w:spacing w:after="60"/>
      </w:pPr>
      <w:r>
        <w:t>Posicionamento e promessa central. Título: “O que você não alcançou é o que volta”. O texto explica o mecanismo em quatro linhas — vai no tanque misturado ao inseticida já escolhido, não substitui e não faz render mais, tira o alvo do esconderijo e o deixa parado e exposto, e carrega potássio foliar na mesma gota. Ao lado, o resultado do ensaio já aparece: 221,3 tratado, 212,3 testemunha, diferença de +8,9 bu/ac.</w:t>
      </w:r>
    </w:p>
    <w:p>
      <w:pPr>
        <w:spacing w:after="160"/>
      </w:pPr>
      <w:r>
        <w:rPr>
          <w:i/>
          <w:color w:val="555555"/>
          <w:sz w:val="20"/>
        </w:rPr>
        <w:t>Peças de imagem: AN-01 — entrada do galão com rótulo americano.</w:t>
      </w:r>
    </w:p>
    <w:p>
      <w:pPr>
        <w:spacing w:before="200" w:after="40"/>
      </w:pPr>
      <w:r>
        <w:rPr>
          <w:b/>
          <w:color w:val="1B4D2E"/>
          <w:sz w:val="23"/>
        </w:rPr>
        <w:t>K2 — O problema</w:t>
      </w:r>
    </w:p>
    <w:p>
      <w:pPr>
        <w:spacing w:after="60"/>
      </w:pPr>
      <w:r>
        <w:t>A dor específica: você pulverizou e dias depois eles voltaram. A aplicação estava certa, o produto estava certo, mas parte da população nunca encontrou a calda — estava no cartucho, embaixo da folha, na bainha, numa fenda onde a gota não entra. Fecha com a frase que resume a página: o inseticida não falhou, ele nunca chegou a agir em cima do inseto. Um segundo movimento apresenta a demanda de potássio no fim do ciclo, que é o benefício embutido.</w:t>
      </w:r>
    </w:p>
    <w:p>
      <w:pPr>
        <w:spacing w:after="160"/>
      </w:pPr>
      <w:r>
        <w:rPr>
          <w:i/>
          <w:color w:val="555555"/>
          <w:sz w:val="20"/>
        </w:rPr>
        <w:t>Peças de imagem: Macro do esconderijo: cartucho aberto, face inferior da folha, bainha.</w:t>
      </w:r>
    </w:p>
    <w:p>
      <w:pPr>
        <w:spacing w:before="200" w:after="40"/>
      </w:pPr>
      <w:r>
        <w:rPr>
          <w:b/>
          <w:color w:val="1B4D2E"/>
          <w:sz w:val="23"/>
        </w:rPr>
        <w:t>K3 — Como funciona</w:t>
      </w:r>
    </w:p>
    <w:p>
      <w:pPr>
        <w:spacing w:after="60"/>
      </w:pPr>
      <w:r>
        <w:t>O mecanismo em três passos: (1) na mistura — entra junto com o inseticida, nunca sozinho e nunca no lugar dele; (2) desalojamento — o alvo deixa o cartucho, a folha, a bainha, a fenda; (3) exposto e parado — no aberto ele paralisa e permanece em contato com a calda, que agora tem tempo de agir. Em seguida vem um bloco “o que isto não é”: não faz o inseticida render mais, mesma dose, mesmo rótulo, mesmo tanque. Fecha com o potássio foliar na mesma gota.</w:t>
      </w:r>
    </w:p>
    <w:p>
      <w:pPr>
        <w:spacing w:after="160"/>
      </w:pPr>
      <w:r>
        <w:rPr>
          <w:i/>
          <w:color w:val="555555"/>
          <w:sz w:val="20"/>
        </w:rPr>
        <w:t>Peças de imagem: AN-02 (mecanismo desenhado), VD-04 (a parte física no tanque: mistura, dispersão e teste de jarro) e VD-05a/b (par comparativo em macro: só o inseticida contra inseticida + KMEP).</w:t>
      </w:r>
    </w:p>
    <w:p>
      <w:pPr>
        <w:spacing w:before="200" w:after="40"/>
      </w:pPr>
      <w:r>
        <w:rPr>
          <w:b/>
          <w:color w:val="1B4D2E"/>
          <w:sz w:val="23"/>
        </w:rPr>
        <w:t>K4 — O que muda na prática</w:t>
      </w:r>
    </w:p>
    <w:p>
      <w:pPr>
        <w:spacing w:after="60"/>
      </w:pPr>
      <w:r>
        <w:t>Quatro respostas práticas, na ordem em que o produtor pergunta: entra junto com o inseticida que você já comprou, sem aplicação separada; o inseticida age sobre mais da população; potássio foliar na mesma aplicação; e um número que você pode conferir (+8,9 bu/ac sobre a testemunha, com o relatório disponível).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pPr>
        <w:spacing w:before="200" w:after="40"/>
      </w:pPr>
      <w:r>
        <w:rPr>
          <w:b/>
          <w:color w:val="1B4D2E"/>
          <w:sz w:val="23"/>
        </w:rPr>
        <w:t>K5 — A prova</w:t>
      </w:r>
    </w:p>
    <w:p>
      <w:pPr>
        <w:spacing w:after="60"/>
      </w:pPr>
      <w:r>
        <w:t>O clímax da página, em dois níveis de leitura. Primeiro o número grande: milho em manejo de cigarrinha, ensaio Rehagro, testemunha 212,3 e tratado 221,3 bu/ac, diferença de +8,9 (+4,2%). Embaixo, a tabela completa do ensaio com cultura, local, tratado, testemunha, diferença, fonte e ano — inclusive nas unidades originais em sc/ha. Declara que quando houver mais ensaios eles estarão ali também, inclusive os que não separaram.</w:t>
      </w:r>
    </w:p>
    <w:p>
      <w:pPr>
        <w:spacing w:after="160"/>
      </w:pPr>
      <w:r>
        <w:rPr>
          <w:i/>
          <w:color w:val="555555"/>
          <w:sz w:val="20"/>
        </w:rPr>
        <w:t>Peças de imagem: AN-03 (contadores subindo de zero até os dois números) e VD-06a/b (par comparativo de campo, obrigatoriamente do mesmo ensaio Rehagro que dá o número da tabela).</w:t>
      </w:r>
    </w:p>
    <w:p>
      <w:pPr>
        <w:spacing w:before="200" w:after="40"/>
      </w:pPr>
      <w:r>
        <w:rPr>
          <w:b/>
          <w:color w:val="1B4D2E"/>
          <w:sz w:val="23"/>
        </w:rPr>
        <w:t>K6 — A conta por acre</w:t>
      </w:r>
    </w:p>
    <w:p>
      <w:pPr>
        <w:spacing w:after="60"/>
      </w:pPr>
      <w:r>
        <w:t>O produtor americano decide por retorno explícito. A seção mostra quanto valem os nove bushels em três cenários de preço do milho (US$ 4,00, US$ 4,30 e US$ 4,60 por bushel) e coloca o custo do produto por acre ao lado. Enquanto o custo não for definido, a seção não pode ir ao ar: publicar o ganho sem o investimento é exatamente o formato que o resto do site rejeita.</w:t>
      </w:r>
    </w:p>
    <w:p>
      <w:pPr>
        <w:spacing w:after="160"/>
      </w:pPr>
      <w:r>
        <w:rPr>
          <w:i/>
          <w:color w:val="555555"/>
          <w:sz w:val="20"/>
        </w:rPr>
        <w:t>Peças de imagem: AN-04 — barras de resposta contra custo (bloqueada até o custo chegar).</w:t>
      </w:r>
    </w:p>
    <w:p>
      <w:pPr>
        <w:spacing w:before="200" w:after="40"/>
      </w:pPr>
      <w:r>
        <w:rPr>
          <w:b/>
          <w:color w:val="1B4D2E"/>
          <w:sz w:val="23"/>
        </w:rPr>
        <w:t>K7 — A credencial da casa</w:t>
      </w:r>
    </w:p>
    <w:p>
      <w:pPr>
        <w:spacing w:after="60"/>
      </w:pPr>
      <w:r>
        <w:t>O bloco em que o produto conta a credencial da empresa. No KMEP a credencial é tecnologia de aplicação: desde 2021 a Juma conduz o Projeto DESATA com a UENP e o NITEC/UNESP, com trabalho de túnel de vento. Título: “tecnologia de aplicação aqui é programa de pesquisa, não slogan”. Ao lado, um bloco de contexto: a cigarrinha do milho foi confirmada em 185 condados de 16 estados americanos na safra 2025, e o Brasil convive com ela há mais de uma década.</w:t>
      </w:r>
    </w:p>
    <w:p>
      <w:pPr>
        <w:spacing w:after="160"/>
      </w:pPr>
      <w:r>
        <w:rPr>
          <w:i/>
          <w:color w:val="555555"/>
          <w:sz w:val="20"/>
        </w:rPr>
        <w:t>Peças de imagem: Túnel de vento, cartões hidrossensíveis ou bico e gota em macro. Documental, nunca publicitário.</w:t>
      </w:r>
    </w:p>
    <w:p>
      <w:pPr>
        <w:spacing w:before="200" w:after="40"/>
      </w:pPr>
      <w:r>
        <w:rPr>
          <w:b/>
          <w:color w:val="1B4D2E"/>
          <w:sz w:val="23"/>
        </w:rPr>
        <w:t>K8 — Quando entra</w:t>
      </w:r>
    </w:p>
    <w:p>
      <w:pPr>
        <w:spacing w:after="60"/>
      </w:pPr>
      <w:r>
        <w:t>Janela de aplicação, dose e mistura. Milho de V4 a V6, soja de R1 a R3, sempre na aplicação de inseticida que já está programada; algodão e culturas de alto valor seguem em revisão técnica. A dose por acre vem do rótulo americano. A terceira coluna trata da mistura: ordem e incompatibilidades estão no rótulo, e vale teste de jarro em qualquer combinação nova. Fecha convidando quem planta outra coisa a perguntar — no Brasil o produto é usado em café, feijão, algodão, citros e tomate.</w:t>
      </w:r>
    </w:p>
    <w:p>
      <w:pPr>
        <w:spacing w:after="160"/>
      </w:pPr>
      <w:r>
        <w:rPr>
          <w:i/>
          <w:color w:val="555555"/>
          <w:sz w:val="20"/>
        </w:rPr>
        <w:t>Peças de imagem: AN-07 — linha do tempo dos estágios, com marcador parando nas janelas de aplicação.</w:t>
      </w:r>
    </w:p>
    <w:p>
      <w:pPr>
        <w:spacing w:before="200" w:after="40"/>
      </w:pPr>
      <w:r>
        <w:rPr>
          <w:b/>
          <w:color w:val="1B4D2E"/>
          <w:sz w:val="23"/>
        </w:rPr>
        <w:t>K9 — Objeções</w:t>
      </w:r>
    </w:p>
    <w:p>
      <w:pPr>
        <w:spacing w:after="60"/>
      </w:pPr>
      <w:r>
        <w:t>Sete perguntas escritas como antecipação de objeção. As principais: por que um ensaio brasileiro deveria importar (a testemunha do ensaio, 212,3 bu/ac, é próxima da média nacional americana — o ensaio foi feito em condição mais difícil, não mais fácil); qual a diferença para um 0-0-25 comum; se dá para reduzir a dose do inseticida (não — ele aumenta a eficiência, não faz render mais); se pode misturar no tanque; se está registrado no estado; e se existe dado de ensaio americano (ainda não, e é para isso que serve a faixa de teste).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pPr>
        <w:spacing w:before="200" w:after="40"/>
      </w:pPr>
      <w:r>
        <w:rPr>
          <w:b/>
          <w:color w:val="1B4D2E"/>
          <w:sz w:val="23"/>
        </w:rPr>
        <w:t>K10 — Chamada final</w:t>
      </w:r>
    </w:p>
    <w:p>
      <w:pPr>
        <w:spacing w:after="60"/>
      </w:pPr>
      <w:r>
        <w:t>Repete a oferta da faixa de teste com um formulário curto de quatro campos — o formulário completo fica só na Home. Fecha com a ressalva de uso: o produto é aplicado em mistura com inseticida e nunca no lugar dele, e não altera a dose do rótulo do inseticida.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r>
        <w:br w:type="page"/>
      </w:r>
    </w:p>
    <w:p>
      <w:pPr>
        <w:pStyle w:val="Heading1"/>
      </w:pPr>
      <w:r>
        <w:t>Aminosan® — 11 seções</w:t>
      </w:r>
    </w:p>
    <w:p>
      <w:pPr>
        <w:spacing w:after="120"/>
      </w:pPr>
      <w:r>
        <w:rPr>
          <w:i w:val="0"/>
          <w:color w:val="555555"/>
        </w:rPr>
        <w:t>O produto é um fertilizante foliar de aminoácidos livres de origem vegetal, produzido por fermentação enzimática. A página inteira é escrita para descrever o que o produto entrega, nunca o que ele provoca na planta — composição é fato de rótulo, fisiologia é claim.</w:t>
      </w:r>
    </w:p>
    <w:p>
      <w:pPr>
        <w:spacing w:before="200" w:after="40"/>
      </w:pPr>
      <w:r>
        <w:rPr>
          <w:b/>
          <w:color w:val="1B4D2E"/>
          <w:sz w:val="23"/>
        </w:rPr>
        <w:t>A1 — Hero</w:t>
      </w:r>
    </w:p>
    <w:p>
      <w:pPr>
        <w:spacing w:after="60"/>
      </w:pPr>
      <w:r>
        <w:t>Promessa central, carregando 40 anos de história sem soar nostálgica. Título: “A planta consegue construir aminoácidos. Ou você entrega os prontos”. Ao lado, três marcos no lugar do resultado: 40 anos em campo, 1988 (a empresa veio depois) e dois ensaios de soja com fonte nomeada — e a explicação de por que o número ainda não está publicado.</w:t>
      </w:r>
    </w:p>
    <w:p>
      <w:pPr>
        <w:spacing w:after="160"/>
      </w:pPr>
      <w:r>
        <w:rPr>
          <w:i/>
          <w:color w:val="555555"/>
          <w:sz w:val="20"/>
        </w:rPr>
        <w:t>Peças de imagem: AN-01 — entrada do galão com rótulo americano.</w:t>
      </w:r>
    </w:p>
    <w:p>
      <w:pPr>
        <w:spacing w:before="200" w:after="40"/>
      </w:pPr>
      <w:r>
        <w:rPr>
          <w:b/>
          <w:color w:val="1B4D2E"/>
          <w:sz w:val="23"/>
        </w:rPr>
        <w:t>A2 — O problema</w:t>
      </w:r>
    </w:p>
    <w:p>
      <w:pPr>
        <w:spacing w:after="60"/>
      </w:pPr>
      <w:r>
        <w:t>Nitrogênio não é aminoácido. O nitrato no solo é matéria-prima, não produto acabado: antes de virar proteína, a planta precisa reduzi-lo, aminá-lo e montá-lo, numa cadeia que consome carbono e energia produzidos para outra coisa. Numa safra com folga isso é só como funciona; nas semanas que definem a produtividade, é um custo.</w:t>
      </w:r>
    </w:p>
    <w:p>
      <w:pPr>
        <w:spacing w:after="160"/>
      </w:pPr>
      <w:r>
        <w:rPr>
          <w:i/>
          <w:color w:val="555555"/>
          <w:sz w:val="20"/>
        </w:rPr>
        <w:t>Peças de imagem: Nenhuma, ou um detalhe abstrato de folha.</w:t>
      </w:r>
    </w:p>
    <w:p>
      <w:pPr>
        <w:spacing w:before="200" w:after="40"/>
      </w:pPr>
      <w:r>
        <w:rPr>
          <w:b/>
          <w:color w:val="1B4D2E"/>
          <w:sz w:val="23"/>
        </w:rPr>
        <w:t>A3 — Como funciona</w:t>
      </w:r>
    </w:p>
    <w:p>
      <w:pPr>
        <w:spacing w:after="60"/>
      </w:pPr>
      <w:r>
        <w:t>Cinco etapas, ou uma. Mostra a rota longa (nitrato → nitrito → amônio → glutamato → aminoácido) contra a rota curta: aminoácidos livres aplicados na folha, já na forma que a planta usa. A segunda metade da seção diferencia o produto da categoria numa tabela de três linhas — origem (vegetal contra hidrolisado animal), processo (fermentação enzimática contra hidrólise ácida) e forma (aminoácidos livres contra cadeias peptídicas). A coluna da direita fica genérica de propósito: comparação nomeando concorrente exige substanciação rigorosa.</w:t>
      </w:r>
    </w:p>
    <w:p>
      <w:pPr>
        <w:spacing w:after="160"/>
      </w:pPr>
      <w:r>
        <w:rPr>
          <w:i/>
          <w:color w:val="555555"/>
          <w:sz w:val="20"/>
        </w:rPr>
        <w:t>Peças de imagem: AN-05 (a química desenhada: as duas rotas correndo em ritmos diferentes) e VD-07 (a química filmada: fermentação enzimática na fábrica de Mogi Guaçu, do reator ao produto acabado).</w:t>
      </w:r>
    </w:p>
    <w:p>
      <w:pPr>
        <w:spacing w:before="200" w:after="40"/>
      </w:pPr>
      <w:r>
        <w:rPr>
          <w:b/>
          <w:color w:val="1B4D2E"/>
          <w:sz w:val="23"/>
        </w:rPr>
        <w:t>A4 — O que muda na prática</w:t>
      </w:r>
    </w:p>
    <w:p>
      <w:pPr>
        <w:spacing w:after="60"/>
      </w:pPr>
      <w:r>
        <w:t>Quatro cards curtos, todos descrevendo entrega, composição ou logística — nenhum descreve efeito na planta: vai junto com a aplicação que você já faz; aminoácidos livres e não cadeias peptídicas; origem vegetal por fermentação enzimática; e quarenta anos de ensaios com fonte nomeada.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pPr>
        <w:spacing w:before="200" w:after="40"/>
      </w:pPr>
      <w:r>
        <w:rPr>
          <w:b/>
          <w:color w:val="1B4D2E"/>
          <w:sz w:val="23"/>
        </w:rPr>
        <w:t>A5 — A prova</w:t>
      </w:r>
    </w:p>
    <w:p>
      <w:pPr>
        <w:spacing w:after="60"/>
      </w:pPr>
      <w:r>
        <w:t>A seção mais delicada da página. Existem três resultados de soja — dois da DETEC em Taquarivaí/SP (+11 e +14 sc/ha) e um da Terras Gerais em Lavras/MG (+10 sc/ha) — mas nenhum deles veio acompanhado da produtividade da testemunha. Em vez de publicar o número frágil ou esconder a seção, a página aplica a própria regra em público: mostra a estrutura da tabela com a coluna faltando e explica que não publica até poder colocar a testemunha ao lado. Cumprir a regra quando ela custa caro é a prova mais forte de que a regra é real.</w:t>
      </w:r>
    </w:p>
    <w:p>
      <w:pPr>
        <w:spacing w:after="160"/>
      </w:pPr>
      <w:r>
        <w:rPr>
          <w:i/>
          <w:color w:val="555555"/>
          <w:sz w:val="20"/>
        </w:rPr>
        <w:t>Peças de imagem: VD-08a/b — par comparativo de campo dos ensaios de soja. Enquanto o número não pode ser publicado, a imagem do ensaio é a única prova disponível — e obedece à mesma regra: parcela tratada nunca aparece sozinha.</w:t>
      </w:r>
    </w:p>
    <w:p>
      <w:pPr>
        <w:spacing w:before="200" w:after="40"/>
      </w:pPr>
      <w:r>
        <w:rPr>
          <w:b/>
          <w:color w:val="1B4D2E"/>
          <w:sz w:val="23"/>
        </w:rPr>
        <w:t>A6 — A conta por acre</w:t>
      </w:r>
    </w:p>
    <w:p>
      <w:pPr>
        <w:spacing w:after="60"/>
      </w:pPr>
      <w:r>
        <w:t>Mesma estrutura da conta por acre do KMEP: custo por acre ao lado da resposta de produtividade, nunca um sem o outro. Aqui faltam os dois lados, então a seção convida o visitante a pedir os números assim que estiverem definidos.</w:t>
      </w:r>
    </w:p>
    <w:p>
      <w:pPr>
        <w:spacing w:after="160"/>
      </w:pPr>
      <w:r>
        <w:rPr>
          <w:i/>
          <w:color w:val="555555"/>
          <w:sz w:val="20"/>
        </w:rPr>
        <w:t>Peças de imagem: AN-04 — barras de resposta contra custo (bloqueada).</w:t>
      </w:r>
    </w:p>
    <w:p>
      <w:pPr>
        <w:spacing w:before="200" w:after="40"/>
      </w:pPr>
      <w:r>
        <w:rPr>
          <w:b/>
          <w:color w:val="1B4D2E"/>
          <w:sz w:val="23"/>
        </w:rPr>
        <w:t>A7 — Quarenta anos</w:t>
      </w:r>
    </w:p>
    <w:p>
      <w:pPr>
        <w:spacing w:after="60"/>
      </w:pPr>
      <w:r>
        <w:t>A credencial da casa. Julio Matino formulou o Aminosan no fim dos anos 80, antes de existir empresa para vendê-lo; produtores de São Paulo compraram porque funcionava e a demanda construiu o negócio. Quatro décadas depois segue sendo o produto mais testado da linha, ainda fabricado em Mogi Guaçu e ainda tocado pela mesma família.</w:t>
      </w:r>
    </w:p>
    <w:p>
      <w:pPr>
        <w:spacing w:after="160"/>
      </w:pPr>
      <w:r>
        <w:rPr>
          <w:i/>
          <w:color w:val="555555"/>
          <w:sz w:val="20"/>
        </w:rPr>
        <w:t>Peças de imagem: Foto de arquivo do fundador ou da fábrica em Mogi Guaçu. Uma foto real de 1988, mesmo tecnicamente imperfeita, vale mais que qualquer imagem de banco.</w:t>
      </w:r>
    </w:p>
    <w:p>
      <w:pPr>
        <w:spacing w:before="200" w:after="40"/>
      </w:pPr>
      <w:r>
        <w:rPr>
          <w:b/>
          <w:color w:val="1B4D2E"/>
          <w:sz w:val="23"/>
        </w:rPr>
        <w:t>A8 — Quando entra</w:t>
      </w:r>
    </w:p>
    <w:p>
      <w:pPr>
        <w:spacing w:after="60"/>
      </w:pPr>
      <w:r>
        <w:t>Janela de aplicação, dose e mistura. Soja de V2–V3 até R5, milho de V2 a V8, isolado ou em mistura; algodão e culturas de alto valor seguem em revisão técnica. A dose por acre e o número de aplicações vêm do rótulo americano. Fecha lembrando que o produto tem quatro décadas de uso em frutíferas, hortaliças e perenes no Brasil, e que a tradução para as condições e registros americanos está sendo confirmada.</w:t>
      </w:r>
    </w:p>
    <w:p>
      <w:pPr>
        <w:spacing w:after="160"/>
      </w:pPr>
      <w:r>
        <w:rPr>
          <w:i/>
          <w:color w:val="555555"/>
          <w:sz w:val="20"/>
        </w:rPr>
        <w:t>Peças de imagem: AN-07 — linha do tempo dos estágios.</w:t>
      </w:r>
    </w:p>
    <w:p>
      <w:pPr>
        <w:spacing w:before="200" w:after="40"/>
      </w:pPr>
      <w:r>
        <w:rPr>
          <w:b/>
          <w:color w:val="1B4D2E"/>
          <w:sz w:val="23"/>
        </w:rPr>
        <w:t>A9 — Ficha técnica</w:t>
      </w:r>
    </w:p>
    <w:p>
      <w:pPr>
        <w:spacing w:after="60"/>
      </w:pPr>
      <w:r>
        <w:t>A declaração de garantia que um distribuidor procura primeiro: nitrogênio, fósforo, potássio, percentual de aminoácidos livres, carbono orgânico, densidade, pH, embalagens, registros estaduais, certificação OMRI e FISPQ. Tudo vem do rótulo americano — enquanto ele não existir, a seção fica vazia em vez de aproximada. O percentual de aminoácidos livres é o número mais importante da tabela: é ele que sustenta a comparação da seção A3.</w:t>
      </w:r>
    </w:p>
    <w:p>
      <w:pPr>
        <w:spacing w:after="160"/>
      </w:pPr>
      <w:r>
        <w:rPr>
          <w:i/>
          <w:color w:val="555555"/>
          <w:sz w:val="20"/>
        </w:rPr>
        <w:t>Peças de imagem: Foto do produto com o rótulo americano, frente e verso.</w:t>
      </w:r>
    </w:p>
    <w:p>
      <w:pPr>
        <w:spacing w:before="200" w:after="40"/>
      </w:pPr>
      <w:r>
        <w:rPr>
          <w:b/>
          <w:color w:val="1B4D2E"/>
          <w:sz w:val="23"/>
        </w:rPr>
        <w:t>A10 — Objeções</w:t>
      </w:r>
    </w:p>
    <w:p>
      <w:pPr>
        <w:spacing w:after="60"/>
      </w:pPr>
      <w:r>
        <w:t>Cinco perguntas. A diferença para um hidrolisado; quarenta anos e nenhum dado americano; se pode misturar no tanque; se é certificado OMRI; e a mais delicada — o que ele realmente faz pela lavoura. A resposta devolve à prova: o produto fornece aminoácidos livres e N-P-K pela folha, e o que pode ser mostrado é dado de ensaio com a testemunha ao lado.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pPr>
        <w:spacing w:before="200" w:after="40"/>
      </w:pPr>
      <w:r>
        <w:rPr>
          <w:b/>
          <w:color w:val="1B4D2E"/>
          <w:sz w:val="23"/>
        </w:rPr>
        <w:t>A11 — Chamada final</w:t>
      </w:r>
    </w:p>
    <w:p>
      <w:pPr>
        <w:spacing w:after="60"/>
      </w:pPr>
      <w:r>
        <w:t>“Quarenta anos de ensaios. Agora faça o seu.” A faixa de teste resolve o buraco da página: é a resposta operacional para “quarenta anos e nenhum dado americano”. Formulário curto de quatro campos.</w:t>
      </w:r>
    </w:p>
    <w:p>
      <w:pPr>
        <w:spacing w:after="160"/>
      </w:pPr>
      <w:r>
        <w:rPr>
          <w:i/>
          <w:color w:val="555555"/>
          <w:sz w:val="20"/>
        </w:rPr>
        <w:t>Peças de imagem: Nenhuma.</w:t>
      </w:r>
    </w:p>
    <w:p>
      <w:r>
        <w:br w:type="page"/>
      </w:r>
    </w:p>
    <w:p>
      <w:pPr>
        <w:pStyle w:val="Heading1"/>
      </w:pPr>
      <w:r>
        <w:t>As peças de imagem</w:t>
      </w:r>
    </w:p>
    <w:p>
      <w:pPr>
        <w:spacing w:after="120"/>
      </w:pPr>
      <w:r>
        <w:rPr>
          <w:i w:val="0"/>
          <w:color w:val="555555"/>
        </w:rPr>
        <w:t>São três tipos, com três custos e três prazos diferentes. A distinção importa porque define o que dá para produzir agora e o que depende de safra.</w:t>
      </w:r>
    </w:p>
    <w:p>
      <w:pPr>
        <w:pStyle w:val="ListBullet"/>
        <w:spacing w:after="60"/>
      </w:pPr>
      <w:r>
        <w:t>Animação (AN): desenho vetorial. Não depende de safra, de infestação nem de equipe de campo. É o que pode ser produzido imediatamente.</w:t>
      </w:r>
    </w:p>
    <w:p>
      <w:pPr>
        <w:pStyle w:val="ListBullet"/>
        <w:spacing w:after="60"/>
      </w:pPr>
      <w:r>
        <w:t>Vídeo (VD): filmagem. Fábrica e laboratório podem ser agendados; lavoura e macro de inseto são filmagem de oportunidade, presas ao calendário do ensaio.</w:t>
      </w:r>
    </w:p>
    <w:p>
      <w:pPr>
        <w:pStyle w:val="ListBullet"/>
        <w:spacing w:after="60"/>
      </w:pPr>
      <w:r>
        <w:t>GIF: recorte curto e mudo de uma animação ou de um vídeo, para usar em card e em redes. Nunca é peça original — é derivada, para não duplicar custo.</w:t>
      </w:r>
    </w:p>
    <w:p/>
    <w:p>
      <w:pPr>
        <w:pStyle w:val="Heading2"/>
      </w:pPr>
      <w:r>
        <w:t>Animações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</w:tcPr>
          <w:p>
            <w:r/>
            <w:r>
              <w:rPr>
                <w:b/>
                <w:color w:val="1B4D2E"/>
                <w:sz w:val="19"/>
              </w:rPr>
              <w:t>Código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1B4D2E"/>
                <w:sz w:val="19"/>
              </w:rPr>
              <w:t>Onde</w:t>
            </w:r>
          </w:p>
        </w:tc>
        <w:tc>
          <w:tcPr>
            <w:tcW w:type="dxa" w:w="3742"/>
          </w:tcPr>
          <w:p>
            <w:r/>
            <w:r>
              <w:rPr>
                <w:b/>
                <w:color w:val="1B4D2E"/>
                <w:sz w:val="19"/>
              </w:rPr>
              <w:t>O que mostra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1B4D2E"/>
                <w:sz w:val="19"/>
              </w:rPr>
              <w:t>Situação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Topo das duas páginas de produto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Entrada do galão com o rótulo americano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Depende do rótulo americano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KMEP · K3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 mecanismo desenhado: o alvo deixa o abrigo, sai para o aberto e paralisa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produzida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KMEP · K5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Dois contadores subindo de zero: a testemunha para em 212,3 e o tratado segue até 221,3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produzida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KMEP · K6 e Aminosan · A6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Barra da resposta de produtividade contra a barra do custo por acre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Bloqueada: falta o custo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Aminosan · A3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 rota de cinco etapas correndo contra a rota de uma etapa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produzida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Home · S5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Mapa dos Estados Unidos com o estado do visitante em destaque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produzida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AN-07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KMEP · K8 e Aminosan · A8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Linha do tempo dos estágios, com marcador parando nas janelas de aplicação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produzida</w:t>
            </w:r>
          </w:p>
        </w:tc>
      </w:tr>
    </w:tbl>
    <w:p>
      <w:pPr>
        <w:spacing w:after="40"/>
      </w:pPr>
    </w:p>
    <w:p>
      <w:pPr>
        <w:pStyle w:val="Heading2"/>
      </w:pPr>
      <w:r>
        <w:t>Vídeos e comparativos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</w:tcPr>
          <w:p>
            <w:r/>
            <w:r>
              <w:rPr>
                <w:b/>
                <w:color w:val="1B4D2E"/>
                <w:sz w:val="19"/>
              </w:rPr>
              <w:t>Código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B4D2E"/>
                <w:sz w:val="19"/>
              </w:rPr>
              <w:t>Onde</w:t>
            </w:r>
          </w:p>
        </w:tc>
        <w:tc>
          <w:tcPr>
            <w:tcW w:type="dxa" w:w="4195"/>
          </w:tcPr>
          <w:p>
            <w:r/>
            <w:r>
              <w:rPr>
                <w:b/>
                <w:color w:val="1B4D2E"/>
                <w:sz w:val="19"/>
              </w:rPr>
              <w:t>O que mostra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1B4D2E"/>
                <w:sz w:val="19"/>
              </w:rPr>
              <w:t>Situação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VD-01 a/b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Home · S3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Comparativo de talhão: drone sobre a faixa testemunha e sobre a faixa tratada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Precisa de imagens de ensaio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VD-02 a/b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Home · S4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GIF mudo de 6 s do mecanismo de cada produto, dentro do card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Derivado de AN-02 e AN-05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Home · S8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O laboratório próprio analisando um lote: coleta, titulação, leitura, registro assinado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agendado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KMEP · K3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 parte física no tanque: o produto entrando na calda, dispersão e teste de jarro sem separação e sem espuma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agendado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VD-05 a/b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KMEP · K3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Comparativo em macro: só o inseticida contra inseticida + KMEP, na mesma planta e na mesma dose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Filmagem de oportunidade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VD-06 a/b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KMEP · K5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Comparativo de campo do ensaio Rehagro — o mesmo ensaio que dá o número da tabela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Depende das imagens do ensaio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Aminosan · A3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 fermentação enzimática na fábrica: matéria-prima, reator, amostra, produto acabado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Pode ser agendado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VD-08 a/b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Aminosan · A5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Comparativo de campo dos ensaios de soja da DETEC e da Terras Gerais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Depende das imagens do ensaio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Duas regras que valem para todas as peças</w:t>
      </w:r>
    </w:p>
    <w:p>
      <w:pPr>
        <w:pStyle w:val="Heading2"/>
      </w:pPr>
      <w:r>
        <w:t>1. Comparativo antes/depois é um número em forma de imagem</w:t>
      </w:r>
    </w:p>
    <w:p>
      <w:pPr>
        <w:spacing w:after="120"/>
      </w:pPr>
      <w:r>
        <w:rPr>
          <w:i w:val="0"/>
        </w:rPr>
        <w:t>Os quatro comparativos do site — VD-01, VD-05, VD-06 e VD-08 — têm de ser gravados na mesma lavoura, no mesmo dia, na mesma altura, na mesma lente e com o mesmo tempo de duração. A legenda nomeia o ensaio, o local e a fonte.</w:t>
      </w:r>
    </w:p>
    <w:p>
      <w:pPr>
        <w:spacing w:after="120"/>
      </w:pPr>
      <w:r>
        <w:rPr>
          <w:i w:val="0"/>
        </w:rPr>
        <w:t>A razão é simples: o site inteiro afirma que todo número vem acompanhado da testemunha e da fonte. Uma imagem bonita de faixa tratada, sozinha, contradiz a seção do método e derruba a credibilidade das outras. No KMEP a exigência é ainda mais estrita: as imagens do VD-06 têm de vir do mesmo ensaio Rehagro que dá o número da tabela. Ilustrar um número com imagem de outro talhão é o tipo de atalho que ninguém percebe no dia e que destrói a seção quando alguém pergunta.</w:t>
      </w:r>
    </w:p>
    <w:p>
      <w:pPr>
        <w:pStyle w:val="Heading2"/>
      </w:pPr>
      <w:r>
        <w:t>2. Peso e som</w:t>
      </w:r>
    </w:p>
    <w:p>
      <w:pPr>
        <w:spacing w:after="120"/>
      </w:pPr>
      <w:r>
        <w:rPr>
          <w:i w:val="0"/>
        </w:rPr>
        <w:t>Boa parte do tráfego rural americano navega em conexão instável. Os loops são mudos, com carregamento adiado e imagem de espera, até 3 MB. Os dois vídeos com som — o do laboratório e o da fermentação — nunca tocam sozinhos: play manual e legendados. E nada do que eles dizem pode existir só ali: o texto da seção precisa dizer a mesma coisa, para quem não conseguir carregar.</w:t>
      </w:r>
    </w:p>
    <w:p>
      <w:pPr>
        <w:pStyle w:val="Heading2"/>
      </w:pPr>
      <w:r>
        <w:t>Ordem de produção sugerida</w:t>
      </w:r>
    </w:p>
    <w:p>
      <w:pPr>
        <w:spacing w:after="120"/>
      </w:pPr>
      <w:r>
        <w:rPr>
          <w:i w:val="0"/>
        </w:rPr>
        <w:t>Começar pelas animações, que não dependem de safra: AN-02, AN-03, AN-05, AN-06 e AN-07. Em seguida os vídeos de agenda, que são dias de filmagem na fábrica: VD-03, VD-04 e VD-07. Por último os comparativos de campo e o macro de inseto, que só acontecem quando houver ensaio com a condição certa — são filmagem de oportunidade, não de calendário.</w:t>
      </w:r>
    </w:p>
    <w:p>
      <w:pPr>
        <w:pStyle w:val="Heading2"/>
      </w:pPr>
      <w:r>
        <w:t>O que ainda trava conteúdo</w:t>
      </w:r>
    </w:p>
    <w:p>
      <w:pPr>
        <w:pStyle w:val="ListBullet"/>
        <w:spacing w:after="60"/>
      </w:pPr>
      <w:r>
        <w:t>Rótulo americano: sem ele não há doses em fl oz/acre, embalagens em galão, ficha técnica nem foto de produto.</w:t>
      </w:r>
    </w:p>
    <w:p>
      <w:pPr>
        <w:pStyle w:val="ListBullet"/>
        <w:spacing w:after="60"/>
      </w:pPr>
      <w:r>
        <w:t>Produtividade da testemunha dos ensaios de soja: é o que libera os números do Aminosan.</w:t>
      </w:r>
    </w:p>
    <w:p>
      <w:pPr>
        <w:pStyle w:val="ListBullet"/>
        <w:spacing w:after="60"/>
      </w:pPr>
      <w:r>
        <w:t>Ano do ensaio Rehagro: tabela de resultado sem ano levanta suspeita em leitor técnico.</w:t>
      </w:r>
    </w:p>
    <w:p>
      <w:pPr>
        <w:pStyle w:val="ListBullet"/>
        <w:spacing w:after="60"/>
      </w:pPr>
      <w:r>
        <w:t>Custo por acre dos dois produtos: sem ele as duas seções de conta por acre não podem ir ao ar.</w:t>
      </w:r>
    </w:p>
    <w:p>
      <w:pPr>
        <w:pStyle w:val="ListBullet"/>
        <w:spacing w:after="60"/>
      </w:pPr>
      <w:r>
        <w:t>Autorização para citar as instituições pelo nome.</w:t>
      </w:r>
    </w:p>
    <w:p>
      <w:pPr>
        <w:pStyle w:val="ListBullet"/>
        <w:spacing w:after="60"/>
      </w:pPr>
      <w:r>
        <w:t>Ano de início e número de edições do Juma 360.</w:t>
      </w:r>
    </w:p>
    <w:p>
      <w:pPr>
        <w:pStyle w:val="ListBullet"/>
        <w:spacing w:after="60"/>
      </w:pPr>
      <w:r>
        <w:t>Leitura de um regulatório americano sobre a copy do KMEP: nos Estados Unidos, afirmar efeito sobre inseto ou sobre a performance de um defensivo é claim de pesticida e exige registro na EPA. A copy publicada é a correta do ponto de vista agronômico e é a que a Juma determinou, mas precisa dessa leitura antes do go-live comercial.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D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D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D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