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AF8C" w14:textId="233C0334" w:rsidR="000530B9" w:rsidRPr="000530B9" w:rsidRDefault="000530B9" w:rsidP="000530B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530B9">
        <w:rPr>
          <w:rFonts w:ascii="Arial" w:hAnsi="Arial" w:cs="Arial"/>
          <w:b/>
          <w:bCs/>
          <w:sz w:val="32"/>
          <w:szCs w:val="32"/>
        </w:rPr>
        <w:t xml:space="preserve">ST211 Individual </w:t>
      </w:r>
      <w:r w:rsidRPr="000530B9">
        <w:rPr>
          <w:rFonts w:ascii="Arial" w:hAnsi="Arial" w:cs="Arial" w:hint="eastAsia"/>
          <w:b/>
          <w:bCs/>
          <w:sz w:val="32"/>
          <w:szCs w:val="32"/>
        </w:rPr>
        <w:t>Non-</w:t>
      </w:r>
      <w:r w:rsidRPr="000530B9">
        <w:rPr>
          <w:rFonts w:ascii="Arial" w:hAnsi="Arial" w:cs="Arial"/>
          <w:b/>
          <w:bCs/>
          <w:sz w:val="32"/>
          <w:szCs w:val="32"/>
        </w:rPr>
        <w:t>Technical Report</w:t>
      </w:r>
    </w:p>
    <w:p w14:paraId="00874B47" w14:textId="69C80254" w:rsidR="000530B9" w:rsidRDefault="000530B9" w:rsidP="00740A53">
      <w:pPr>
        <w:jc w:val="center"/>
        <w:rPr>
          <w:rFonts w:ascii="Arial" w:hAnsi="Arial" w:cs="Arial"/>
          <w:b/>
          <w:bCs/>
          <w:sz w:val="24"/>
        </w:rPr>
      </w:pPr>
      <w:r w:rsidRPr="000530B9">
        <w:rPr>
          <w:rFonts w:ascii="Arial" w:hAnsi="Arial" w:cs="Arial"/>
          <w:b/>
          <w:bCs/>
          <w:sz w:val="24"/>
        </w:rPr>
        <w:t>Candidate Number: 48372</w:t>
      </w:r>
    </w:p>
    <w:p w14:paraId="752D1529" w14:textId="77777777" w:rsidR="00740A53" w:rsidRPr="00740A53" w:rsidRDefault="00740A53" w:rsidP="00740A53">
      <w:pPr>
        <w:jc w:val="center"/>
        <w:rPr>
          <w:rFonts w:ascii="Arial" w:hAnsi="Arial" w:cs="Arial"/>
          <w:b/>
          <w:bCs/>
          <w:sz w:val="24"/>
        </w:rPr>
      </w:pPr>
    </w:p>
    <w:p w14:paraId="4DA81334" w14:textId="3166F1BD" w:rsidR="00675241" w:rsidRPr="00AF0AB9" w:rsidRDefault="000530B9" w:rsidP="000530B9">
      <w:pPr>
        <w:rPr>
          <w:rFonts w:ascii="Arial" w:hAnsi="Arial" w:cs="Arial"/>
          <w:sz w:val="20"/>
          <w:szCs w:val="20"/>
        </w:rPr>
      </w:pPr>
      <w:r w:rsidRPr="000530B9">
        <w:rPr>
          <w:rFonts w:ascii="Arial" w:hAnsi="Arial" w:cs="Arial"/>
          <w:sz w:val="20"/>
          <w:szCs w:val="20"/>
        </w:rPr>
        <w:t xml:space="preserve">This study examined responses from a large, representative survey of adults in England and Scotland to understand </w:t>
      </w:r>
      <w:r>
        <w:rPr>
          <w:rFonts w:ascii="Arial" w:hAnsi="Arial" w:cs="Arial" w:hint="eastAsia"/>
          <w:sz w:val="20"/>
          <w:szCs w:val="20"/>
        </w:rPr>
        <w:t xml:space="preserve">people with which </w:t>
      </w:r>
      <w:r>
        <w:rPr>
          <w:rFonts w:ascii="Arial" w:hAnsi="Arial" w:cs="Arial"/>
          <w:sz w:val="20"/>
          <w:szCs w:val="20"/>
        </w:rPr>
        <w:t>characteristics</w:t>
      </w:r>
      <w:r w:rsidRPr="000530B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 w:hint="eastAsia"/>
          <w:sz w:val="20"/>
          <w:szCs w:val="20"/>
        </w:rPr>
        <w:t>are</w:t>
      </w:r>
      <w:r w:rsidRPr="000530B9">
        <w:rPr>
          <w:rFonts w:ascii="Arial" w:hAnsi="Arial" w:cs="Arial"/>
          <w:sz w:val="20"/>
          <w:szCs w:val="20"/>
        </w:rPr>
        <w:t xml:space="preserve"> most </w:t>
      </w:r>
      <w:r>
        <w:rPr>
          <w:rFonts w:ascii="Arial" w:hAnsi="Arial" w:cs="Arial" w:hint="eastAsia"/>
          <w:sz w:val="20"/>
          <w:szCs w:val="20"/>
        </w:rPr>
        <w:t>likely to become problem gamblers</w:t>
      </w:r>
      <w:r w:rsidRPr="000530B9">
        <w:rPr>
          <w:rFonts w:ascii="Arial" w:hAnsi="Arial" w:cs="Arial"/>
          <w:sz w:val="20"/>
          <w:szCs w:val="20"/>
        </w:rPr>
        <w:t xml:space="preserve">. </w:t>
      </w:r>
      <w:r w:rsidR="00675241">
        <w:rPr>
          <w:rFonts w:ascii="Arial" w:hAnsi="Arial" w:cs="Arial" w:hint="eastAsia"/>
          <w:sz w:val="20"/>
          <w:szCs w:val="20"/>
        </w:rPr>
        <w:t xml:space="preserve">This study primarily </w:t>
      </w:r>
      <w:r w:rsidR="00675241">
        <w:rPr>
          <w:rFonts w:ascii="Arial" w:hAnsi="Arial" w:cs="Arial"/>
          <w:sz w:val="20"/>
          <w:szCs w:val="20"/>
        </w:rPr>
        <w:t>focuses</w:t>
      </w:r>
      <w:r w:rsidR="00675241">
        <w:rPr>
          <w:rFonts w:ascii="Arial" w:hAnsi="Arial" w:cs="Arial" w:hint="eastAsia"/>
          <w:sz w:val="20"/>
          <w:szCs w:val="20"/>
        </w:rPr>
        <w:t xml:space="preserve"> on </w:t>
      </w:r>
      <w:r w:rsidR="00AF0AB9">
        <w:rPr>
          <w:rFonts w:ascii="Arial" w:hAnsi="Arial" w:cs="Arial" w:hint="eastAsia"/>
          <w:sz w:val="20"/>
          <w:szCs w:val="20"/>
        </w:rPr>
        <w:t>factors</w:t>
      </w:r>
      <w:r w:rsidR="00675241">
        <w:rPr>
          <w:rFonts w:ascii="Arial" w:hAnsi="Arial" w:cs="Arial" w:hint="eastAsia"/>
          <w:sz w:val="20"/>
          <w:szCs w:val="20"/>
        </w:rPr>
        <w:t xml:space="preserve"> related to </w:t>
      </w:r>
      <w:r w:rsidR="00AF0AB9">
        <w:rPr>
          <w:rFonts w:ascii="Arial" w:hAnsi="Arial" w:cs="Arial"/>
          <w:sz w:val="20"/>
          <w:szCs w:val="20"/>
        </w:rPr>
        <w:t>the socio</w:t>
      </w:r>
      <w:r w:rsidR="00675241">
        <w:rPr>
          <w:rFonts w:ascii="Arial" w:hAnsi="Arial" w:cs="Arial" w:hint="eastAsia"/>
          <w:sz w:val="20"/>
          <w:szCs w:val="20"/>
        </w:rPr>
        <w:t>-economics sphere: income, education, and economic activities</w:t>
      </w:r>
      <w:r w:rsidR="00AF0AB9">
        <w:rPr>
          <w:rFonts w:ascii="Arial" w:hAnsi="Arial" w:cs="Arial" w:hint="eastAsia"/>
          <w:sz w:val="20"/>
          <w:szCs w:val="20"/>
        </w:rPr>
        <w:t>, and their impact on influencing people</w:t>
      </w:r>
      <w:r w:rsidR="00AF0AB9">
        <w:rPr>
          <w:rFonts w:ascii="Arial" w:hAnsi="Arial" w:cs="Arial"/>
          <w:sz w:val="20"/>
          <w:szCs w:val="20"/>
        </w:rPr>
        <w:t>’</w:t>
      </w:r>
      <w:r w:rsidR="00AF0AB9">
        <w:rPr>
          <w:rFonts w:ascii="Arial" w:hAnsi="Arial" w:cs="Arial" w:hint="eastAsia"/>
          <w:sz w:val="20"/>
          <w:szCs w:val="20"/>
        </w:rPr>
        <w:t>s gambling behaviors.</w:t>
      </w:r>
    </w:p>
    <w:p w14:paraId="0EA513E2" w14:textId="77777777" w:rsidR="005D16E1" w:rsidRDefault="005D16E1" w:rsidP="0093558E">
      <w:pPr>
        <w:rPr>
          <w:rFonts w:ascii="Arial" w:hAnsi="Arial" w:cs="Arial"/>
          <w:b/>
          <w:bCs/>
          <w:sz w:val="20"/>
          <w:szCs w:val="20"/>
        </w:rPr>
      </w:pPr>
    </w:p>
    <w:p w14:paraId="451D6C07" w14:textId="06AE0FFB" w:rsidR="00AF0AB9" w:rsidRDefault="00AF0AB9" w:rsidP="0093558E">
      <w:pPr>
        <w:rPr>
          <w:rFonts w:ascii="Arial" w:hAnsi="Arial" w:cs="Arial"/>
          <w:sz w:val="20"/>
          <w:szCs w:val="20"/>
        </w:rPr>
      </w:pPr>
      <w:r w:rsidRPr="00AF0AB9">
        <w:rPr>
          <w:rFonts w:ascii="Arial" w:hAnsi="Arial" w:cs="Arial" w:hint="eastAsia"/>
          <w:sz w:val="20"/>
          <w:szCs w:val="20"/>
        </w:rPr>
        <w:t xml:space="preserve">Most income-related factors do not significantly influence people's gambling behaviors. There is little evidence suggesting that </w:t>
      </w:r>
      <w:r w:rsidRPr="00AF0AB9">
        <w:rPr>
          <w:rFonts w:ascii="Arial" w:hAnsi="Arial" w:cs="Arial"/>
          <w:sz w:val="20"/>
          <w:szCs w:val="20"/>
        </w:rPr>
        <w:t>total household income</w:t>
      </w:r>
      <w:r w:rsidRPr="00AF0AB9">
        <w:rPr>
          <w:rFonts w:ascii="Arial" w:hAnsi="Arial" w:cs="Arial" w:hint="eastAsia"/>
          <w:sz w:val="20"/>
          <w:szCs w:val="20"/>
        </w:rPr>
        <w:t xml:space="preserve">, whatever </w:t>
      </w:r>
      <w:r w:rsidRPr="00AF0AB9">
        <w:rPr>
          <w:rFonts w:ascii="Arial" w:hAnsi="Arial" w:cs="Arial"/>
          <w:sz w:val="20"/>
          <w:szCs w:val="20"/>
        </w:rPr>
        <w:t>measurement</w:t>
      </w:r>
      <w:r w:rsidRPr="00AF0AB9">
        <w:rPr>
          <w:rFonts w:ascii="Arial" w:hAnsi="Arial" w:cs="Arial" w:hint="eastAsia"/>
          <w:sz w:val="20"/>
          <w:szCs w:val="20"/>
        </w:rPr>
        <w:t xml:space="preserve"> method applied, is related to </w:t>
      </w:r>
      <w:r w:rsidRPr="00AF0AB9">
        <w:rPr>
          <w:rFonts w:ascii="Arial" w:hAnsi="Arial" w:cs="Arial"/>
          <w:sz w:val="20"/>
          <w:szCs w:val="20"/>
        </w:rPr>
        <w:t>gambling</w:t>
      </w:r>
      <w:r w:rsidRPr="00AF0AB9">
        <w:rPr>
          <w:rFonts w:ascii="Arial" w:hAnsi="Arial" w:cs="Arial" w:hint="eastAsia"/>
          <w:sz w:val="20"/>
          <w:szCs w:val="20"/>
        </w:rPr>
        <w:t xml:space="preserve"> behaviors. Likewise, most income-related factors, including </w:t>
      </w:r>
      <w:r w:rsidRPr="00AF0AB9">
        <w:rPr>
          <w:rFonts w:ascii="Arial" w:hAnsi="Arial" w:cs="Arial"/>
          <w:sz w:val="20"/>
          <w:szCs w:val="20"/>
        </w:rPr>
        <w:t>“</w:t>
      </w:r>
      <w:r w:rsidRPr="00AF0AB9">
        <w:rPr>
          <w:rFonts w:ascii="Arial" w:hAnsi="Arial" w:cs="Arial" w:hint="eastAsia"/>
          <w:sz w:val="20"/>
          <w:szCs w:val="20"/>
        </w:rPr>
        <w:t>income support</w:t>
      </w:r>
      <w:r w:rsidRPr="00AF0AB9">
        <w:rPr>
          <w:rFonts w:ascii="Arial" w:hAnsi="Arial" w:cs="Arial"/>
          <w:sz w:val="20"/>
          <w:szCs w:val="20"/>
        </w:rPr>
        <w:t>”</w:t>
      </w:r>
      <w:r w:rsidRPr="00AF0AB9">
        <w:rPr>
          <w:rFonts w:ascii="Arial" w:hAnsi="Arial" w:cs="Arial" w:hint="eastAsia"/>
          <w:sz w:val="20"/>
          <w:szCs w:val="20"/>
        </w:rPr>
        <w:t xml:space="preserve">, </w:t>
      </w:r>
      <w:r w:rsidRPr="00AF0AB9">
        <w:rPr>
          <w:rFonts w:ascii="Arial" w:hAnsi="Arial" w:cs="Arial"/>
          <w:sz w:val="20"/>
          <w:szCs w:val="20"/>
        </w:rPr>
        <w:t>“</w:t>
      </w:r>
      <w:r w:rsidRPr="00AF0AB9">
        <w:rPr>
          <w:rFonts w:ascii="Arial" w:hAnsi="Arial" w:cs="Arial" w:hint="eastAsia"/>
          <w:sz w:val="20"/>
          <w:szCs w:val="20"/>
        </w:rPr>
        <w:t>no income situation</w:t>
      </w:r>
      <w:r w:rsidRPr="00AF0AB9">
        <w:rPr>
          <w:rFonts w:ascii="Arial" w:hAnsi="Arial" w:cs="Arial"/>
          <w:sz w:val="20"/>
          <w:szCs w:val="20"/>
        </w:rPr>
        <w:t>”</w:t>
      </w:r>
      <w:r w:rsidRPr="00AF0AB9">
        <w:rPr>
          <w:rFonts w:ascii="Arial" w:hAnsi="Arial" w:cs="Arial" w:hint="eastAsia"/>
          <w:sz w:val="20"/>
          <w:szCs w:val="20"/>
        </w:rPr>
        <w:t xml:space="preserve">, </w:t>
      </w:r>
      <w:r w:rsidRPr="00AF0AB9">
        <w:rPr>
          <w:rFonts w:ascii="Arial" w:hAnsi="Arial" w:cs="Arial"/>
          <w:sz w:val="20"/>
          <w:szCs w:val="20"/>
        </w:rPr>
        <w:t>“</w:t>
      </w:r>
      <w:r w:rsidRPr="00AF0AB9">
        <w:rPr>
          <w:rFonts w:ascii="Arial" w:hAnsi="Arial" w:cs="Arial" w:hint="eastAsia"/>
          <w:sz w:val="20"/>
          <w:szCs w:val="20"/>
        </w:rPr>
        <w:t>economic activity status</w:t>
      </w:r>
      <w:r w:rsidRPr="00AF0AB9">
        <w:rPr>
          <w:rFonts w:ascii="Arial" w:hAnsi="Arial" w:cs="Arial"/>
          <w:sz w:val="20"/>
          <w:szCs w:val="20"/>
        </w:rPr>
        <w:t>”</w:t>
      </w:r>
      <w:r w:rsidRPr="00AF0AB9">
        <w:rPr>
          <w:rFonts w:ascii="Arial" w:hAnsi="Arial" w:cs="Arial" w:hint="eastAsia"/>
          <w:sz w:val="20"/>
          <w:szCs w:val="20"/>
        </w:rPr>
        <w:t xml:space="preserve">, </w:t>
      </w:r>
      <w:r w:rsidRPr="00AF0AB9">
        <w:rPr>
          <w:rFonts w:ascii="Arial" w:hAnsi="Arial" w:cs="Arial"/>
          <w:sz w:val="20"/>
          <w:szCs w:val="20"/>
        </w:rPr>
        <w:t>“</w:t>
      </w:r>
      <w:r w:rsidRPr="00AF0AB9">
        <w:rPr>
          <w:rFonts w:ascii="Arial" w:hAnsi="Arial" w:cs="Arial" w:hint="eastAsia"/>
          <w:sz w:val="20"/>
          <w:szCs w:val="20"/>
        </w:rPr>
        <w:t>house tenure situation</w:t>
      </w:r>
      <w:r w:rsidRPr="00AF0AB9">
        <w:rPr>
          <w:rFonts w:ascii="Arial" w:hAnsi="Arial" w:cs="Arial"/>
          <w:sz w:val="20"/>
          <w:szCs w:val="20"/>
        </w:rPr>
        <w:t>”</w:t>
      </w:r>
      <w:r w:rsidRPr="00AF0AB9">
        <w:rPr>
          <w:rFonts w:ascii="Arial" w:hAnsi="Arial" w:cs="Arial" w:hint="eastAsia"/>
          <w:sz w:val="20"/>
          <w:szCs w:val="20"/>
        </w:rPr>
        <w:t xml:space="preserve">, and </w:t>
      </w:r>
      <w:r w:rsidRPr="00AF0AB9">
        <w:rPr>
          <w:rFonts w:ascii="Arial" w:hAnsi="Arial" w:cs="Arial"/>
          <w:sz w:val="20"/>
          <w:szCs w:val="20"/>
        </w:rPr>
        <w:t>“</w:t>
      </w:r>
      <w:r w:rsidRPr="00AF0AB9">
        <w:rPr>
          <w:rFonts w:ascii="Arial" w:hAnsi="Arial" w:cs="Arial" w:hint="eastAsia"/>
          <w:sz w:val="20"/>
          <w:szCs w:val="20"/>
        </w:rPr>
        <w:t>household type</w:t>
      </w:r>
      <w:r w:rsidRPr="00AF0AB9">
        <w:rPr>
          <w:rFonts w:ascii="Arial" w:hAnsi="Arial" w:cs="Arial"/>
          <w:sz w:val="20"/>
          <w:szCs w:val="20"/>
        </w:rPr>
        <w:t>”</w:t>
      </w:r>
      <w:r w:rsidRPr="00AF0AB9">
        <w:rPr>
          <w:rFonts w:ascii="Arial" w:hAnsi="Arial" w:cs="Arial" w:hint="eastAsia"/>
          <w:sz w:val="20"/>
          <w:szCs w:val="20"/>
        </w:rPr>
        <w:t xml:space="preserve"> are very likely not </w:t>
      </w:r>
      <w:r w:rsidR="000F4B89">
        <w:rPr>
          <w:rFonts w:ascii="Arial" w:hAnsi="Arial" w:cs="Arial" w:hint="eastAsia"/>
          <w:sz w:val="20"/>
          <w:szCs w:val="20"/>
        </w:rPr>
        <w:t xml:space="preserve">to </w:t>
      </w:r>
      <w:r w:rsidRPr="00AF0AB9">
        <w:rPr>
          <w:rFonts w:ascii="Arial" w:hAnsi="Arial" w:cs="Arial" w:hint="eastAsia"/>
          <w:sz w:val="20"/>
          <w:szCs w:val="20"/>
        </w:rPr>
        <w:t>drive one person in</w:t>
      </w:r>
      <w:r w:rsidR="000F4B89">
        <w:rPr>
          <w:rFonts w:ascii="Arial" w:hAnsi="Arial" w:cs="Arial" w:hint="eastAsia"/>
          <w:sz w:val="20"/>
          <w:szCs w:val="20"/>
        </w:rPr>
        <w:t>to</w:t>
      </w:r>
      <w:r w:rsidRPr="00AF0AB9">
        <w:rPr>
          <w:rFonts w:ascii="Arial" w:hAnsi="Arial" w:cs="Arial" w:hint="eastAsia"/>
          <w:sz w:val="20"/>
          <w:szCs w:val="20"/>
        </w:rPr>
        <w:t xml:space="preserve"> becoming a gambler. The only income-related factor that may influence gambling behavior is the number of cars per household, in which it is found that when household cars increase from </w:t>
      </w:r>
      <w:r w:rsidR="0023018D">
        <w:rPr>
          <w:rFonts w:ascii="Arial" w:hAnsi="Arial" w:cs="Arial" w:hint="eastAsia"/>
          <w:sz w:val="20"/>
          <w:szCs w:val="20"/>
        </w:rPr>
        <w:t>one</w:t>
      </w:r>
      <w:r w:rsidRPr="00AF0AB9">
        <w:rPr>
          <w:rFonts w:ascii="Arial" w:hAnsi="Arial" w:cs="Arial" w:hint="eastAsia"/>
          <w:sz w:val="20"/>
          <w:szCs w:val="20"/>
        </w:rPr>
        <w:t xml:space="preserve"> to </w:t>
      </w:r>
      <w:r w:rsidR="0023018D">
        <w:rPr>
          <w:rFonts w:ascii="Arial" w:hAnsi="Arial" w:cs="Arial" w:hint="eastAsia"/>
          <w:sz w:val="20"/>
          <w:szCs w:val="20"/>
        </w:rPr>
        <w:t>two</w:t>
      </w:r>
      <w:r w:rsidRPr="00AF0AB9">
        <w:rPr>
          <w:rFonts w:ascii="Arial" w:hAnsi="Arial" w:cs="Arial" w:hint="eastAsia"/>
          <w:sz w:val="20"/>
          <w:szCs w:val="20"/>
        </w:rPr>
        <w:t xml:space="preserve">, the probability of becoming a problem gambler </w:t>
      </w:r>
      <w:r w:rsidRPr="00AF0AB9">
        <w:rPr>
          <w:rFonts w:ascii="Arial" w:hAnsi="Arial" w:cs="Arial"/>
          <w:sz w:val="20"/>
          <w:szCs w:val="20"/>
        </w:rPr>
        <w:t>would</w:t>
      </w:r>
      <w:r w:rsidRPr="00AF0AB9">
        <w:rPr>
          <w:rFonts w:ascii="Arial" w:hAnsi="Arial" w:cs="Arial" w:hint="eastAsia"/>
          <w:sz w:val="20"/>
          <w:szCs w:val="20"/>
        </w:rPr>
        <w:t xml:space="preserve"> decrease by roughly 20%.</w:t>
      </w:r>
    </w:p>
    <w:p w14:paraId="72F700A3" w14:textId="77777777" w:rsidR="00AF0AB9" w:rsidRDefault="00AF0AB9" w:rsidP="0093558E">
      <w:pPr>
        <w:rPr>
          <w:rFonts w:ascii="Arial" w:hAnsi="Arial" w:cs="Arial"/>
          <w:sz w:val="20"/>
          <w:szCs w:val="20"/>
        </w:rPr>
      </w:pPr>
    </w:p>
    <w:p w14:paraId="235FA461" w14:textId="4BA13364" w:rsidR="00AF0AB9" w:rsidRDefault="00AF0AB9" w:rsidP="0093558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However, in contrast, 2 factors related to education: 1) the highest qualification, and 2) the age finishing full time education, are closely related to gambling behaviors. It is found </w:t>
      </w:r>
      <w:proofErr w:type="gramStart"/>
      <w:r>
        <w:rPr>
          <w:rFonts w:ascii="Arial" w:hAnsi="Arial" w:cs="Arial" w:hint="eastAsia"/>
          <w:sz w:val="20"/>
          <w:szCs w:val="20"/>
        </w:rPr>
        <w:t xml:space="preserve">that people who hold a university degree </w:t>
      </w:r>
      <w:r w:rsidR="000F4B89">
        <w:rPr>
          <w:rFonts w:ascii="Arial" w:hAnsi="Arial" w:cs="Arial" w:hint="eastAsia"/>
          <w:sz w:val="20"/>
          <w:szCs w:val="20"/>
        </w:rPr>
        <w:t>are</w:t>
      </w:r>
      <w:proofErr w:type="gramEnd"/>
      <w:r>
        <w:rPr>
          <w:rFonts w:ascii="Arial" w:hAnsi="Arial" w:cs="Arial" w:hint="eastAsia"/>
          <w:sz w:val="20"/>
          <w:szCs w:val="20"/>
        </w:rPr>
        <w:t xml:space="preserve"> 25.9% more unlikely to become problem gamblers compared to people holding A/GCSE qualifications. Similarly, </w:t>
      </w:r>
      <w:r w:rsidR="00A1425C">
        <w:rPr>
          <w:rFonts w:ascii="Arial" w:hAnsi="Arial" w:cs="Arial" w:hint="eastAsia"/>
          <w:sz w:val="20"/>
          <w:szCs w:val="20"/>
        </w:rPr>
        <w:t>compared to people who finish full</w:t>
      </w:r>
      <w:r w:rsidR="000F4B89">
        <w:rPr>
          <w:rFonts w:ascii="Arial" w:hAnsi="Arial" w:cs="Arial" w:hint="eastAsia"/>
          <w:sz w:val="20"/>
          <w:szCs w:val="20"/>
        </w:rPr>
        <w:t xml:space="preserve"> </w:t>
      </w:r>
      <w:r w:rsidR="00A1425C">
        <w:rPr>
          <w:rFonts w:ascii="Arial" w:hAnsi="Arial" w:cs="Arial" w:hint="eastAsia"/>
          <w:sz w:val="20"/>
          <w:szCs w:val="20"/>
        </w:rPr>
        <w:t>time education at the age between 15-18, those finish</w:t>
      </w:r>
      <w:r w:rsidR="000F4B89">
        <w:rPr>
          <w:rFonts w:ascii="Arial" w:hAnsi="Arial" w:cs="Arial" w:hint="eastAsia"/>
          <w:sz w:val="20"/>
          <w:szCs w:val="20"/>
        </w:rPr>
        <w:t>ing</w:t>
      </w:r>
      <w:r w:rsidR="00A1425C">
        <w:rPr>
          <w:rFonts w:ascii="Arial" w:hAnsi="Arial" w:cs="Arial" w:hint="eastAsia"/>
          <w:sz w:val="20"/>
          <w:szCs w:val="20"/>
        </w:rPr>
        <w:t xml:space="preserve"> before 14 are 44.9% more likely to become gamblers, and those who finish after 19 are 88.9% less likely to become.</w:t>
      </w:r>
    </w:p>
    <w:p w14:paraId="7691FA6C" w14:textId="77777777" w:rsidR="00A1425C" w:rsidRDefault="00A1425C" w:rsidP="0093558E">
      <w:pPr>
        <w:rPr>
          <w:rFonts w:ascii="Arial" w:hAnsi="Arial" w:cs="Arial"/>
          <w:sz w:val="20"/>
          <w:szCs w:val="20"/>
        </w:rPr>
      </w:pPr>
    </w:p>
    <w:p w14:paraId="29D06640" w14:textId="1B373550" w:rsidR="00A1425C" w:rsidRDefault="00A1425C" w:rsidP="0093558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Another finding is lifestyle can also heavily influence people</w:t>
      </w:r>
      <w:r>
        <w:rPr>
          <w:rFonts w:ascii="Arial" w:hAnsi="Arial" w:cs="Arial"/>
          <w:sz w:val="20"/>
          <w:szCs w:val="20"/>
        </w:rPr>
        <w:t>’</w:t>
      </w:r>
      <w:r>
        <w:rPr>
          <w:rFonts w:ascii="Arial" w:hAnsi="Arial" w:cs="Arial" w:hint="eastAsia"/>
          <w:sz w:val="20"/>
          <w:szCs w:val="20"/>
        </w:rPr>
        <w:t xml:space="preserve">s gambling behavior. When people consume more alcohol, they are more likely to gamble. People with mental health issues are also more likely to become gamblers. </w:t>
      </w:r>
      <w:r w:rsidR="000F4B89">
        <w:rPr>
          <w:rFonts w:ascii="Arial" w:hAnsi="Arial" w:cs="Arial" w:hint="eastAsia"/>
          <w:sz w:val="20"/>
          <w:szCs w:val="20"/>
        </w:rPr>
        <w:t>A s</w:t>
      </w:r>
      <w:r>
        <w:rPr>
          <w:rFonts w:ascii="Arial" w:hAnsi="Arial" w:cs="Arial" w:hint="eastAsia"/>
          <w:sz w:val="20"/>
          <w:szCs w:val="20"/>
        </w:rPr>
        <w:t xml:space="preserve">imilar situation also appears </w:t>
      </w:r>
      <w:r w:rsidR="000F4B89">
        <w:rPr>
          <w:rFonts w:ascii="Arial" w:hAnsi="Arial" w:cs="Arial" w:hint="eastAsia"/>
          <w:sz w:val="20"/>
          <w:szCs w:val="20"/>
        </w:rPr>
        <w:t>in</w:t>
      </w:r>
      <w:r>
        <w:rPr>
          <w:rFonts w:ascii="Arial" w:hAnsi="Arial" w:cs="Arial" w:hint="eastAsia"/>
          <w:sz w:val="20"/>
          <w:szCs w:val="20"/>
        </w:rPr>
        <w:t xml:space="preserve"> smoking, compared to people who never smoked before, people who currently smoke </w:t>
      </w:r>
      <w:proofErr w:type="gramStart"/>
      <w:r>
        <w:rPr>
          <w:rFonts w:ascii="Arial" w:hAnsi="Arial" w:cs="Arial" w:hint="eastAsia"/>
          <w:sz w:val="20"/>
          <w:szCs w:val="20"/>
        </w:rPr>
        <w:t>are</w:t>
      </w:r>
      <w:proofErr w:type="gramEnd"/>
      <w:r>
        <w:rPr>
          <w:rFonts w:ascii="Arial" w:hAnsi="Arial" w:cs="Arial" w:hint="eastAsia"/>
          <w:sz w:val="20"/>
          <w:szCs w:val="20"/>
        </w:rPr>
        <w:t xml:space="preserve"> 26.8% more likely to gamble. Also, the most unexpected fact </w:t>
      </w:r>
      <w:proofErr w:type="gramStart"/>
      <w:r>
        <w:rPr>
          <w:rFonts w:ascii="Arial" w:hAnsi="Arial" w:cs="Arial" w:hint="eastAsia"/>
          <w:sz w:val="20"/>
          <w:szCs w:val="20"/>
        </w:rPr>
        <w:t>is:</w:t>
      </w:r>
      <w:proofErr w:type="gramEnd"/>
      <w:r>
        <w:rPr>
          <w:rFonts w:ascii="Arial" w:hAnsi="Arial" w:cs="Arial" w:hint="eastAsia"/>
          <w:sz w:val="20"/>
          <w:szCs w:val="20"/>
        </w:rPr>
        <w:t xml:space="preserve"> the relationship </w:t>
      </w:r>
      <w:r w:rsidRPr="00A1425C">
        <w:rPr>
          <w:rFonts w:ascii="Arial" w:hAnsi="Arial" w:cs="Arial" w:hint="eastAsia"/>
          <w:sz w:val="20"/>
          <w:szCs w:val="20"/>
        </w:rPr>
        <w:t xml:space="preserve">between being </w:t>
      </w:r>
      <w:r w:rsidR="000F4B89" w:rsidRPr="00A1425C">
        <w:rPr>
          <w:rFonts w:ascii="Arial" w:hAnsi="Arial" w:cs="Arial"/>
          <w:sz w:val="20"/>
          <w:szCs w:val="20"/>
        </w:rPr>
        <w:t>Buddhists</w:t>
      </w:r>
      <w:r w:rsidRPr="00A1425C">
        <w:rPr>
          <w:rFonts w:ascii="Arial" w:hAnsi="Arial" w:cs="Arial" w:hint="eastAsia"/>
          <w:sz w:val="20"/>
          <w:szCs w:val="20"/>
        </w:rPr>
        <w:t xml:space="preserve"> and gambling is very significant, in which </w:t>
      </w:r>
      <w:r>
        <w:rPr>
          <w:rFonts w:ascii="Arial" w:hAnsi="Arial" w:cs="Arial" w:hint="eastAsia"/>
          <w:sz w:val="20"/>
          <w:szCs w:val="20"/>
        </w:rPr>
        <w:t xml:space="preserve">Buddhists are 4.4 times more likely to </w:t>
      </w:r>
      <w:r w:rsidR="0023018D">
        <w:rPr>
          <w:rFonts w:ascii="Arial" w:hAnsi="Arial" w:cs="Arial" w:hint="eastAsia"/>
          <w:sz w:val="20"/>
          <w:szCs w:val="20"/>
        </w:rPr>
        <w:t xml:space="preserve">become problem </w:t>
      </w:r>
      <w:r>
        <w:rPr>
          <w:rFonts w:ascii="Arial" w:hAnsi="Arial" w:cs="Arial" w:hint="eastAsia"/>
          <w:sz w:val="20"/>
          <w:szCs w:val="20"/>
        </w:rPr>
        <w:t>gamble</w:t>
      </w:r>
      <w:r w:rsidR="0023018D">
        <w:rPr>
          <w:rFonts w:ascii="Arial" w:hAnsi="Arial" w:cs="Arial" w:hint="eastAsia"/>
          <w:sz w:val="20"/>
          <w:szCs w:val="20"/>
        </w:rPr>
        <w:t>rs</w:t>
      </w:r>
      <w:r>
        <w:rPr>
          <w:rFonts w:ascii="Arial" w:hAnsi="Arial" w:cs="Arial" w:hint="eastAsia"/>
          <w:sz w:val="20"/>
          <w:szCs w:val="20"/>
        </w:rPr>
        <w:t xml:space="preserve"> compared to </w:t>
      </w:r>
      <w:r w:rsidRPr="00A1425C">
        <w:rPr>
          <w:rFonts w:ascii="Arial" w:hAnsi="Arial" w:cs="Arial"/>
          <w:sz w:val="20"/>
          <w:szCs w:val="20"/>
        </w:rPr>
        <w:t>atheists</w:t>
      </w:r>
      <w:r>
        <w:rPr>
          <w:rFonts w:ascii="Arial" w:hAnsi="Arial" w:cs="Arial" w:hint="eastAsia"/>
          <w:sz w:val="20"/>
          <w:szCs w:val="20"/>
        </w:rPr>
        <w:t>.</w:t>
      </w:r>
      <w:r w:rsidR="0023018D">
        <w:rPr>
          <w:rFonts w:ascii="Arial" w:hAnsi="Arial" w:cs="Arial" w:hint="eastAsia"/>
          <w:sz w:val="20"/>
          <w:szCs w:val="20"/>
        </w:rPr>
        <w:t xml:space="preserve"> </w:t>
      </w:r>
      <w:r w:rsidR="00740A53">
        <w:rPr>
          <w:rFonts w:ascii="Arial" w:hAnsi="Arial" w:cs="Arial" w:hint="eastAsia"/>
          <w:sz w:val="20"/>
          <w:szCs w:val="20"/>
        </w:rPr>
        <w:t xml:space="preserve">Apart from that, age and gender also have very close relationships </w:t>
      </w:r>
      <w:proofErr w:type="gramStart"/>
      <w:r w:rsidR="00740A53">
        <w:rPr>
          <w:rFonts w:ascii="Arial" w:hAnsi="Arial" w:cs="Arial" w:hint="eastAsia"/>
          <w:sz w:val="20"/>
          <w:szCs w:val="20"/>
        </w:rPr>
        <w:t>to</w:t>
      </w:r>
      <w:proofErr w:type="gramEnd"/>
      <w:r w:rsidR="00740A53">
        <w:rPr>
          <w:rFonts w:ascii="Arial" w:hAnsi="Arial" w:cs="Arial" w:hint="eastAsia"/>
          <w:sz w:val="20"/>
          <w:szCs w:val="20"/>
        </w:rPr>
        <w:t xml:space="preserve"> gambling. Compared to males, females are 68.4% less likely to become problem gamblers; when the age increases, the probability of gambling ascends as well.</w:t>
      </w:r>
    </w:p>
    <w:p w14:paraId="7CB4BB7B" w14:textId="5D91B3E3" w:rsidR="00740A53" w:rsidRDefault="00740A53" w:rsidP="0093558E">
      <w:pPr>
        <w:rPr>
          <w:rFonts w:ascii="Arial" w:hAnsi="Arial" w:cs="Arial"/>
          <w:sz w:val="20"/>
          <w:szCs w:val="20"/>
        </w:rPr>
      </w:pPr>
    </w:p>
    <w:p w14:paraId="095A0813" w14:textId="5F633002" w:rsidR="00740A53" w:rsidRPr="00740A53" w:rsidRDefault="003D3546" w:rsidP="0093558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In conclusion,</w:t>
      </w:r>
      <w:r w:rsidR="00740A53">
        <w:rPr>
          <w:rFonts w:ascii="Arial" w:hAnsi="Arial" w:cs="Arial" w:hint="eastAsia"/>
          <w:sz w:val="20"/>
          <w:szCs w:val="20"/>
        </w:rPr>
        <w:t xml:space="preserve"> there is no evidence suggesting income is closely related to gambling, while factors related to </w:t>
      </w:r>
      <w:r w:rsidR="00740A53">
        <w:rPr>
          <w:rFonts w:ascii="Arial" w:hAnsi="Arial" w:cs="Arial"/>
          <w:sz w:val="20"/>
          <w:szCs w:val="20"/>
        </w:rPr>
        <w:t>lifestyle</w:t>
      </w:r>
      <w:r w:rsidR="00740A53">
        <w:rPr>
          <w:rFonts w:ascii="Arial" w:hAnsi="Arial" w:cs="Arial" w:hint="eastAsia"/>
          <w:sz w:val="20"/>
          <w:szCs w:val="20"/>
        </w:rPr>
        <w:t>, education, gender and age indeed influence the possibility of becoming problem gamblers.</w:t>
      </w:r>
    </w:p>
    <w:sectPr w:rsidR="00740A53" w:rsidRPr="00740A53" w:rsidSect="00965880">
      <w:footerReference w:type="default" r:id="rId8"/>
      <w:pgSz w:w="11906" w:h="16838"/>
      <w:pgMar w:top="1440" w:right="1080" w:bottom="1440" w:left="1080" w:header="737" w:footer="17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E4D2" w14:textId="77777777" w:rsidR="00FE51E7" w:rsidRDefault="00FE51E7" w:rsidP="005521CA">
      <w:pPr>
        <w:spacing w:after="0" w:line="240" w:lineRule="auto"/>
      </w:pPr>
      <w:r>
        <w:separator/>
      </w:r>
    </w:p>
  </w:endnote>
  <w:endnote w:type="continuationSeparator" w:id="0">
    <w:p w14:paraId="5BB9F306" w14:textId="77777777" w:rsidR="00FE51E7" w:rsidRDefault="00FE51E7" w:rsidP="00552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408890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D62E3A" w14:textId="616B5B53" w:rsidR="00965880" w:rsidRDefault="00965880">
            <w:pPr>
              <w:pStyle w:val="Footer"/>
              <w:jc w:val="right"/>
            </w:pPr>
            <w:r>
              <w:t xml:space="preserve">Candidate Number: 48372, </w:t>
            </w: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30B74C" w14:textId="77777777" w:rsidR="00965880" w:rsidRDefault="009658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1033" w14:textId="77777777" w:rsidR="00FE51E7" w:rsidRDefault="00FE51E7" w:rsidP="005521CA">
      <w:pPr>
        <w:spacing w:after="0" w:line="240" w:lineRule="auto"/>
      </w:pPr>
      <w:r>
        <w:separator/>
      </w:r>
    </w:p>
  </w:footnote>
  <w:footnote w:type="continuationSeparator" w:id="0">
    <w:p w14:paraId="2C9C315A" w14:textId="77777777" w:rsidR="00FE51E7" w:rsidRDefault="00FE51E7" w:rsidP="00552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26366"/>
    <w:multiLevelType w:val="hybridMultilevel"/>
    <w:tmpl w:val="F51A87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546E1B"/>
    <w:multiLevelType w:val="hybridMultilevel"/>
    <w:tmpl w:val="90EE8B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1224668"/>
    <w:multiLevelType w:val="hybridMultilevel"/>
    <w:tmpl w:val="6C1E3C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6566E31"/>
    <w:multiLevelType w:val="hybridMultilevel"/>
    <w:tmpl w:val="07EE8D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7993F63"/>
    <w:multiLevelType w:val="multilevel"/>
    <w:tmpl w:val="02C2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07707"/>
    <w:multiLevelType w:val="hybridMultilevel"/>
    <w:tmpl w:val="56B86C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70832598">
    <w:abstractNumId w:val="4"/>
  </w:num>
  <w:num w:numId="2" w16cid:durableId="1387992537">
    <w:abstractNumId w:val="3"/>
  </w:num>
  <w:num w:numId="3" w16cid:durableId="661589864">
    <w:abstractNumId w:val="0"/>
  </w:num>
  <w:num w:numId="4" w16cid:durableId="1527017151">
    <w:abstractNumId w:val="5"/>
  </w:num>
  <w:num w:numId="5" w16cid:durableId="1327170804">
    <w:abstractNumId w:val="1"/>
  </w:num>
  <w:num w:numId="6" w16cid:durableId="1738554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DE"/>
    <w:rsid w:val="0002009C"/>
    <w:rsid w:val="00027129"/>
    <w:rsid w:val="00031FB1"/>
    <w:rsid w:val="00035651"/>
    <w:rsid w:val="000373B2"/>
    <w:rsid w:val="00046F18"/>
    <w:rsid w:val="00047B5C"/>
    <w:rsid w:val="000530B9"/>
    <w:rsid w:val="00065B68"/>
    <w:rsid w:val="00077A91"/>
    <w:rsid w:val="00093A11"/>
    <w:rsid w:val="000B160C"/>
    <w:rsid w:val="000E29E4"/>
    <w:rsid w:val="000F2483"/>
    <w:rsid w:val="000F4B89"/>
    <w:rsid w:val="001017FA"/>
    <w:rsid w:val="00101F33"/>
    <w:rsid w:val="001256F1"/>
    <w:rsid w:val="00125F85"/>
    <w:rsid w:val="001269AF"/>
    <w:rsid w:val="001276C6"/>
    <w:rsid w:val="00127CA4"/>
    <w:rsid w:val="001306D3"/>
    <w:rsid w:val="001353D5"/>
    <w:rsid w:val="0014116A"/>
    <w:rsid w:val="00170BF5"/>
    <w:rsid w:val="00176371"/>
    <w:rsid w:val="00180F76"/>
    <w:rsid w:val="00194C8F"/>
    <w:rsid w:val="001A077B"/>
    <w:rsid w:val="001D3F42"/>
    <w:rsid w:val="001F268A"/>
    <w:rsid w:val="00221FEE"/>
    <w:rsid w:val="0022455A"/>
    <w:rsid w:val="00227C09"/>
    <w:rsid w:val="0023018D"/>
    <w:rsid w:val="002313D5"/>
    <w:rsid w:val="002329C6"/>
    <w:rsid w:val="002450FC"/>
    <w:rsid w:val="00261732"/>
    <w:rsid w:val="00263F20"/>
    <w:rsid w:val="002703FD"/>
    <w:rsid w:val="002B60BA"/>
    <w:rsid w:val="002D161A"/>
    <w:rsid w:val="002E7397"/>
    <w:rsid w:val="002E796A"/>
    <w:rsid w:val="00303965"/>
    <w:rsid w:val="00313BD1"/>
    <w:rsid w:val="003149B2"/>
    <w:rsid w:val="00314A49"/>
    <w:rsid w:val="00332FE9"/>
    <w:rsid w:val="00342CE5"/>
    <w:rsid w:val="00367C6B"/>
    <w:rsid w:val="00387E61"/>
    <w:rsid w:val="003B00BB"/>
    <w:rsid w:val="003D3546"/>
    <w:rsid w:val="003D3EA2"/>
    <w:rsid w:val="003F3CA4"/>
    <w:rsid w:val="00415EFC"/>
    <w:rsid w:val="00434292"/>
    <w:rsid w:val="004611B9"/>
    <w:rsid w:val="0048751F"/>
    <w:rsid w:val="0049166F"/>
    <w:rsid w:val="004D1AE0"/>
    <w:rsid w:val="004E69B3"/>
    <w:rsid w:val="004F2E6E"/>
    <w:rsid w:val="00506159"/>
    <w:rsid w:val="005113BB"/>
    <w:rsid w:val="005521CA"/>
    <w:rsid w:val="00565D83"/>
    <w:rsid w:val="005663F3"/>
    <w:rsid w:val="00567DAE"/>
    <w:rsid w:val="005836F1"/>
    <w:rsid w:val="00586A2F"/>
    <w:rsid w:val="005934E2"/>
    <w:rsid w:val="005A101C"/>
    <w:rsid w:val="005A2711"/>
    <w:rsid w:val="005B728A"/>
    <w:rsid w:val="005B7E6C"/>
    <w:rsid w:val="005C3CAE"/>
    <w:rsid w:val="005D16E1"/>
    <w:rsid w:val="005F2F28"/>
    <w:rsid w:val="005F3BFA"/>
    <w:rsid w:val="006002E2"/>
    <w:rsid w:val="006152B0"/>
    <w:rsid w:val="0064706D"/>
    <w:rsid w:val="006577EC"/>
    <w:rsid w:val="0067347B"/>
    <w:rsid w:val="00675241"/>
    <w:rsid w:val="00683CE6"/>
    <w:rsid w:val="006A1707"/>
    <w:rsid w:val="006A6ECB"/>
    <w:rsid w:val="006B5F24"/>
    <w:rsid w:val="006D71B9"/>
    <w:rsid w:val="007058F5"/>
    <w:rsid w:val="00713464"/>
    <w:rsid w:val="0071789C"/>
    <w:rsid w:val="00727E9B"/>
    <w:rsid w:val="00740711"/>
    <w:rsid w:val="00740A53"/>
    <w:rsid w:val="007509C4"/>
    <w:rsid w:val="007525FE"/>
    <w:rsid w:val="00766129"/>
    <w:rsid w:val="007663A9"/>
    <w:rsid w:val="007702AA"/>
    <w:rsid w:val="00777832"/>
    <w:rsid w:val="00792DDD"/>
    <w:rsid w:val="007C42C2"/>
    <w:rsid w:val="00820028"/>
    <w:rsid w:val="008372F5"/>
    <w:rsid w:val="00841DED"/>
    <w:rsid w:val="00851F8E"/>
    <w:rsid w:val="00854433"/>
    <w:rsid w:val="00870B5E"/>
    <w:rsid w:val="008752BF"/>
    <w:rsid w:val="008770D3"/>
    <w:rsid w:val="00891609"/>
    <w:rsid w:val="008D58C0"/>
    <w:rsid w:val="008E7498"/>
    <w:rsid w:val="009231E8"/>
    <w:rsid w:val="0092590C"/>
    <w:rsid w:val="00933B23"/>
    <w:rsid w:val="0093558E"/>
    <w:rsid w:val="00936445"/>
    <w:rsid w:val="00965880"/>
    <w:rsid w:val="00966620"/>
    <w:rsid w:val="00967DF2"/>
    <w:rsid w:val="0097366F"/>
    <w:rsid w:val="00994F87"/>
    <w:rsid w:val="009A3D4E"/>
    <w:rsid w:val="009B6840"/>
    <w:rsid w:val="009B7BC8"/>
    <w:rsid w:val="009C42E8"/>
    <w:rsid w:val="009F5A4E"/>
    <w:rsid w:val="00A06928"/>
    <w:rsid w:val="00A13C6C"/>
    <w:rsid w:val="00A1425C"/>
    <w:rsid w:val="00A56451"/>
    <w:rsid w:val="00A65330"/>
    <w:rsid w:val="00A94B0E"/>
    <w:rsid w:val="00AC2538"/>
    <w:rsid w:val="00AD31CB"/>
    <w:rsid w:val="00AF0AB9"/>
    <w:rsid w:val="00B06A35"/>
    <w:rsid w:val="00B557F5"/>
    <w:rsid w:val="00B6391D"/>
    <w:rsid w:val="00B74D40"/>
    <w:rsid w:val="00B954EE"/>
    <w:rsid w:val="00BA30DE"/>
    <w:rsid w:val="00BA3ED2"/>
    <w:rsid w:val="00BC6267"/>
    <w:rsid w:val="00BE08E8"/>
    <w:rsid w:val="00BE0FF9"/>
    <w:rsid w:val="00BF2FEB"/>
    <w:rsid w:val="00BF4F2A"/>
    <w:rsid w:val="00C06F48"/>
    <w:rsid w:val="00C16E2A"/>
    <w:rsid w:val="00C27F8E"/>
    <w:rsid w:val="00C43959"/>
    <w:rsid w:val="00C51ACC"/>
    <w:rsid w:val="00C75471"/>
    <w:rsid w:val="00CB031A"/>
    <w:rsid w:val="00CF2F17"/>
    <w:rsid w:val="00D14491"/>
    <w:rsid w:val="00D27C6D"/>
    <w:rsid w:val="00D32541"/>
    <w:rsid w:val="00D8031E"/>
    <w:rsid w:val="00D87FB5"/>
    <w:rsid w:val="00DA4772"/>
    <w:rsid w:val="00DA5536"/>
    <w:rsid w:val="00DB1B67"/>
    <w:rsid w:val="00DC06B9"/>
    <w:rsid w:val="00DE60D2"/>
    <w:rsid w:val="00E056B8"/>
    <w:rsid w:val="00E06084"/>
    <w:rsid w:val="00E10C8A"/>
    <w:rsid w:val="00E27B07"/>
    <w:rsid w:val="00E82DCA"/>
    <w:rsid w:val="00E85F58"/>
    <w:rsid w:val="00E87806"/>
    <w:rsid w:val="00EB05EB"/>
    <w:rsid w:val="00ED0316"/>
    <w:rsid w:val="00EE50D5"/>
    <w:rsid w:val="00F238CE"/>
    <w:rsid w:val="00F241D0"/>
    <w:rsid w:val="00F4360E"/>
    <w:rsid w:val="00F763CB"/>
    <w:rsid w:val="00F82AB9"/>
    <w:rsid w:val="00F872F4"/>
    <w:rsid w:val="00FA0D23"/>
    <w:rsid w:val="00FA2D08"/>
    <w:rsid w:val="00FA2EE9"/>
    <w:rsid w:val="00FB6DFF"/>
    <w:rsid w:val="00FE0BA7"/>
    <w:rsid w:val="00FE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527C"/>
  <w15:chartTrackingRefBased/>
  <w15:docId w15:val="{C44797CC-C513-4CCA-BF63-D6DD1251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0B9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A30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D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D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D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D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D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D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A30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0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1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521C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521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521CA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57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7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077B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65880"/>
  </w:style>
  <w:style w:type="character" w:customStyle="1" w:styleId="CommentTextChar">
    <w:name w:val="Comment Text Char"/>
    <w:basedOn w:val="DefaultParagraphFont"/>
    <w:link w:val="CommentText"/>
    <w:uiPriority w:val="99"/>
    <w:rsid w:val="00965880"/>
  </w:style>
  <w:style w:type="character" w:styleId="CommentReference">
    <w:name w:val="annotation reference"/>
    <w:basedOn w:val="DefaultParagraphFont"/>
    <w:uiPriority w:val="99"/>
    <w:semiHidden/>
    <w:unhideWhenUsed/>
    <w:rsid w:val="00965880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DAE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DA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9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8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9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76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5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6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9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94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9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2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8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2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5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5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5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5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3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8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0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1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9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9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5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1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0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3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14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7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7FFF1-A09B-48D1-8838-F891EF28F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5818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Feng6,C (ug)</dc:creator>
  <cp:keywords/>
  <dc:description/>
  <cp:lastModifiedBy>Feng6,C (ug)</cp:lastModifiedBy>
  <cp:revision>116</cp:revision>
  <dcterms:created xsi:type="dcterms:W3CDTF">2025-03-22T23:47:00Z</dcterms:created>
  <dcterms:modified xsi:type="dcterms:W3CDTF">2025-04-23T14:48:00Z</dcterms:modified>
</cp:coreProperties>
</file>