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200" w:before="0"/>
        <w:jc w:val="center"/>
      </w:pPr>
      <w:r>
        <w:rPr>
          <w:rFonts w:ascii="Arial" w:cs="Arial" w:eastAsia="Arial" w:hAnsi="Arial"/>
          <w:b/>
          <w:bCs/>
          <w:color w:val="1F3864"/>
          <w:sz w:val="56"/>
          <w:szCs w:val="56"/>
        </w:rPr>
        <w:t xml:space="preserve">BUSINESS PLAN</w:t>
      </w:r>
    </w:p>
    <w:p>
      <w:pPr>
        <w:spacing w:after="120" w:before="0"/>
        <w:jc w:val="center"/>
      </w:pPr>
      <w:r>
        <w:rPr>
          <w:rFonts w:ascii="Arial" w:cs="Arial" w:eastAsia="Arial" w:hAnsi="Arial"/>
          <w:color w:val="2E75B6"/>
          <w:sz w:val="36"/>
          <w:szCs w:val="36"/>
        </w:rPr>
        <w:t xml:space="preserve">Application Due Diligence Canvas (ADC)</w:t>
      </w:r>
    </w:p>
    <w:p>
      <w:pPr>
        <w:spacing w:after="480" w:before="0"/>
        <w:jc w:val="center"/>
      </w:pPr>
      <w:r>
        <w:rPr>
          <w:rFonts w:ascii="Arial" w:cs="Arial" w:eastAsia="Arial" w:hAnsi="Arial"/>
          <w:i/>
          <w:iCs/>
          <w:color w:val="555555"/>
          <w:sz w:val="26"/>
          <w:szCs w:val="26"/>
        </w:rPr>
        <w:t xml:space="preserve">SaaS Product for South African Public Sector</w:t>
      </w:r>
    </w:p>
    <w:p>
      <w:pPr>
        <w:pBdr>
          <w:top w:val="single" w:color="2E75B6" w:sz="4" w:space="1"/>
        </w:pBdr>
        <w:spacing w:after="240" w:before="0"/>
        <w:jc w:val="center"/>
      </w:pPr>
      <w:r>
        <w:t xml:space="preserve"/>
      </w:r>
    </w:p>
    <w:p>
      <w:pPr>
        <w:spacing w:after="60" w:before="60"/>
        <w:jc w:val="center"/>
      </w:pPr>
      <w:r>
        <w:rPr>
          <w:rFonts w:ascii="Arial" w:cs="Arial" w:eastAsia="Arial" w:hAnsi="Arial"/>
          <w:b/>
          <w:bCs/>
          <w:color w:val="1F3864"/>
          <w:sz w:val="22"/>
          <w:szCs w:val="22"/>
        </w:rPr>
        <w:t xml:space="preserve">Prepared by:  GMT Technology Solutions</w:t>
      </w:r>
    </w:p>
    <w:p>
      <w:pPr>
        <w:spacing w:after="60" w:before="60"/>
        <w:jc w:val="center"/>
      </w:pPr>
      <w:r>
        <w:rPr>
          <w:rFonts w:ascii="Arial" w:cs="Arial" w:eastAsia="Arial" w:hAnsi="Arial"/>
          <w:color w:val="333333"/>
          <w:sz w:val="22"/>
          <w:szCs w:val="22"/>
        </w:rPr>
        <w:t xml:space="preserve">Date:  25 April 2026</w:t>
      </w:r>
    </w:p>
    <w:p>
      <w:pPr>
        <w:spacing w:after="60" w:before="60"/>
        <w:jc w:val="center"/>
      </w:pPr>
      <w:r>
        <w:rPr>
          <w:rFonts w:ascii="Arial" w:cs="Arial" w:eastAsia="Arial" w:hAnsi="Arial"/>
          <w:color w:val="333333"/>
          <w:sz w:val="22"/>
          <w:szCs w:val="22"/>
        </w:rPr>
        <w:t xml:space="preserve">Version:  1.0  |  CONFIDENTIAL</w:t>
      </w:r>
    </w:p>
    <w:p>
      <w:pPr>
        <w:spacing w:after="120" w:before="0"/>
      </w:pPr>
      <w:r>
        <w:t xml:space="preserve"/>
      </w:r>
    </w:p>
    <w:p>
      <w:pPr>
        <w:spacing w:after="120" w:before="0"/>
      </w:pPr>
      <w:r>
        <w:t xml:space="preserve"/>
      </w:r>
    </w:p>
    <w:p>
      <w:pPr>
        <w:jc w:val="center"/>
      </w:pPr>
      <w:r>
        <w:rPr>
          <w:rFonts w:ascii="Arial" w:cs="Arial" w:eastAsia="Arial" w:hAnsi="Arial"/>
          <w:i/>
          <w:iCs/>
          <w:color w:val="888888"/>
          <w:sz w:val="18"/>
          <w:szCs w:val="18"/>
        </w:rPr>
        <w:t xml:space="preserve">This document contains proprietary and confidential information. Not for distribution.</w:t>
      </w:r>
    </w:p>
    <w:p>
      <w:r>
        <w:br/>
      </w:r>
    </w:p>
    <w:p>
      <w:pPr>
        <w:pStyle w:val="Heading1"/>
        <w:pBdr>
          <w:bottom w:val="single" w:color="2E75B6" w:sz="6" w:space="1"/>
        </w:pBdr>
        <w:spacing w:after="160" w:before="360"/>
      </w:pPr>
      <w:r>
        <w:rPr>
          <w:rFonts w:ascii="Arial" w:cs="Arial" w:eastAsia="Arial" w:hAnsi="Arial"/>
          <w:b/>
          <w:bCs/>
          <w:color w:val="1F3864"/>
          <w:sz w:val="32"/>
          <w:szCs w:val="32"/>
        </w:rPr>
        <w:t xml:space="preserve">1. Executive Summary</w:t>
      </w:r>
    </w:p>
    <w:p>
      <w:pPr>
        <w:spacing w:after="80" w:before="60"/>
      </w:pPr>
      <w:r>
        <w:rPr>
          <w:rFonts w:ascii="Arial" w:cs="Arial" w:eastAsia="Arial" w:hAnsi="Arial"/>
          <w:color w:val="222222"/>
          <w:sz w:val="22"/>
          <w:szCs w:val="22"/>
        </w:rPr>
        <w:t xml:space="preserve">GMT Technology Solutions has developed the Application Due Diligence Canvas (ADC) — a cloud-based Software-as-a-Service (SaaS) platform designed specifically for South African public sector entities to conduct structured, evidence-based assessments of their application portfolios.</w:t>
      </w:r>
    </w:p>
    <w:p>
      <w:pPr>
        <w:spacing w:after="120" w:before="0"/>
      </w:pPr>
      <w:r>
        <w:t xml:space="preserve"/>
      </w:r>
    </w:p>
    <w:p>
      <w:pPr>
        <w:spacing w:after="80" w:before="60"/>
      </w:pPr>
      <w:r>
        <w:rPr>
          <w:rFonts w:ascii="Arial" w:cs="Arial" w:eastAsia="Arial" w:hAnsi="Arial"/>
          <w:color w:val="222222"/>
          <w:sz w:val="22"/>
          <w:szCs w:val="22"/>
        </w:rPr>
        <w:t xml:space="preserve">The ADC system addresses a critical and under-served need: government departments, municipalities, and state-owned entities collectively operate thousands of enterprise applications, yet have no standardised, accessible tool for rating, pricing, comparing, and making informed decisions about these investments. The ADC fills this gap directly.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1.1 The Opportunity</w:t>
      </w:r>
    </w:p>
    <w:p>
      <w:pPr>
        <w:pStyle w:val="ListParagraph"/>
        <w:numPr>
          <w:ilvl w:val="0"/>
          <w:numId w:val="2"/>
        </w:numPr>
        <w:spacing w:after="40" w:before="40"/>
      </w:pPr>
      <w:r>
        <w:rPr>
          <w:rFonts w:ascii="Arial" w:cs="Arial" w:eastAsia="Arial" w:hAnsi="Arial"/>
          <w:color w:val="222222"/>
          <w:sz w:val="22"/>
          <w:szCs w:val="22"/>
        </w:rPr>
        <w:t xml:space="preserve">South Africa has 278 municipalities, 9 provincial governments, 41 national departments, and over 300 state entities — all operating ICT application portfolios</w:t>
      </w:r>
    </w:p>
    <w:p>
      <w:pPr>
        <w:pStyle w:val="ListParagraph"/>
        <w:numPr>
          <w:ilvl w:val="0"/>
          <w:numId w:val="2"/>
        </w:numPr>
        <w:spacing w:after="40" w:before="40"/>
      </w:pPr>
      <w:r>
        <w:rPr>
          <w:rFonts w:ascii="Arial" w:cs="Arial" w:eastAsia="Arial" w:hAnsi="Arial"/>
          <w:color w:val="222222"/>
          <w:sz w:val="22"/>
          <w:szCs w:val="22"/>
        </w:rPr>
        <w:t xml:space="preserve">The Auditor-General consistently flags poor ICT governance and unplanned application spending as material findings</w:t>
      </w:r>
    </w:p>
    <w:p>
      <w:pPr>
        <w:pStyle w:val="ListParagraph"/>
        <w:numPr>
          <w:ilvl w:val="0"/>
          <w:numId w:val="2"/>
        </w:numPr>
        <w:spacing w:after="40" w:before="40"/>
      </w:pPr>
      <w:r>
        <w:rPr>
          <w:rFonts w:ascii="Arial" w:cs="Arial" w:eastAsia="Arial" w:hAnsi="Arial"/>
          <w:color w:val="222222"/>
          <w:sz w:val="22"/>
          <w:szCs w:val="22"/>
        </w:rPr>
        <w:t xml:space="preserve">No affordable, purpose-built SaaS tool exists for this market segment</w:t>
      </w:r>
    </w:p>
    <w:p>
      <w:pPr>
        <w:pStyle w:val="ListParagraph"/>
        <w:numPr>
          <w:ilvl w:val="0"/>
          <w:numId w:val="2"/>
        </w:numPr>
        <w:spacing w:after="40" w:before="40"/>
      </w:pPr>
      <w:r>
        <w:rPr>
          <w:rFonts w:ascii="Arial" w:cs="Arial" w:eastAsia="Arial" w:hAnsi="Arial"/>
          <w:color w:val="222222"/>
          <w:sz w:val="22"/>
          <w:szCs w:val="22"/>
        </w:rPr>
        <w:t xml:space="preserve">PFMA and MFMA compliance requirements create a recurring, non-discretionary demand for this type of review</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1.2 The Product</w:t>
      </w:r>
    </w:p>
    <w:p>
      <w:pPr>
        <w:spacing w:after="80" w:before="60"/>
      </w:pPr>
      <w:r>
        <w:rPr>
          <w:rFonts w:ascii="Arial" w:cs="Arial" w:eastAsia="Arial" w:hAnsi="Arial"/>
          <w:color w:val="222222"/>
          <w:sz w:val="22"/>
          <w:szCs w:val="22"/>
        </w:rPr>
        <w:t xml:space="preserve">The ADC system provides a canvas-style interface for mapping applications across business domains, a 1–5 star rating engine across configurable criteria, full pricing and TCO capture, a Terms of Reference builder, a query and issue workflow, AI-assisted analysis, and formatted PDF and Excel export — all in a single subscription.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1.3 Revenue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clients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ARR (subscriptions)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732,000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2,298,000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4,920,000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Services revenue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135,000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420,000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900,000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Total revenue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867,000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2,718,000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5,820,000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 cost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12,840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36,000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72,000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Gross margin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~98%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~98%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~99%</w:t>
            </w:r>
          </w:p>
        </w:tc>
      </w:tr>
    </w:tbl>
    <w:p>
      <w:r>
        <w:br/>
      </w:r>
    </w:p>
    <w:p>
      <w:pPr>
        <w:pStyle w:val="Heading1"/>
        <w:pBdr>
          <w:bottom w:val="single" w:color="2E75B6" w:sz="6" w:space="1"/>
        </w:pBdr>
        <w:spacing w:after="160" w:before="360"/>
      </w:pPr>
      <w:r>
        <w:rPr>
          <w:rFonts w:ascii="Arial" w:cs="Arial" w:eastAsia="Arial" w:hAnsi="Arial"/>
          <w:b/>
          <w:bCs/>
          <w:color w:val="1F3864"/>
          <w:sz w:val="32"/>
          <w:szCs w:val="32"/>
        </w:rPr>
        <w:t xml:space="preserve">2. Company and Product</w:t>
      </w:r>
    </w:p>
    <w:p>
      <w:pPr>
        <w:pStyle w:val="Heading2"/>
        <w:spacing w:after="120" w:before="280"/>
      </w:pPr>
      <w:r>
        <w:rPr>
          <w:rFonts w:ascii="Arial" w:cs="Arial" w:eastAsia="Arial" w:hAnsi="Arial"/>
          <w:b/>
          <w:bCs/>
          <w:color w:val="2E75B6"/>
          <w:sz w:val="26"/>
          <w:szCs w:val="26"/>
        </w:rPr>
        <w:t xml:space="preserve">2.1 Company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 name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GMT Technology Solutions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Registration</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[CIPC Registration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B-BBEE Level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 be confirmed]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Tax Clearance</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[SARS Pin — valid]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CSD Number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[Central Supplier Database number]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Primary contact</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[Director name and contact]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Website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 website]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Founded</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2026</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2.2 Product Description</w:t>
      </w:r>
    </w:p>
    <w:p>
      <w:pPr>
        <w:spacing w:after="80" w:before="60"/>
      </w:pPr>
      <w:r>
        <w:rPr>
          <w:rFonts w:ascii="Arial" w:cs="Arial" w:eastAsia="Arial" w:hAnsi="Arial"/>
          <w:color w:val="222222"/>
          <w:sz w:val="22"/>
          <w:szCs w:val="22"/>
        </w:rPr>
        <w:t xml:space="preserve">The ADC system is a multi-tenant web application comprising a React frontend (hosted on Netlify), a Python FastAPI backend, and a MySQL 8.0 database (hosted on Railway). It is accessed via any modern web browser — no installation required.</w:t>
      </w:r>
    </w:p>
    <w:p>
      <w:pPr>
        <w:spacing w:after="120" w:before="0"/>
      </w:pPr>
      <w:r>
        <w:t xml:space="preserve"/>
      </w:r>
    </w:p>
    <w:p>
      <w:pPr>
        <w:pStyle w:val="Heading3"/>
        <w:spacing w:after="100" w:before="200"/>
      </w:pPr>
      <w:r>
        <w:rPr>
          <w:rFonts w:ascii="Arial" w:cs="Arial" w:eastAsia="Arial" w:hAnsi="Arial"/>
          <w:b/>
          <w:bCs/>
          <w:color w:val="1F3864"/>
          <w:sz w:val="22"/>
          <w:szCs w:val="22"/>
        </w:rPr>
        <w:t xml:space="preserve">Core modules</w:t>
      </w:r>
    </w:p>
    <w:p>
      <w:pPr>
        <w:pStyle w:val="ListParagraph"/>
        <w:numPr>
          <w:ilvl w:val="0"/>
          <w:numId w:val="2"/>
        </w:numPr>
        <w:spacing w:after="40" w:before="40"/>
      </w:pPr>
      <w:r>
        <w:rPr>
          <w:rFonts w:ascii="Arial" w:cs="Arial" w:eastAsia="Arial" w:hAnsi="Arial"/>
          <w:color w:val="222222"/>
          <w:sz w:val="22"/>
          <w:szCs w:val="22"/>
        </w:rPr>
        <w:t xml:space="preserve">Canvas — 3x3 domain grid for mapping applications across business areas</w:t>
      </w:r>
    </w:p>
    <w:p>
      <w:pPr>
        <w:pStyle w:val="ListParagraph"/>
        <w:numPr>
          <w:ilvl w:val="0"/>
          <w:numId w:val="2"/>
        </w:numPr>
        <w:spacing w:after="40" w:before="40"/>
      </w:pPr>
      <w:r>
        <w:rPr>
          <w:rFonts w:ascii="Arial" w:cs="Arial" w:eastAsia="Arial" w:hAnsi="Arial"/>
          <w:color w:val="222222"/>
          <w:sz w:val="22"/>
          <w:szCs w:val="22"/>
        </w:rPr>
        <w:t xml:space="preserve">Pricing — full TCO capture with licence, maintenance, and implementation costs</w:t>
      </w:r>
    </w:p>
    <w:p>
      <w:pPr>
        <w:pStyle w:val="ListParagraph"/>
        <w:numPr>
          <w:ilvl w:val="0"/>
          <w:numId w:val="2"/>
        </w:numPr>
        <w:spacing w:after="40" w:before="40"/>
      </w:pPr>
      <w:r>
        <w:rPr>
          <w:rFonts w:ascii="Arial" w:cs="Arial" w:eastAsia="Arial" w:hAnsi="Arial"/>
          <w:color w:val="222222"/>
          <w:sz w:val="22"/>
          <w:szCs w:val="22"/>
        </w:rPr>
        <w:t xml:space="preserve">Terms of Reference — structured TOR document builder with PDF export</w:t>
      </w:r>
    </w:p>
    <w:p>
      <w:pPr>
        <w:pStyle w:val="ListParagraph"/>
        <w:numPr>
          <w:ilvl w:val="0"/>
          <w:numId w:val="2"/>
        </w:numPr>
        <w:spacing w:after="40" w:before="40"/>
      </w:pPr>
      <w:r>
        <w:rPr>
          <w:rFonts w:ascii="Arial" w:cs="Arial" w:eastAsia="Arial" w:hAnsi="Arial"/>
          <w:color w:val="222222"/>
          <w:sz w:val="22"/>
          <w:szCs w:val="22"/>
        </w:rPr>
        <w:t xml:space="preserve">Queries — 5-step workflow engine for managing due diligence issues</w:t>
      </w:r>
    </w:p>
    <w:p>
      <w:pPr>
        <w:pStyle w:val="ListParagraph"/>
        <w:numPr>
          <w:ilvl w:val="0"/>
          <w:numId w:val="2"/>
        </w:numPr>
        <w:spacing w:after="40" w:before="40"/>
      </w:pPr>
      <w:r>
        <w:rPr>
          <w:rFonts w:ascii="Arial" w:cs="Arial" w:eastAsia="Arial" w:hAnsi="Arial"/>
          <w:color w:val="222222"/>
          <w:sz w:val="22"/>
          <w:szCs w:val="22"/>
        </w:rPr>
        <w:t xml:space="preserve">Reports — consolidated portfolio analysis with PDF and Excel export</w:t>
      </w:r>
    </w:p>
    <w:p>
      <w:pPr>
        <w:pStyle w:val="ListParagraph"/>
        <w:numPr>
          <w:ilvl w:val="0"/>
          <w:numId w:val="2"/>
        </w:numPr>
        <w:spacing w:after="40" w:before="40"/>
      </w:pPr>
      <w:r>
        <w:rPr>
          <w:rFonts w:ascii="Arial" w:cs="Arial" w:eastAsia="Arial" w:hAnsi="Arial"/>
          <w:color w:val="222222"/>
          <w:sz w:val="22"/>
          <w:szCs w:val="22"/>
        </w:rPr>
        <w:t xml:space="preserve">AI Analysis — Claude-powered written analysis and recommendations</w:t>
      </w:r>
    </w:p>
    <w:p>
      <w:pPr>
        <w:pStyle w:val="ListParagraph"/>
        <w:numPr>
          <w:ilvl w:val="0"/>
          <w:numId w:val="2"/>
        </w:numPr>
        <w:spacing w:after="40" w:before="40"/>
      </w:pPr>
      <w:r>
        <w:rPr>
          <w:rFonts w:ascii="Arial" w:cs="Arial" w:eastAsia="Arial" w:hAnsi="Arial"/>
          <w:color w:val="222222"/>
          <w:sz w:val="22"/>
          <w:szCs w:val="22"/>
        </w:rPr>
        <w:t xml:space="preserve">Settings — full institutional branding, criteria configuration, domain management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2.3 Competitive Advantage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2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ADC Advantage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Purpose-built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Designed exclusively for SA public sector application reviews — not a generic tool adapted for this use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Regulatory alignment</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Built around PFMA, MFMA, AG audit requirements, and POPIA compliance from day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AI-assisted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integration generates written reports and TOR documents in seconds — no competitor offers this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Affordable</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Starter at R 3,500/month is below departmental delegated authority limits in most entities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Excel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collaboration, workflow tracking, and audit trails that spreadsheets cannot provide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Speed</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 full due diligence canvas can be populated and reported in one working day per department</w:t>
            </w:r>
          </w:p>
        </w:tc>
      </w:tr>
    </w:tbl>
    <w:p>
      <w:r>
        <w:br/>
      </w:r>
    </w:p>
    <w:p>
      <w:pPr>
        <w:pStyle w:val="Heading1"/>
        <w:pBdr>
          <w:bottom w:val="single" w:color="2E75B6" w:sz="6" w:space="1"/>
        </w:pBdr>
        <w:spacing w:after="160" w:before="360"/>
      </w:pPr>
      <w:r>
        <w:rPr>
          <w:rFonts w:ascii="Arial" w:cs="Arial" w:eastAsia="Arial" w:hAnsi="Arial"/>
          <w:b/>
          <w:bCs/>
          <w:color w:val="1F3864"/>
          <w:sz w:val="32"/>
          <w:szCs w:val="32"/>
        </w:rPr>
        <w:t xml:space="preserve">3. Market Analysis</w:t>
      </w:r>
    </w:p>
    <w:p>
      <w:pPr>
        <w:pStyle w:val="Heading2"/>
        <w:spacing w:after="120" w:before="280"/>
      </w:pPr>
      <w:r>
        <w:rPr>
          <w:rFonts w:ascii="Arial" w:cs="Arial" w:eastAsia="Arial" w:hAnsi="Arial"/>
          <w:b/>
          <w:bCs/>
          <w:color w:val="2E75B6"/>
          <w:sz w:val="26"/>
          <w:szCs w:val="26"/>
        </w:rPr>
        <w:t xml:space="preserve">3.1 Target Market</w:t>
      </w:r>
    </w:p>
    <w:p>
      <w:pPr>
        <w:spacing w:after="80" w:before="60"/>
      </w:pPr>
      <w:r>
        <w:rPr>
          <w:rFonts w:ascii="Arial" w:cs="Arial" w:eastAsia="Arial" w:hAnsi="Arial"/>
          <w:color w:val="222222"/>
          <w:sz w:val="22"/>
          <w:szCs w:val="22"/>
        </w:rPr>
        <w:t xml:space="preserve">The primary target market is South African public sector entities that are required to conduct ICT application portfolio reviews as part of their governance, audit response, or strategic planning obligations.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626"/>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Entities</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Addressable (20%)</w:t>
            </w:r>
          </w:p>
        </w:tc>
        <w:tc>
          <w:tcPr>
            <w:tcW w:type="dxa" w:w="26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Annual Value at Prof.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National departments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816,000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Provincial departments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108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2,244,000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Municipalities (large)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56</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5,712,000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State-owned entities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6,120,000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146</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14,892,000</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3.2 Procurement Environment</w:t>
      </w:r>
    </w:p>
    <w:p>
      <w:pPr>
        <w:pStyle w:val="ListParagraph"/>
        <w:numPr>
          <w:ilvl w:val="0"/>
          <w:numId w:val="2"/>
        </w:numPr>
        <w:spacing w:after="40" w:before="40"/>
      </w:pPr>
      <w:r>
        <w:rPr>
          <w:rFonts w:ascii="Arial" w:cs="Arial" w:eastAsia="Arial" w:hAnsi="Arial"/>
          <w:color w:val="222222"/>
          <w:sz w:val="22"/>
          <w:szCs w:val="22"/>
        </w:rPr>
        <w:t xml:space="preserve">Entities under R 500,000 per annum can procure via 3 written quotes (no formal tender)</w:t>
      </w:r>
    </w:p>
    <w:p>
      <w:pPr>
        <w:pStyle w:val="ListParagraph"/>
        <w:numPr>
          <w:ilvl w:val="0"/>
          <w:numId w:val="2"/>
        </w:numPr>
        <w:spacing w:after="40" w:before="40"/>
      </w:pPr>
      <w:r>
        <w:rPr>
          <w:rFonts w:ascii="Arial" w:cs="Arial" w:eastAsia="Arial" w:hAnsi="Arial"/>
          <w:color w:val="222222"/>
          <w:sz w:val="22"/>
          <w:szCs w:val="22"/>
        </w:rPr>
        <w:t xml:space="preserve">The Starter tier (R 42,000/year) and Professional tier (R 102,000/year) both fall within this threshold</w:t>
      </w:r>
    </w:p>
    <w:p>
      <w:pPr>
        <w:pStyle w:val="ListParagraph"/>
        <w:numPr>
          <w:ilvl w:val="0"/>
          <w:numId w:val="2"/>
        </w:numPr>
        <w:spacing w:after="40" w:before="40"/>
      </w:pPr>
      <w:r>
        <w:rPr>
          <w:rFonts w:ascii="Arial" w:cs="Arial" w:eastAsia="Arial" w:hAnsi="Arial"/>
          <w:color w:val="222222"/>
          <w:sz w:val="22"/>
          <w:szCs w:val="22"/>
        </w:rPr>
        <w:t xml:space="preserve">CSD registration is mandatory for all government supplier payments — priority action</w:t>
      </w:r>
    </w:p>
    <w:p>
      <w:pPr>
        <w:pStyle w:val="ListParagraph"/>
        <w:numPr>
          <w:ilvl w:val="0"/>
          <w:numId w:val="2"/>
        </w:numPr>
        <w:spacing w:after="40" w:before="40"/>
      </w:pPr>
      <w:r>
        <w:rPr>
          <w:rFonts w:ascii="Arial" w:cs="Arial" w:eastAsia="Arial" w:hAnsi="Arial"/>
          <w:color w:val="222222"/>
          <w:sz w:val="22"/>
          <w:szCs w:val="22"/>
        </w:rPr>
        <w:t xml:space="preserve">SITA (State Information Technology Agency) listing opens access to all national departments</w:t>
      </w:r>
    </w:p>
    <w:p>
      <w:pPr>
        <w:pStyle w:val="ListParagraph"/>
        <w:numPr>
          <w:ilvl w:val="0"/>
          <w:numId w:val="2"/>
        </w:numPr>
        <w:spacing w:after="40" w:before="40"/>
      </w:pPr>
      <w:r>
        <w:rPr>
          <w:rFonts w:ascii="Arial" w:cs="Arial" w:eastAsia="Arial" w:hAnsi="Arial"/>
          <w:color w:val="222222"/>
          <w:sz w:val="22"/>
          <w:szCs w:val="22"/>
        </w:rPr>
        <w:t xml:space="preserve">SALGA (SA Local Government Association) partnership provides access to all 278 municipalities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3.3 Market Timing</w:t>
      </w:r>
    </w:p>
    <w:p>
      <w:pPr>
        <w:spacing w:after="80" w:before="60"/>
      </w:pPr>
      <w:r>
        <w:rPr>
          <w:rFonts w:ascii="Arial" w:cs="Arial" w:eastAsia="Arial" w:hAnsi="Arial"/>
          <w:color w:val="222222"/>
          <w:sz w:val="22"/>
          <w:szCs w:val="22"/>
        </w:rPr>
        <w:t xml:space="preserve">The timing is favourable. The AG's 2024/25 reports have flagged ICT governance failures in over 60% of auditees. National Treasury's Public Sector ICT Strategy (2025–2030) explicitly requires departments to maintain application inventories. The ADC is the tool that delivers on this requirement.</w:t>
      </w:r>
    </w:p>
    <w:p>
      <w:r>
        <w:br/>
      </w:r>
    </w:p>
    <w:p>
      <w:pPr>
        <w:pStyle w:val="Heading1"/>
        <w:pBdr>
          <w:bottom w:val="single" w:color="2E75B6" w:sz="6" w:space="1"/>
        </w:pBdr>
        <w:spacing w:after="160" w:before="360"/>
      </w:pPr>
      <w:r>
        <w:rPr>
          <w:rFonts w:ascii="Arial" w:cs="Arial" w:eastAsia="Arial" w:hAnsi="Arial"/>
          <w:b/>
          <w:bCs/>
          <w:color w:val="1F3864"/>
          <w:sz w:val="32"/>
          <w:szCs w:val="32"/>
        </w:rPr>
        <w:t xml:space="preserve">4. Subscription Model and Pricing</w:t>
      </w:r>
    </w:p>
    <w:p>
      <w:pPr>
        <w:pStyle w:val="Heading2"/>
        <w:spacing w:after="120" w:before="280"/>
      </w:pPr>
      <w:r>
        <w:rPr>
          <w:rFonts w:ascii="Arial" w:cs="Arial" w:eastAsia="Arial" w:hAnsi="Arial"/>
          <w:b/>
          <w:bCs/>
          <w:color w:val="2E75B6"/>
          <w:sz w:val="26"/>
          <w:szCs w:val="26"/>
        </w:rPr>
        <w:t xml:space="preserve">4.1 Subscription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Professional</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3,500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8,500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18,000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Annual price (10% disc.)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37,800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91,800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194,400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Applications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Up to 50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Unlimited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Canvas + Scoring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Pricing module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workflow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Terms of Reference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calls/month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Custom branding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domain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Support SLA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Email 48hr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Email 24hr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4-hour dedicated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On-premise option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Onboarding fee (once-off)</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8,000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15,000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25,000</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4.2 Add-on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0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Implementation &amp; onboarding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8,000–25,000 once-off</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Setup, data migration, user training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Annual due diligence workshop</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25,000 per day</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GMT facilitates on-site review with 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module development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Quoted per scope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Bespoke features for specific client needs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Additional AI calls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500 per 50 calls</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Top-up for Professional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On-premise deployment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50,000 once-off</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Docker-based deployment on client infrastructure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Consulting retainer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15,000/month</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Ongoing ICT governance advisory support</w:t>
            </w:r>
          </w:p>
        </w:tc>
      </w:tr>
    </w:tbl>
    <w:p>
      <w:r>
        <w:br/>
      </w:r>
    </w:p>
    <w:p>
      <w:pPr>
        <w:pStyle w:val="Heading1"/>
        <w:pBdr>
          <w:bottom w:val="single" w:color="2E75B6" w:sz="6" w:space="1"/>
        </w:pBdr>
        <w:spacing w:after="160" w:before="360"/>
      </w:pPr>
      <w:r>
        <w:rPr>
          <w:rFonts w:ascii="Arial" w:cs="Arial" w:eastAsia="Arial" w:hAnsi="Arial"/>
          <w:b/>
          <w:bCs/>
          <w:color w:val="1F3864"/>
          <w:sz w:val="32"/>
          <w:szCs w:val="32"/>
        </w:rPr>
        <w:t xml:space="preserve">5. Financial Projections</w:t>
      </w:r>
    </w:p>
    <w:p>
      <w:pPr>
        <w:pStyle w:val="Heading2"/>
        <w:spacing w:after="120" w:before="280"/>
      </w:pPr>
      <w:r>
        <w:rPr>
          <w:rFonts w:ascii="Arial" w:cs="Arial" w:eastAsia="Arial" w:hAnsi="Arial"/>
          <w:b/>
          <w:bCs/>
          <w:color w:val="2E75B6"/>
          <w:sz w:val="26"/>
          <w:szCs w:val="26"/>
        </w:rPr>
        <w:t xml:space="preserve">5.1 Revenue Projections — 3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26"/>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9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Starter subscriptions (5/15/30 clients)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210,000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630,000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1,260,000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Professional subscriptions (3/10/20 clients)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306,000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1,020,000</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2,040,000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 subscriptions (1/3/5 clients)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216,000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648,000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1,080,000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Onboarding fees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95,000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280,000</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490,000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Workshop facilitation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25,000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100,000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300,000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Custom development</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15,000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40,000</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110,000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REVENUE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867,000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2,718,000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5,280,000</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5.2 Cost Projections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26"/>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9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 (Railway + Netlify + APIs)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12,840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36,000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72,000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Stripe transaction fees (~1.5%)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13,005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40,770</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79,200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(part-time maintenance)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120,000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240,000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360,000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Support staff</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120,000</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240,000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 &amp; marketing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50,000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150,000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300,000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Legal &amp; compliance (POPIA, contracts)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30,000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40,000</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50,000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CSD, SITA, B-BBEE registration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25,000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10,000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10,000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TOTAL COSTS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250,845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636,770</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1,111,200</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26"/>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Profitability</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9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Gross revenue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867,000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2,718,000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5,280,000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Total costs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250,845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636,770</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 1,111,200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PROFIT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616,155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2,081,230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4,168,800</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Net margin</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71%</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77%</w:t>
            </w:r>
          </w:p>
        </w:tc>
        <w:tc>
          <w:tcPr>
            <w:tcW w:type="dxa" w:w="1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79%</w:t>
            </w:r>
          </w:p>
        </w:tc>
      </w:tr>
    </w:tbl>
    <w:p>
      <w:r>
        <w:br/>
      </w:r>
    </w:p>
    <w:p>
      <w:pPr>
        <w:pStyle w:val="Heading1"/>
        <w:pBdr>
          <w:bottom w:val="single" w:color="2E75B6" w:sz="6" w:space="1"/>
        </w:pBdr>
        <w:spacing w:after="160" w:before="360"/>
      </w:pPr>
      <w:r>
        <w:rPr>
          <w:rFonts w:ascii="Arial" w:cs="Arial" w:eastAsia="Arial" w:hAnsi="Arial"/>
          <w:b/>
          <w:bCs/>
          <w:color w:val="1F3864"/>
          <w:sz w:val="32"/>
          <w:szCs w:val="32"/>
        </w:rPr>
        <w:t xml:space="preserve">6. Go-to-Market Strategy</w:t>
      </w:r>
    </w:p>
    <w:p>
      <w:pPr>
        <w:pStyle w:val="Heading2"/>
        <w:spacing w:after="120" w:before="280"/>
      </w:pPr>
      <w:r>
        <w:rPr>
          <w:rFonts w:ascii="Arial" w:cs="Arial" w:eastAsia="Arial" w:hAnsi="Arial"/>
          <w:b/>
          <w:bCs/>
          <w:color w:val="2E75B6"/>
          <w:sz w:val="26"/>
          <w:szCs w:val="26"/>
        </w:rPr>
        <w:t xml:space="preserve">6.1 Phase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026"/>
      </w:tblGrid>
      <w:tr>
        <w:trPr>
          <w:tblHeader/>
        </w:trP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c>
          <w:tcPr>
            <w:tcW w:type="dxa" w:w="30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Outcome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Build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 – Month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FastAPI backend, MySQL deployment, React frontend, Stripe integration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Production-ready system on Railway + Netlify</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Phase 2: Pilot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Month 3–6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Identify anchor client (known contact in dept/municipality). Free or heavily discounted pilot.</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Case study, testimonial, product refinement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6–9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CSD registration, SITA listing, Stripe billing live, first paid clients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50,000+ MRR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Phase 4: Growth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Month 9–18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SALGA conference, referral programme, targeted LinkedIn outreach to ICT directors</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20+ clients, R 150,000+ MRR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 Scale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modules (PFMA compliance, vendor management), private sector offering, white-label to consultants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 400,000+ MRR</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6.2 Sales Channels</w:t>
      </w:r>
    </w:p>
    <w:p>
      <w:pPr>
        <w:pStyle w:val="ListParagraph"/>
        <w:numPr>
          <w:ilvl w:val="0"/>
          <w:numId w:val="2"/>
        </w:numPr>
        <w:spacing w:after="40" w:before="40"/>
      </w:pPr>
      <w:r>
        <w:rPr>
          <w:rFonts w:ascii="Arial" w:cs="Arial" w:eastAsia="Arial" w:hAnsi="Arial"/>
          <w:color w:val="222222"/>
          <w:sz w:val="22"/>
          <w:szCs w:val="22"/>
        </w:rPr>
        <w:t xml:space="preserve">Direct outreach — ICT Directors, CFOs, and CIOs at target entities via LinkedIn and referrals</w:t>
      </w:r>
    </w:p>
    <w:p>
      <w:pPr>
        <w:pStyle w:val="ListParagraph"/>
        <w:numPr>
          <w:ilvl w:val="0"/>
          <w:numId w:val="2"/>
        </w:numPr>
        <w:spacing w:after="40" w:before="40"/>
      </w:pPr>
      <w:r>
        <w:rPr>
          <w:rFonts w:ascii="Arial" w:cs="Arial" w:eastAsia="Arial" w:hAnsi="Arial"/>
          <w:color w:val="222222"/>
          <w:sz w:val="22"/>
          <w:szCs w:val="22"/>
        </w:rPr>
        <w:t xml:space="preserve">SALGA network — SA Local Government Association conferences and publications</w:t>
      </w:r>
    </w:p>
    <w:p>
      <w:pPr>
        <w:pStyle w:val="ListParagraph"/>
        <w:numPr>
          <w:ilvl w:val="0"/>
          <w:numId w:val="2"/>
        </w:numPr>
        <w:spacing w:after="40" w:before="40"/>
      </w:pPr>
      <w:r>
        <w:rPr>
          <w:rFonts w:ascii="Arial" w:cs="Arial" w:eastAsia="Arial" w:hAnsi="Arial"/>
          <w:color w:val="222222"/>
          <w:sz w:val="22"/>
          <w:szCs w:val="22"/>
        </w:rPr>
        <w:t xml:space="preserve">SITA procurement portal — listing accessible to all national departments</w:t>
      </w:r>
    </w:p>
    <w:p>
      <w:pPr>
        <w:pStyle w:val="ListParagraph"/>
        <w:numPr>
          <w:ilvl w:val="0"/>
          <w:numId w:val="2"/>
        </w:numPr>
        <w:spacing w:after="40" w:before="40"/>
      </w:pPr>
      <w:r>
        <w:rPr>
          <w:rFonts w:ascii="Arial" w:cs="Arial" w:eastAsia="Arial" w:hAnsi="Arial"/>
          <w:color w:val="222222"/>
          <w:sz w:val="22"/>
          <w:szCs w:val="22"/>
        </w:rPr>
        <w:t xml:space="preserve">Consulting partner channel — white-label or referral arrangements with ICT consulting firms</w:t>
      </w:r>
    </w:p>
    <w:p>
      <w:pPr>
        <w:pStyle w:val="ListParagraph"/>
        <w:numPr>
          <w:ilvl w:val="0"/>
          <w:numId w:val="2"/>
        </w:numPr>
        <w:spacing w:after="40" w:before="40"/>
      </w:pPr>
      <w:r>
        <w:rPr>
          <w:rFonts w:ascii="Arial" w:cs="Arial" w:eastAsia="Arial" w:hAnsi="Arial"/>
          <w:color w:val="222222"/>
          <w:sz w:val="22"/>
          <w:szCs w:val="22"/>
        </w:rPr>
        <w:t xml:space="preserve">Word of mouth — government officials move between entities; satisfied users carry the product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6.3 Critical Registrations (Start Immediately)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222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Registration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Lead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Central Supplier 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csd.gov.za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 — do first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 weeks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SARS Tax Clearance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sars.gov.za</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1–2 weeks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CIPC Company Registration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cipc.co.za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 if not done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weeks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B-BBEE Certificate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Accredited agency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High — affects scoring</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4–6 weeks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SITA ICT Supplier Listing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sita.co.za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for national depts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6–10 weeks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Netlify Pro plan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netlify.com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Medium — when first paid client</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Immediate</w:t>
            </w:r>
          </w:p>
        </w:tc>
      </w:tr>
    </w:tbl>
    <w:p>
      <w:r>
        <w:br/>
      </w:r>
    </w:p>
    <w:p>
      <w:pPr>
        <w:pStyle w:val="Heading1"/>
        <w:pBdr>
          <w:bottom w:val="single" w:color="2E75B6" w:sz="6" w:space="1"/>
        </w:pBdr>
        <w:spacing w:after="160" w:before="360"/>
      </w:pPr>
      <w:r>
        <w:rPr>
          <w:rFonts w:ascii="Arial" w:cs="Arial" w:eastAsia="Arial" w:hAnsi="Arial"/>
          <w:b/>
          <w:bCs/>
          <w:color w:val="1F3864"/>
          <w:sz w:val="32"/>
          <w:szCs w:val="32"/>
        </w:rPr>
        <w:t xml:space="preserve">7.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026"/>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0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Slow government procurement (6–18 month cycles)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Starter tier below R500k threshold. Month-to-month pilots. Build pipeline across 10+ prospects simultaneously.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Data residency objections (cloud hosting)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Enterprise tier includes on-premise Docker deployment. Railway offers SA/EU region selection. Prepare data processing agreement template.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POPIA compliance failure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Privacy impact assessment completed pre-launch. No personal data in AI calls. DPA signed with all cloud providers. POPIA officer designated.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Key person dependency (single developer)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Document all code thoroughly. Engage backup developer on retainer. Automate CI/CD so deployment is not manual.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Competitor enters market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case studies and referrals aggressively in Year 1. Lock in multi-year contracts. Continuous feature development.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Stripe not accepted by government finance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Offer EFT invoice billing as alternative payment method. Stripe is increasingly accepted for SaaS by SA government.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Scope creep from large client requests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Maintain strict change control. Custom development is a paid add-on, not included in subscription.</w:t>
            </w:r>
          </w:p>
        </w:tc>
      </w:tr>
    </w:tbl>
    <w:p>
      <w:r>
        <w:br/>
      </w:r>
    </w:p>
    <w:p>
      <w:pPr>
        <w:pStyle w:val="Heading1"/>
        <w:pBdr>
          <w:bottom w:val="single" w:color="2E75B6" w:sz="6" w:space="1"/>
        </w:pBdr>
        <w:spacing w:after="160" w:before="360"/>
      </w:pPr>
      <w:r>
        <w:rPr>
          <w:rFonts w:ascii="Arial" w:cs="Arial" w:eastAsia="Arial" w:hAnsi="Arial"/>
          <w:b/>
          <w:bCs/>
          <w:color w:val="1F3864"/>
          <w:sz w:val="32"/>
          <w:szCs w:val="32"/>
        </w:rPr>
        <w:t xml:space="preserve">8. Implementation Roadmap</w:t>
      </w:r>
    </w:p>
    <w:p>
      <w:pPr>
        <w:pStyle w:val="Heading2"/>
        <w:spacing w:after="120" w:before="280"/>
      </w:pPr>
      <w:r>
        <w:rPr>
          <w:rFonts w:ascii="Arial" w:cs="Arial" w:eastAsia="Arial" w:hAnsi="Arial"/>
          <w:b/>
          <w:bCs/>
          <w:color w:val="2E75B6"/>
          <w:sz w:val="26"/>
          <w:szCs w:val="26"/>
        </w:rPr>
        <w:t xml:space="preserve">8.1 Immediate Actions (Next 30 Days)</w:t>
      </w:r>
    </w:p>
    <w:p>
      <w:pPr>
        <w:pStyle w:val="ListParagraph"/>
        <w:numPr>
          <w:ilvl w:val="0"/>
          <w:numId w:val="3"/>
        </w:numPr>
        <w:spacing w:after="40" w:before="40"/>
      </w:pPr>
      <w:r>
        <w:rPr>
          <w:rFonts w:ascii="Arial" w:cs="Arial" w:eastAsia="Arial" w:hAnsi="Arial"/>
          <w:color w:val="222222"/>
          <w:sz w:val="22"/>
          <w:szCs w:val="22"/>
        </w:rPr>
        <w:t xml:space="preserve">Register on Central Supplier Database (csd.gov.za) — this has the longest lead time</w:t>
      </w:r>
    </w:p>
    <w:p>
      <w:pPr>
        <w:pStyle w:val="ListParagraph"/>
        <w:numPr>
          <w:ilvl w:val="0"/>
          <w:numId w:val="3"/>
        </w:numPr>
        <w:spacing w:after="40" w:before="40"/>
      </w:pPr>
      <w:r>
        <w:rPr>
          <w:rFonts w:ascii="Arial" w:cs="Arial" w:eastAsia="Arial" w:hAnsi="Arial"/>
          <w:color w:val="222222"/>
          <w:sz w:val="22"/>
          <w:szCs w:val="22"/>
        </w:rPr>
        <w:t xml:space="preserve">Obtain valid Tax Clearance Certificate from SARS</w:t>
      </w:r>
    </w:p>
    <w:p>
      <w:pPr>
        <w:pStyle w:val="ListParagraph"/>
        <w:numPr>
          <w:ilvl w:val="0"/>
          <w:numId w:val="3"/>
        </w:numPr>
        <w:spacing w:after="40" w:before="40"/>
      </w:pPr>
      <w:r>
        <w:rPr>
          <w:rFonts w:ascii="Arial" w:cs="Arial" w:eastAsia="Arial" w:hAnsi="Arial"/>
          <w:color w:val="222222"/>
          <w:sz w:val="22"/>
          <w:szCs w:val="22"/>
        </w:rPr>
        <w:t xml:space="preserve">Confirm B-BBEE level with accredited verification agency</w:t>
      </w:r>
    </w:p>
    <w:p>
      <w:pPr>
        <w:pStyle w:val="ListParagraph"/>
        <w:numPr>
          <w:ilvl w:val="0"/>
          <w:numId w:val="3"/>
        </w:numPr>
        <w:spacing w:after="40" w:before="40"/>
      </w:pPr>
      <w:r>
        <w:rPr>
          <w:rFonts w:ascii="Arial" w:cs="Arial" w:eastAsia="Arial" w:hAnsi="Arial"/>
          <w:color w:val="222222"/>
          <w:sz w:val="22"/>
          <w:szCs w:val="22"/>
        </w:rPr>
        <w:t xml:space="preserve">Complete FastAPI backend development and connect to MySQL schema</w:t>
      </w:r>
    </w:p>
    <w:p>
      <w:pPr>
        <w:pStyle w:val="ListParagraph"/>
        <w:numPr>
          <w:ilvl w:val="0"/>
          <w:numId w:val="3"/>
        </w:numPr>
        <w:spacing w:after="40" w:before="40"/>
      </w:pPr>
      <w:r>
        <w:rPr>
          <w:rFonts w:ascii="Arial" w:cs="Arial" w:eastAsia="Arial" w:hAnsi="Arial"/>
          <w:color w:val="222222"/>
          <w:sz w:val="22"/>
          <w:szCs w:val="22"/>
        </w:rPr>
        <w:t xml:space="preserve">Deploy to Railway and test all API endpoints</w:t>
      </w:r>
    </w:p>
    <w:p>
      <w:pPr>
        <w:pStyle w:val="ListParagraph"/>
        <w:numPr>
          <w:ilvl w:val="0"/>
          <w:numId w:val="3"/>
        </w:numPr>
        <w:spacing w:after="40" w:before="40"/>
      </w:pPr>
      <w:r>
        <w:rPr>
          <w:rFonts w:ascii="Arial" w:cs="Arial" w:eastAsia="Arial" w:hAnsi="Arial"/>
          <w:color w:val="222222"/>
          <w:sz w:val="22"/>
          <w:szCs w:val="22"/>
        </w:rPr>
        <w:t xml:space="preserve">Connect React frontend to Railway backend and deploy to Netlify</w:t>
      </w:r>
    </w:p>
    <w:p>
      <w:pPr>
        <w:pStyle w:val="ListParagraph"/>
        <w:numPr>
          <w:ilvl w:val="0"/>
          <w:numId w:val="3"/>
        </w:numPr>
        <w:spacing w:after="40" w:before="40"/>
      </w:pPr>
      <w:r>
        <w:rPr>
          <w:rFonts w:ascii="Arial" w:cs="Arial" w:eastAsia="Arial" w:hAnsi="Arial"/>
          <w:color w:val="222222"/>
          <w:sz w:val="22"/>
          <w:szCs w:val="22"/>
        </w:rPr>
        <w:t xml:space="preserve">Activate Stripe account and configure subscription products</w:t>
      </w:r>
    </w:p>
    <w:p>
      <w:pPr>
        <w:pStyle w:val="ListParagraph"/>
        <w:numPr>
          <w:ilvl w:val="0"/>
          <w:numId w:val="3"/>
        </w:numPr>
        <w:spacing w:after="40" w:before="40"/>
      </w:pPr>
      <w:r>
        <w:rPr>
          <w:rFonts w:ascii="Arial" w:cs="Arial" w:eastAsia="Arial" w:hAnsi="Arial"/>
          <w:color w:val="222222"/>
          <w:sz w:val="22"/>
          <w:szCs w:val="22"/>
        </w:rPr>
        <w:t xml:space="preserve">Identify and approach the first pilot client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8.2 System Completion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2226"/>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MySQL schema (adc_schema.sql)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GMT Dev</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SRS document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Complete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GMT Dev</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frontend — all 6 modules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(widget 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GMT Dev</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FastAPI backend — all endpoints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In progress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GMT Dev</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Month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Multi-tenant middleware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started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GMT Dev</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2</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Stripe billing integration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Not started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GMT Dev</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Month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T&amp;C acceptance screen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GMT Dev</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2</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Production deployment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Not started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GMT Dev</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Month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Pilot client onboarding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started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GMT BD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4</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8.3 Contact and Next Steps</w:t>
      </w:r>
    </w:p>
    <w:p>
      <w:pPr>
        <w:spacing w:after="80" w:before="60"/>
      </w:pPr>
      <w:r>
        <w:rPr>
          <w:rFonts w:ascii="Arial" w:cs="Arial" w:eastAsia="Arial" w:hAnsi="Arial"/>
          <w:color w:val="222222"/>
          <w:sz w:val="22"/>
          <w:szCs w:val="22"/>
        </w:rPr>
        <w:t xml:space="preserve">To discuss partnership, licensing, or procurement opportunities: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6626"/>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GMT Technology Solutions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6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[contact@gmttech.co.za]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[+27 XX XXX XXXX]</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Website</w:t>
            </w:r>
          </w:p>
        </w:tc>
        <w:tc>
          <w:tcPr>
            <w:tcW w:type="dxa" w:w="6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[www.gmttech.co.za]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 LinkedIn page]</w:t>
            </w:r>
          </w:p>
        </w:tc>
      </w:tr>
    </w:tbl>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Confidential | GMT Technology Solutions | April 2026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555555"/>
        <w:sz w:val="18"/>
        <w:szCs w:val="18"/>
      </w:rPr>
      <w:t xml:space="preserve">Application Due Diligence Canvas — Business Plan	GMT Technology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 Business Plan</dc:title>
  <dc:creator>GMT Technology Solutions</dc:creator>
  <cp:lastModifiedBy>Un-named</cp:lastModifiedBy>
  <cp:revision>1</cp:revision>
  <dcterms:created xsi:type="dcterms:W3CDTF">2026-04-25T18:49:27.621Z</dcterms:created>
  <dcterms:modified xsi:type="dcterms:W3CDTF">2026-04-25T18:49:27.622Z</dcterms:modified>
</cp:coreProperties>
</file>

<file path=docProps/custom.xml><?xml version="1.0" encoding="utf-8"?>
<Properties xmlns="http://schemas.openxmlformats.org/officeDocument/2006/custom-properties" xmlns:vt="http://schemas.openxmlformats.org/officeDocument/2006/docPropsVTypes"/>
</file>