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rFonts w:ascii="Calibri" w:cs="Calibri" w:eastAsia="Calibri" w:hAnsi="Calibri"/>
          <w:b/>
          <w:bCs/>
          <w:color w:val="2A4D69"/>
          <w:sz w:val="64"/>
          <w:szCs w:val="64"/>
        </w:rPr>
        <w:t xml:space="preserve">TATAR-Kuber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1F6F54"/>
          <w:sz w:val="22"/>
          <w:szCs w:val="22"/>
        </w:rPr>
        <w:t xml:space="preserve">Kubernetes Security Posture Assessment Framework</w:t>
      </w:r>
    </w:p>
    <w:p>
      <w:pPr>
        <w:pBdr>
          <w:bottom w:val="single" w:color="CCCCCC" w:sz="6" w:space="1"/>
        </w:pBdr>
        <w:spacing w:after="60" w:before="60"/>
      </w:pPr>
      <w:r>
        <w:rPr>
          <w:rFonts w:ascii="Calibri" w:cs="Calibri" w:eastAsia="Calibri" w:hAnsi="Calibri"/>
        </w:rPr>
        <w:t xml:space="preserve"/>
      </w:r>
    </w:p>
    <w:p>
      <w:pPr>
        <w:spacing w:after="40" w:before="200"/>
        <w:jc w:val="center"/>
      </w:pPr>
      <w:r>
        <w:rPr>
          <w:rFonts w:ascii="Calibri" w:cs="Calibri" w:eastAsia="Calibri" w:hAnsi="Calibri"/>
          <w:b/>
          <w:bCs/>
          <w:color w:val="888888"/>
          <w:sz w:val="22"/>
          <w:szCs w:val="22"/>
        </w:rPr>
        <w:t xml:space="preserve">Engineering Document #2</w:t>
      </w:r>
    </w:p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Canonical Control Mapping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Scanner rule → TATAR canonical control — dedup-ийн суурь</w:t>
      </w:r>
    </w:p>
    <w:p>
      <w:pPr>
        <w:spacing w:after="20" w:before="1200"/>
        <w:jc w:val="center"/>
      </w:pPr>
      <w:r>
        <w:rPr>
          <w:rFonts w:ascii="Calibri" w:cs="Calibri" w:eastAsia="Calibri" w:hAnsi="Calibri"/>
          <w:b/>
          <w:bCs/>
          <w:color w:val="1F6F54"/>
          <w:sz w:val="20"/>
          <w:szCs w:val="20"/>
        </w:rPr>
        <w:t>Version 1.1  ·  кодтой тулгасан (2026-09-07)</w:t>
      </w:r>
    </w:p>
    <w:p>
      <w:pPr>
        <w:spacing w:after="10"/>
        <w:jc w:val="center"/>
      </w:pPr>
      <w:r>
        <w:rPr>
          <w:rFonts w:ascii="Calibri" w:cs="Calibri" w:eastAsia="Calibri" w:hAnsi="Calibri"/>
          <w:color w:val="777777"/>
          <w:sz w:val="18"/>
          <w:szCs w:val="18"/>
        </w:rPr>
        <w:t xml:space="preserve">Professional Security Service &amp; Audit LLC</w:t>
      </w:r>
    </w:p>
    <w:p>
      <w:pPr>
        <w:spacing w:after="10"/>
        <w:jc w:val="center"/>
      </w:pPr>
      <w:r>
        <w:rPr>
          <w:rFonts w:ascii="Calibri" w:cs="Calibri" w:eastAsia="Calibri" w:hAnsi="Calibri"/>
          <w:color w:val="777777"/>
          <w:sz w:val="18"/>
          <w:szCs w:val="18"/>
        </w:rPr>
        <w:t xml:space="preserve">2026-07-24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1. Зорилго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Deduplication-ийн жинхэнэ гол нь энэ баримт юм. Trivy, Kubescape, Checkov, Popeye нэг л асуудлыг тус тусын дугаар/нэрээр гаргадаг. String таарч дедуп хийвэл найдваргүй. Тиймээс scanner бүрийн rule ID-г TATAR-ийн нэг canonical control ID руу зурсан хөрвүүлэлтийн бүртгэл (registry) хэрэгтэй. Энэ бол TATAR-Kuber-ийн хамгийн том оюуны өмч (knowledge asset) бөгөөд ирээдүйд TATAR Security Knowledge Base болж өргөжинө.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2. Canonical control ID схем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Canonical ID нь TATAR-&lt;CATEGORY&gt;-NNN хэлбэртэй. Ангилал бүр өөрийн prefix-тэй бөгөөд эхнээс нь бүрэн тогтоогдсон. 1000+ rule болоход ч эмх цэгцтэй байлгах зорилготой.</w:t>
      </w:r>
    </w:p>
    <w:tbl>
      <w:tblPr>
        <w:tblW w:type="dxa" w:w="90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1500"/>
        <w:gridCol w:w="2200"/>
        <w:gridCol w:w="5300"/>
      </w:tblGrid>
      <w:tr>
        <w:trPr>
          <w:tblHeader/>
        </w:trPr>
        <w:tc>
          <w:tcPr>
            <w:tcW w:type="dxa" w:w="15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Prefix</w:t>
            </w:r>
          </w:p>
        </w:tc>
        <w:tc>
          <w:tcPr>
            <w:tcW w:type="dxa" w:w="22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Ангилал</w:t>
            </w:r>
          </w:p>
        </w:tc>
        <w:tc>
          <w:tcPr>
            <w:tcW w:type="dxa" w:w="53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Хамрах хүрээ (жишээ)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TATAR-CON</w:t>
            </w:r>
          </w:p>
        </w:tc>
        <w:tc>
          <w:tcPr>
            <w:tcW w:type="dxa" w:w="22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Container Security</w:t>
            </w:r>
          </w:p>
        </w:tc>
        <w:tc>
          <w:tcPr>
            <w:tcW w:type="dxa" w:w="5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privileged, runAsRoot, capability abuse, hostPID/hostNetwork, readOnlyRootFilesystem</w:t>
            </w:r>
          </w:p>
        </w:tc>
      </w:tr>
      <w:tr>
        <w:tc>
          <w:tcPr>
            <w:tcW w:type="dxa" w:w="15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TATAR-RBAC</w:t>
            </w:r>
          </w:p>
        </w:tc>
        <w:tc>
          <w:tcPr>
            <w:tcW w:type="dxa" w:w="22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RBAC Security</w:t>
            </w:r>
          </w:p>
        </w:tc>
        <w:tc>
          <w:tcPr>
            <w:tcW w:type="dxa" w:w="53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cluster-admin abuse, wildcard verbs/resources, excessive bindings, escalate/bind эрх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TATAR-NET</w:t>
            </w:r>
          </w:p>
        </w:tc>
        <w:tc>
          <w:tcPr>
            <w:tcW w:type="dxa" w:w="22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Network Security</w:t>
            </w:r>
          </w:p>
        </w:tc>
        <w:tc>
          <w:tcPr>
            <w:tcW w:type="dxa" w:w="5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NetworkPolicy байхгүй, hostPort, LoadBalancer ил, ingress TLS дутуу</w:t>
            </w:r>
          </w:p>
        </w:tc>
      </w:tr>
      <w:tr>
        <w:tc>
          <w:tcPr>
            <w:tcW w:type="dxa" w:w="15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TATAR-IMG</w:t>
            </w:r>
          </w:p>
        </w:tc>
        <w:tc>
          <w:tcPr>
            <w:tcW w:type="dxa" w:w="22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Image Security</w:t>
            </w:r>
          </w:p>
        </w:tc>
        <w:tc>
          <w:tcPr>
            <w:tcW w:type="dxa" w:w="53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CVE (OS/library), latest tag, unsigned image, эмзэг base image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TATAR-SEC</w:t>
            </w:r>
          </w:p>
        </w:tc>
        <w:tc>
          <w:tcPr>
            <w:tcW w:type="dxa" w:w="22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Secret Management</w:t>
            </w:r>
          </w:p>
        </w:tc>
        <w:tc>
          <w:tcPr>
            <w:tcW w:type="dxa" w:w="5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hardcoded secret, задарсан token, env доторх нууц, mounted secret эрсдэл</w:t>
            </w:r>
          </w:p>
        </w:tc>
      </w:tr>
      <w:tr>
        <w:tc>
          <w:tcPr>
            <w:tcW w:type="dxa" w:w="15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TATAR-OPS</w:t>
            </w:r>
          </w:p>
        </w:tc>
        <w:tc>
          <w:tcPr>
            <w:tcW w:type="dxa" w:w="22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Operational Security</w:t>
            </w:r>
          </w:p>
        </w:tc>
        <w:tc>
          <w:tcPr>
            <w:tcW w:type="dxa" w:w="53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probe дутуу, resource limit дутуу, orphan/dead service, broken reference (Popeye)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3. Naming ба амьдралын мөчлөгийн дүрэм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/>
          <w:bCs/>
        </w:rPr>
        <w:t xml:space="preserve">Формат: </w:t>
      </w:r>
      <w:r>
        <w:rPr>
          <w:rFonts w:ascii="Consolas" w:cs="Consolas" w:eastAsia="Consolas" w:hAnsi="Consolas"/>
        </w:rPr>
        <w:t xml:space="preserve">TATAR-&lt;CAT&gt;-NNN</w:t>
      </w:r>
      <w:r>
        <w:rPr>
          <w:rFonts w:ascii="Calibri" w:cs="Calibri" w:eastAsia="Calibri" w:hAnsi="Calibri"/>
        </w:rPr>
        <w:t xml:space="preserve">, NNN нь 3 оронтой дугаар (001-999). Шаардвал 4 орон болгож өргөтгөнө.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/>
          <w:bCs/>
        </w:rPr>
        <w:t xml:space="preserve">Тогтвортой байдал: </w:t>
      </w:r>
      <w:r>
        <w:rPr>
          <w:rFonts w:ascii="Calibri" w:cs="Calibri" w:eastAsia="Calibri" w:hAnsi="Calibri"/>
        </w:rPr>
        <w:t xml:space="preserve">ID нэг олгогдсон бол ХЭЗЭЭ Ч дахин ашиглагдахгүй, дугаар нь өөрчлөгдөхгүй. ID бол гэрээ — SARIF, history, diff бүгд түүн дээр тогтдог.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/>
          <w:bCs/>
        </w:rPr>
        <w:t xml:space="preserve">Deprecation: </w:t>
      </w:r>
      <w:r>
        <w:rPr>
          <w:rFonts w:ascii="Calibri" w:cs="Calibri" w:eastAsia="Calibri" w:hAnsi="Calibri"/>
        </w:rPr>
        <w:t xml:space="preserve">Хуучирсан control-ыг устгахгүй, зөвхөн </w:t>
      </w:r>
      <w:r>
        <w:rPr>
          <w:rFonts w:ascii="Consolas" w:cs="Consolas" w:eastAsia="Consolas" w:hAnsi="Consolas"/>
        </w:rPr>
        <w:t xml:space="preserve">status: deprecated</w:t>
      </w:r>
      <w:r>
        <w:rPr>
          <w:rFonts w:ascii="Calibri" w:cs="Calibri" w:eastAsia="Calibri" w:hAnsi="Calibri"/>
        </w:rPr>
        <w:t xml:space="preserve"> төлөв авч, </w:t>
      </w:r>
      <w:r>
        <w:rPr>
          <w:rFonts w:ascii="Consolas" w:cs="Consolas" w:eastAsia="Consolas" w:hAnsi="Consolas"/>
        </w:rPr>
        <w:t xml:space="preserve">superseded_by</w:t>
      </w:r>
      <w:r>
        <w:rPr>
          <w:rFonts w:ascii="Calibri" w:cs="Calibri" w:eastAsia="Calibri" w:hAnsi="Calibri"/>
        </w:rPr>
        <w:t xml:space="preserve"> талбараар шинэ ID руу зааж болно.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/>
          <w:bCs/>
        </w:rPr>
        <w:t xml:space="preserve">Эх сурвалж: </w:t>
      </w:r>
      <w:r>
        <w:rPr>
          <w:rFonts w:ascii="Calibri" w:cs="Calibri" w:eastAsia="Calibri" w:hAnsi="Calibri"/>
        </w:rPr>
        <w:t xml:space="preserve">Бүх canonical control нэг файлд — </w:t>
      </w:r>
      <w:r>
        <w:rPr>
          <w:rFonts w:ascii="Consolas" w:cs="Consolas" w:eastAsia="Consolas" w:hAnsi="Consolas"/>
        </w:rPr>
        <w:t xml:space="preserve">schema/canonical-controls.yaml</w:t>
      </w:r>
      <w:r>
        <w:rPr>
          <w:rFonts w:ascii="Calibri" w:cs="Calibri" w:eastAsia="Calibri" w:hAnsi="Calibri"/>
        </w:rPr>
        <w:t xml:space="preserve"> — төвлөрч, кодоос generate хийгддэг.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4. canonical-controls.yaml — бүтэц</w:t>
      </w:r>
    </w:p>
    <w:p>
      <w:pPr>
        <w:pBdr>
          <w:left w:val="single" w:color="1F6F54" w:sz="18" w:space="6"/>
        </w:pBdr>
        <w:shd w:fill="F4F4F4" w:color="auto" w:val="clear"/>
        <w:spacing w:after="0" w:before="6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# schema/canonical-controls.yaml — single source of truth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controls: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- id: TATAR-CON-001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title: { en: "Privileged container enabled", mn: "Эрх нэмэгдүүлсэн (privileged) контейнер" }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category: "Container Security"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type: misconfiguration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default_severity: HIGH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status: active               # active | deprecated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references: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- "CIS-5.2.1"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- "MITRE-T1610"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mappings: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trivy:     ["AVD-KSV-0017"]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kubescape: ["C-0057"]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checkov:   ["CKV_K8S_16"]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popeye:    []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- id: TATAR-CON-002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title: { en: "Container running as root", mn: "Root эрхээр ажиллаж буй контейнер" }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category: "Container Security"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type: misconfiguration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default_severity: MEDIUM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status: active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mappings: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trivy:     ["AVD-KSV-0012"]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kubescape: ["C-0013"]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checkov:   ["CKV_K8S_23"]</w:t>
      </w:r>
    </w:p>
    <w:p>
      <w:pPr>
        <w:pBdr>
          <w:left w:val="single" w:color="1F6F54" w:sz="18" w:space="6"/>
        </w:pBdr>
        <w:shd w:fill="F4F4F4" w:color="auto" w:val="clear"/>
        <w:spacing w:after="14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popeye:    []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5. Хөрвүүлэлтийн матриц — жишээ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>Дараах хүснэгт нь түгээмэл control-уудын scanner rule → canonical зураглалыг харуулна (бодит registry-ээс шууд уншигдсан, 2026-09-07). Бүрэн жагсаалт нь schema/canonical-controls.yaml — тэр бол single source of truth. ЧУХАЛ: scanner-ийн rule ID нь тогтвортой ч тухайн ID ЮУ шалгадаг нь хувилбар хооронд өөрчлөгддөг (ж: Popeye 0.22-д POP-101 = ":latest", POP-106 = "resources/limits"; өмнөх хувилбарт өөр байсан). Тиймээс rule нэмэх/солиход утгыг upstream-ийн эх сурвалжтай тулгаж батлах ба internal/canonical-ийн meaning-lock тестэд бүртгэх нь ЗААВАЛ.</w:t>
      </w:r>
    </w:p>
    <w:tbl>
      <w:tblPr>
        <w:tblW w:type="dxa" w:w="90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1450"/>
        <w:gridCol w:w="1750"/>
        <w:gridCol w:w="1350"/>
        <w:gridCol w:w="1150"/>
        <w:gridCol w:w="1250"/>
        <w:gridCol w:w="1050"/>
        <w:gridCol w:w="1000"/>
      </w:tblGrid>
      <w:tr>
        <w:trPr>
          <w:tblHeader/>
        </w:trPr>
        <w:tc>
          <w:tcPr>
            <w:tcW w:type="dxa" w:w="145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Canonical ID</w:t>
            </w:r>
          </w:p>
        </w:tc>
        <w:tc>
          <w:tcPr>
            <w:tcW w:type="dxa" w:w="175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Гарчиг</w:t>
            </w:r>
          </w:p>
        </w:tc>
        <w:tc>
          <w:tcPr>
            <w:tcW w:type="dxa" w:w="135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Trivy</w:t>
            </w:r>
          </w:p>
        </w:tc>
        <w:tc>
          <w:tcPr>
            <w:tcW w:type="dxa" w:w="115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Kubescape</w:t>
            </w:r>
          </w:p>
        </w:tc>
        <w:tc>
          <w:tcPr>
            <w:tcW w:type="dxa" w:w="125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Checkov</w:t>
            </w:r>
          </w:p>
        </w:tc>
        <w:tc>
          <w:tcPr>
            <w:tcW w:type="dxa" w:w="105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Popeye</w:t>
            </w:r>
          </w:p>
        </w:tc>
        <w:tc>
          <w:tcPr>
            <w:tcW w:type="dxa" w:w="10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W w:type="dxa" w:w="14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TATAR-CON-001</w:t>
            </w:r>
          </w:p>
        </w:tc>
        <w:tc>
          <w:tcPr>
            <w:tcW w:type="dxa" w:w="17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Privileged container enabled</w:t>
            </w:r>
          </w:p>
        </w:tc>
        <w:tc>
          <w:tcPr>
            <w:tcW w:type="dxa" w:w="13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AVD-KSV0017</w:t>
            </w:r>
          </w:p>
        </w:tc>
        <w:tc>
          <w:tcPr>
            <w:tcW w:type="dxa" w:w="11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C-0057</w:t>
            </w:r>
          </w:p>
        </w:tc>
        <w:tc>
          <w:tcPr>
            <w:tcW w:type="dxa" w:w="12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CKV_K8S_16</w:t>
            </w:r>
          </w:p>
        </w:tc>
        <w:tc>
          <w:tcPr>
            <w:tcW w:type="dxa" w:w="10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—</w:t>
            </w:r>
          </w:p>
        </w:tc>
        <w:tc>
          <w:tcPr>
            <w:tcW w:type="dxa" w:w="1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HIGH</w:t>
            </w:r>
          </w:p>
        </w:tc>
      </w:tr>
      <w:tr>
        <w:tc>
          <w:tcPr>
            <w:tcW w:type="dxa" w:w="14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TATAR-CON-002</w:t>
            </w:r>
          </w:p>
        </w:tc>
        <w:tc>
          <w:tcPr>
            <w:tcW w:type="dxa" w:w="17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Container running as root</w:t>
            </w:r>
          </w:p>
        </w:tc>
        <w:tc>
          <w:tcPr>
            <w:tcW w:type="dxa" w:w="13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AVD-KSV0012</w:t>
            </w:r>
          </w:p>
        </w:tc>
        <w:tc>
          <w:tcPr>
            <w:tcW w:type="dxa" w:w="11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C-0013</w:t>
            </w:r>
          </w:p>
        </w:tc>
        <w:tc>
          <w:tcPr>
            <w:tcW w:type="dxa" w:w="12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CKV_K8S_23</w:t>
            </w:r>
          </w:p>
        </w:tc>
        <w:tc>
          <w:tcPr>
            <w:tcW w:type="dxa" w:w="10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POP-302, POP-306</w:t>
            </w:r>
          </w:p>
        </w:tc>
        <w:tc>
          <w:tcPr>
            <w:tcW w:type="dxa" w:w="10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MEDIUM</w:t>
            </w:r>
          </w:p>
        </w:tc>
      </w:tr>
      <w:tr>
        <w:tc>
          <w:tcPr>
            <w:tcW w:type="dxa" w:w="14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TATAR-CON-003</w:t>
            </w:r>
          </w:p>
        </w:tc>
        <w:tc>
          <w:tcPr>
            <w:tcW w:type="dxa" w:w="17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Allow privilege escalation</w:t>
            </w:r>
          </w:p>
        </w:tc>
        <w:tc>
          <w:tcPr>
            <w:tcW w:type="dxa" w:w="13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AVD-KSV0001</w:t>
            </w:r>
          </w:p>
        </w:tc>
        <w:tc>
          <w:tcPr>
            <w:tcW w:type="dxa" w:w="11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C-0016</w:t>
            </w:r>
          </w:p>
        </w:tc>
        <w:tc>
          <w:tcPr>
            <w:tcW w:type="dxa" w:w="12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CKV_K8S_20</w:t>
            </w:r>
          </w:p>
        </w:tc>
        <w:tc>
          <w:tcPr>
            <w:tcW w:type="dxa" w:w="10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—</w:t>
            </w:r>
          </w:p>
        </w:tc>
        <w:tc>
          <w:tcPr>
            <w:tcW w:type="dxa" w:w="1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HIGH</w:t>
            </w:r>
          </w:p>
        </w:tc>
      </w:tr>
      <w:tr>
        <w:tc>
          <w:tcPr>
            <w:tcW w:type="dxa" w:w="14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TATAR-CON-004</w:t>
            </w:r>
          </w:p>
        </w:tc>
        <w:tc>
          <w:tcPr>
            <w:tcW w:type="dxa" w:w="17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Dangerous capabilities added</w:t>
            </w:r>
          </w:p>
        </w:tc>
        <w:tc>
          <w:tcPr>
            <w:tcW w:type="dxa" w:w="13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AVD-KSV0004, AVD-KSV0003, AVD-KSV0106</w:t>
            </w:r>
          </w:p>
        </w:tc>
        <w:tc>
          <w:tcPr>
            <w:tcW w:type="dxa" w:w="11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C-0046</w:t>
            </w:r>
          </w:p>
        </w:tc>
        <w:tc>
          <w:tcPr>
            <w:tcW w:type="dxa" w:w="12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CKV_K8S_25, CKV_K8S_28, CKV_K8S_37, CKV_K8S_39</w:t>
            </w:r>
          </w:p>
        </w:tc>
        <w:tc>
          <w:tcPr>
            <w:tcW w:type="dxa" w:w="10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—</w:t>
            </w:r>
          </w:p>
        </w:tc>
        <w:tc>
          <w:tcPr>
            <w:tcW w:type="dxa" w:w="10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HIGH</w:t>
            </w:r>
          </w:p>
        </w:tc>
      </w:tr>
      <w:tr>
        <w:tc>
          <w:tcPr>
            <w:tcW w:type="dxa" w:w="14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TATAR-CON-010</w:t>
            </w:r>
          </w:p>
        </w:tc>
        <w:tc>
          <w:tcPr>
            <w:tcW w:type="dxa" w:w="17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Missing CPU/memory limits</w:t>
            </w:r>
          </w:p>
        </w:tc>
        <w:tc>
          <w:tcPr>
            <w:tcW w:type="dxa" w:w="13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AVD-KSV0011, AVD-KSV0015, AVD-KSV0016, AVD-KSV0018</w:t>
            </w:r>
          </w:p>
        </w:tc>
        <w:tc>
          <w:tcPr>
            <w:tcW w:type="dxa" w:w="11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C-0009, C-0270, C-0271</w:t>
            </w:r>
          </w:p>
        </w:tc>
        <w:tc>
          <w:tcPr>
            <w:tcW w:type="dxa" w:w="12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CKV_K8S_10, CKV_K8S_11, CKV_K8S_12, CKV_K8S_13</w:t>
            </w:r>
          </w:p>
        </w:tc>
        <w:tc>
          <w:tcPr>
            <w:tcW w:type="dxa" w:w="10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POP-106, POP-107</w:t>
            </w:r>
          </w:p>
        </w:tc>
        <w:tc>
          <w:tcPr>
            <w:tcW w:type="dxa" w:w="1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LOW</w:t>
            </w:r>
          </w:p>
        </w:tc>
      </w:tr>
      <w:tr>
        <w:tc>
          <w:tcPr>
            <w:tcW w:type="dxa" w:w="14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TATAR-RBAC-001</w:t>
            </w:r>
          </w:p>
        </w:tc>
        <w:tc>
          <w:tcPr>
            <w:tcW w:type="dxa" w:w="17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cluster-admin binding overuse</w:t>
            </w:r>
          </w:p>
        </w:tc>
        <w:tc>
          <w:tcPr>
            <w:tcW w:type="dxa" w:w="13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—</w:t>
            </w:r>
          </w:p>
        </w:tc>
        <w:tc>
          <w:tcPr>
            <w:tcW w:type="dxa" w:w="11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C-0035, C-0272, C-0267</w:t>
            </w:r>
          </w:p>
        </w:tc>
        <w:tc>
          <w:tcPr>
            <w:tcW w:type="dxa" w:w="12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—</w:t>
            </w:r>
          </w:p>
        </w:tc>
        <w:tc>
          <w:tcPr>
            <w:tcW w:type="dxa" w:w="10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—</w:t>
            </w:r>
          </w:p>
        </w:tc>
        <w:tc>
          <w:tcPr>
            <w:tcW w:type="dxa" w:w="10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CRITICAL</w:t>
            </w:r>
          </w:p>
        </w:tc>
      </w:tr>
      <w:tr>
        <w:tc>
          <w:tcPr>
            <w:tcW w:type="dxa" w:w="14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TATAR-RBAC-002</w:t>
            </w:r>
          </w:p>
        </w:tc>
        <w:tc>
          <w:tcPr>
            <w:tcW w:type="dxa" w:w="17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Wildcard permissions in role</w:t>
            </w:r>
          </w:p>
        </w:tc>
        <w:tc>
          <w:tcPr>
            <w:tcW w:type="dxa" w:w="13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—</w:t>
            </w:r>
          </w:p>
        </w:tc>
        <w:tc>
          <w:tcPr>
            <w:tcW w:type="dxa" w:w="11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C-0187</w:t>
            </w:r>
          </w:p>
        </w:tc>
        <w:tc>
          <w:tcPr>
            <w:tcW w:type="dxa" w:w="12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CKV_K8S_49</w:t>
            </w:r>
          </w:p>
        </w:tc>
        <w:tc>
          <w:tcPr>
            <w:tcW w:type="dxa" w:w="10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—</w:t>
            </w:r>
          </w:p>
        </w:tc>
        <w:tc>
          <w:tcPr>
            <w:tcW w:type="dxa" w:w="1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HIGH</w:t>
            </w:r>
          </w:p>
        </w:tc>
      </w:tr>
      <w:tr>
        <w:tc>
          <w:tcPr>
            <w:tcW w:type="dxa" w:w="14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TATAR-NET-001</w:t>
            </w:r>
          </w:p>
        </w:tc>
        <w:tc>
          <w:tcPr>
            <w:tcW w:type="dxa" w:w="17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Missing NetworkPolicy</w:t>
            </w:r>
          </w:p>
        </w:tc>
        <w:tc>
          <w:tcPr>
            <w:tcW w:type="dxa" w:w="13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AVD-KSV0038</w:t>
            </w:r>
          </w:p>
        </w:tc>
        <w:tc>
          <w:tcPr>
            <w:tcW w:type="dxa" w:w="11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C-0260</w:t>
            </w:r>
          </w:p>
        </w:tc>
        <w:tc>
          <w:tcPr>
            <w:tcW w:type="dxa" w:w="12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CKV2_K8S_6</w:t>
            </w:r>
          </w:p>
        </w:tc>
        <w:tc>
          <w:tcPr>
            <w:tcW w:type="dxa" w:w="10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POP-1204</w:t>
            </w:r>
          </w:p>
        </w:tc>
        <w:tc>
          <w:tcPr>
            <w:tcW w:type="dxa" w:w="10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MEDIUM</w:t>
            </w:r>
          </w:p>
        </w:tc>
      </w:tr>
      <w:tr>
        <w:tc>
          <w:tcPr>
            <w:tcW w:type="dxa" w:w="14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TATAR-IMG-001</w:t>
            </w:r>
          </w:p>
        </w:tc>
        <w:tc>
          <w:tcPr>
            <w:tcW w:type="dxa" w:w="17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Critical CVE in container image</w:t>
            </w:r>
          </w:p>
        </w:tc>
        <w:tc>
          <w:tcPr>
            <w:tcW w:type="dxa" w:w="13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CVE-*</w:t>
            </w:r>
          </w:p>
        </w:tc>
        <w:tc>
          <w:tcPr>
            <w:tcW w:type="dxa" w:w="11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—</w:t>
            </w:r>
          </w:p>
        </w:tc>
        <w:tc>
          <w:tcPr>
            <w:tcW w:type="dxa" w:w="12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—</w:t>
            </w:r>
          </w:p>
        </w:tc>
        <w:tc>
          <w:tcPr>
            <w:tcW w:type="dxa" w:w="10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—</w:t>
            </w:r>
          </w:p>
        </w:tc>
        <w:tc>
          <w:tcPr>
            <w:tcW w:type="dxa" w:w="1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CRITICAL</w:t>
            </w:r>
          </w:p>
        </w:tc>
      </w:tr>
      <w:tr>
        <w:tc>
          <w:tcPr>
            <w:tcW w:type="dxa" w:w="14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TATAR-IMG-003</w:t>
            </w:r>
          </w:p>
        </w:tc>
        <w:tc>
          <w:tcPr>
            <w:tcW w:type="dxa" w:w="17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Image uses :latest tag</w:t>
            </w:r>
          </w:p>
        </w:tc>
        <w:tc>
          <w:tcPr>
            <w:tcW w:type="dxa" w:w="13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AVD-KSV0013</w:t>
            </w:r>
          </w:p>
        </w:tc>
        <w:tc>
          <w:tcPr>
            <w:tcW w:type="dxa" w:w="11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—</w:t>
            </w:r>
          </w:p>
        </w:tc>
        <w:tc>
          <w:tcPr>
            <w:tcW w:type="dxa" w:w="12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CKV_K8S_14</w:t>
            </w:r>
          </w:p>
        </w:tc>
        <w:tc>
          <w:tcPr>
            <w:tcW w:type="dxa" w:w="10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POP-100, POP-101</w:t>
            </w:r>
          </w:p>
        </w:tc>
        <w:tc>
          <w:tcPr>
            <w:tcW w:type="dxa" w:w="10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MEDIUM</w:t>
            </w:r>
          </w:p>
        </w:tc>
      </w:tr>
      <w:tr>
        <w:tc>
          <w:tcPr>
            <w:tcW w:type="dxa" w:w="14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TATAR-SEC-001</w:t>
            </w:r>
          </w:p>
        </w:tc>
        <w:tc>
          <w:tcPr>
            <w:tcW w:type="dxa" w:w="17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Secret exposed in environment variable</w:t>
            </w:r>
          </w:p>
        </w:tc>
        <w:tc>
          <w:tcPr>
            <w:tcW w:type="dxa" w:w="13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secret</w:t>
            </w:r>
          </w:p>
        </w:tc>
        <w:tc>
          <w:tcPr>
            <w:tcW w:type="dxa" w:w="11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C-0012</w:t>
            </w:r>
          </w:p>
        </w:tc>
        <w:tc>
          <w:tcPr>
            <w:tcW w:type="dxa" w:w="12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CKV_K8S_35</w:t>
            </w:r>
          </w:p>
        </w:tc>
        <w:tc>
          <w:tcPr>
            <w:tcW w:type="dxa" w:w="105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—</w:t>
            </w:r>
          </w:p>
        </w:tc>
        <w:tc>
          <w:tcPr>
            <w:tcW w:type="dxa" w:w="1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HIGH</w:t>
            </w:r>
          </w:p>
        </w:tc>
      </w:tr>
      <w:tr>
        <w:tc>
          <w:tcPr>
            <w:tcW w:type="dxa" w:w="14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TATAR-OPS-001</w:t>
            </w:r>
          </w:p>
        </w:tc>
        <w:tc>
          <w:tcPr>
            <w:tcW w:type="dxa" w:w="17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Missing readiness probe</w:t>
            </w:r>
          </w:p>
        </w:tc>
        <w:tc>
          <w:tcPr>
            <w:tcW w:type="dxa" w:w="13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—</w:t>
            </w:r>
          </w:p>
        </w:tc>
        <w:tc>
          <w:tcPr>
            <w:tcW w:type="dxa" w:w="11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C-0018</w:t>
            </w:r>
          </w:p>
        </w:tc>
        <w:tc>
          <w:tcPr>
            <w:tcW w:type="dxa" w:w="12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CKV_K8S_9</w:t>
            </w:r>
          </w:p>
        </w:tc>
        <w:tc>
          <w:tcPr>
            <w:tcW w:type="dxa" w:w="10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POP-102</w:t>
            </w:r>
          </w:p>
        </w:tc>
        <w:tc>
          <w:tcPr>
            <w:tcW w:type="dxa" w:w="10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LOW</w:t>
            </w:r>
          </w:p>
        </w:tc>
      </w:tr>
      <w:tr>
        <w:tc>
          <w:tcPr>
            <w:tcW w:type="dxa" w:w="14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TATAR-OPS-003</w:t>
            </w:r>
          </w:p>
        </w:tc>
        <w:tc>
          <w:tcPr>
            <w:tcW w:type="dxa" w:w="17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Orphan / dead service (no endpoints)</w:t>
            </w:r>
          </w:p>
        </w:tc>
        <w:tc>
          <w:tcPr>
            <w:tcW w:type="dxa" w:w="13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—</w:t>
            </w:r>
          </w:p>
        </w:tc>
        <w:tc>
          <w:tcPr>
            <w:tcW w:type="dxa" w:w="11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—</w:t>
            </w:r>
          </w:p>
        </w:tc>
        <w:tc>
          <w:tcPr>
            <w:tcW w:type="dxa" w:w="12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—</w:t>
            </w:r>
          </w:p>
        </w:tc>
        <w:tc>
          <w:tcPr>
            <w:tcW w:type="dxa" w:w="105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POP-1100, POP-1110</w:t>
            </w:r>
          </w:p>
        </w:tc>
        <w:tc>
          <w:tcPr>
            <w:tcW w:type="dxa" w:w="10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INFO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6. Deduplication алгоритм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Normalize хийгдсэн бүх finding нэг pool-д орж, canonical_control + resource + namespace-аар бүлэглэгдэнэ. Ижил түлхүүртэй findings нэг болж нэгтгэгдэнэ.</w:t>
      </w:r>
    </w:p>
    <w:p>
      <w:pPr>
        <w:pBdr>
          <w:left w:val="single" w:color="1F6F54" w:sz="18" w:space="6"/>
        </w:pBdr>
        <w:shd w:fill="F4F4F4" w:color="auto" w:val="clear"/>
        <w:spacing w:after="0" w:before="6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func Deduplicate(findings []Finding) []Finding {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groups := map[string][]Finding{}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for _, f := range findings {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key := f.CanonicalControl + "|" + f.Resource + "|" + f.Namespace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groups[key] = append(groups[key], f)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}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out := []Finding{}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for _, g := range groups {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merged := g[0]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foundBy := set{}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for _, f := range g {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    foundBy.addAll(f.FoundBy)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    merged.Severity = maxSeverity(merged.Severity, f.Severity)  // хамгийн муугаар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    merged.References = union(merged.References, f.References)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    merged.RawRefs = append(merged.RawRefs, f.RawRefs...)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}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merged.FoundBy = foundBy.sorted()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merged.Confidence = confidenceFrom(len(merged.FoundBy)) // §scoring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merged.ID = stableID(merged)                            // §schema 7.1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out = append(out, merged)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}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return sortByID(out)  // detrministik дараалал → тогтвортой result_hash</w:t>
      </w:r>
    </w:p>
    <w:p>
      <w:pPr>
        <w:pBdr>
          <w:left w:val="single" w:color="1F6F54" w:sz="18" w:space="6"/>
        </w:pBdr>
        <w:shd w:fill="F4F4F4" w:color="auto" w:val="clear"/>
        <w:spacing w:after="14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}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7. Нэгтгэх дүрмүүд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/>
          <w:bCs/>
        </w:rPr>
        <w:t xml:space="preserve">Severity: </w:t>
      </w:r>
      <w:r>
        <w:rPr>
          <w:rFonts w:ascii="Calibri" w:cs="Calibri" w:eastAsia="Calibri" w:hAnsi="Calibri"/>
        </w:rPr>
        <w:t xml:space="preserve">хамгийн өндөр (муу) severity-г авна. Scanner-ууд зөрвөл аюулгүй тал руу.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/>
          <w:bCs/>
        </w:rPr>
        <w:t xml:space="preserve">found_by: </w:t>
      </w:r>
      <w:r>
        <w:rPr>
          <w:rFonts w:ascii="Calibri" w:cs="Calibri" w:eastAsia="Calibri" w:hAnsi="Calibri"/>
        </w:rPr>
        <w:t xml:space="preserve">бүх scanner-ийн нэгдэл (union), эрэмбэлэгдсэн.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/>
          <w:bCs/>
        </w:rPr>
        <w:t xml:space="preserve">confidence: </w:t>
      </w:r>
      <w:r>
        <w:rPr>
          <w:rFonts w:ascii="Calibri" w:cs="Calibri" w:eastAsia="Calibri" w:hAnsi="Calibri"/>
        </w:rPr>
        <w:t xml:space="preserve">found_by-ийн тооноос: 3+ → HIGH, 2 → MEDIUM, 1 → LOW.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/>
          <w:bCs/>
        </w:rPr>
        <w:t xml:space="preserve">references / raw_refs: </w:t>
      </w:r>
      <w:r>
        <w:rPr>
          <w:rFonts w:ascii="Calibri" w:cs="Calibri" w:eastAsia="Calibri" w:hAnsi="Calibri"/>
        </w:rPr>
        <w:t xml:space="preserve">бүх эх сурвалжийг нэгтгэж хадгална — нотолгоо алдагдахгүй.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/>
          <w:bCs/>
        </w:rPr>
        <w:t xml:space="preserve">id: </w:t>
      </w:r>
      <w:r>
        <w:rPr>
          <w:rFonts w:ascii="Calibri" w:cs="Calibri" w:eastAsia="Calibri" w:hAnsi="Calibri"/>
        </w:rPr>
        <w:t xml:space="preserve">нэгтгэсний дараа canonical+resource+namespace-аас дахин тооцоолж тогтвортой болгоно.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8. Арчилгааны ажлын урсгал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Шинэ scanner эсвэл шинэ rule гарахад: (1) canonical-controls.yaml-д тухайн rule-ыг одоо байгаа canonical control-ын mappings-д нэмэх, эсвэл шинэ canonical control үүсгэх; (2) хэрэв ижил утгатай control байхгүй бол шинэ дугаар олгох (хэзээ ч дахин ашиглахгүй); (3) unit test-ээр mapping бүр хүчинтэй canonical ID руу зааж байгааг шалгах; (4) хувилбар нэмэгдүүлж changelog-д тэмдэглэх. Canonical registry нь семантик хувилбартай (semver) байна.</w:t>
      </w:r>
    </w:p>
    <w:p>
      <w:pPr>
        <w:pStyle w:val="Heading1"/>
        <w:spacing w:after="120" w:before="0" w:line="276"/>
      </w:pPr>
      <w:r>
        <w:rPr>
          <w:rFonts w:ascii="Calibri" w:cs="Calibri" w:eastAsia="Calibri" w:hAnsi="Calibri"/>
        </w:rPr>
        <w:t>Хувилбарын тэмдэглэл — v1.1 (2026-09-07)</w:t>
      </w:r>
    </w:p>
    <w:p>
      <w:pPr>
        <w:pStyle w:val="Heading1"/>
        <w:spacing w:after="120" w:before="0" w:line="276"/>
      </w:pPr>
      <w:r>
        <w:rPr>
          <w:rFonts w:ascii="Calibri" w:cs="Calibri" w:eastAsia="Calibri" w:hAnsi="Calibri"/>
        </w:rPr>
        <w:t>• Хөрвүүлэлтийн матриц (§5) бодит registry-ээс дахин үүсгэгдсэн. Өмнөх хүснэгтийн canonical ID-ууд хэрэгжүүлэлттэй зөрж байсан (ж: TATAR-CON-003 нь "Dangerous capabilities" гэж бичигдсэн байсан ч registry-д "Allow privilege escalation"; TATAR-OPS-001 нь "Missing resource limits" гэж бичигдсэн ч registry-д "Missing readiness probe", limits нь TATAR-CON-010).</w:t>
      </w:r>
    </w:p>
    <w:p>
      <w:pPr>
        <w:pStyle w:val="Heading1"/>
        <w:spacing w:after="120" w:before="0" w:line="276"/>
      </w:pPr>
      <w:r>
        <w:rPr>
          <w:rFonts w:ascii="Calibri" w:cs="Calibri" w:eastAsia="Calibri" w:hAnsi="Calibri"/>
        </w:rPr>
        <w:t>• 2026-09-07-ны зураглалын аудит: дөрвөн scanner бүрийн зурагдсан rule-ыг upstream-ийн өөрийн тодорхойлолттой (Popeye codes.yaml, Checkov resource/k8s/*.py, Trivy Misconfigurations[].Title, Kubescape control каталог) тулгав. Зөрүү: Popeye 10-аас 7, Kubescape 28-аас 6, Checkov 18-аас 2, Trivy 11-ээс 0. Бүгд зассан.</w:t>
      </w:r>
    </w:p>
    <w:p>
      <w:pPr>
        <w:pStyle w:val="Heading1"/>
        <w:spacing w:after="120" w:before="0" w:line="276"/>
      </w:pPr>
      <w:r>
        <w:rPr>
          <w:rFonts w:ascii="Calibri" w:cs="Calibri" w:eastAsia="Calibri" w:hAnsi="Calibri"/>
        </w:rPr>
        <w:t>• Хамгийн ноцтой зөрүүнүүд: POP-108 "unnamed port" -&gt; "Missing CPU/memory limits"; POP-1500 "is suspended" -&gt; "Missing NetworkPolicy"; CKV_K8S_43 "image should use digest" -&gt; ":latest tag" (зөв пиннэсэн image-ийг ":latest" гэж тайлагнах false positive); Kubescape C-0187 (wildcard) ба C-0272 (admin roles) хоёр сольж бичигдсэн; C-0078 "allowed registry" нь image CVE гэж зурагдсан.</w:t>
      </w:r>
    </w:p>
    <w:p>
      <w:pPr>
        <w:pStyle w:val="Heading1"/>
        <w:spacing w:after="120" w:before="0" w:line="276"/>
      </w:pPr>
      <w:r>
        <w:rPr>
          <w:rFonts w:ascii="Calibri" w:cs="Calibri" w:eastAsia="Calibri" w:hAnsi="Calibri"/>
        </w:rPr>
        <w:t>• Дедуп түлхүүр (§6) нь canonical_control|resource|namespace хэвээр. Гэхдээ resource нэр ХООСОН байвал түлхүүр давхцаж өөр өөр объект нэг finding болж нийлдэг. Kubescape-ийн RBAC subject-ууд (Group/User) нэрээ дээд түвшний "name" талбарт өгдгийг adapter уншаагүй тул "group/", "user/" гэж хоосон нэртэй гарч яг тэр давхцал үүсч байв — зассан.</w:t>
      </w:r>
    </w:p>
    <w:p>
      <w:pPr>
        <w:pStyle w:val="Heading1"/>
        <w:spacing w:after="120" w:before="0" w:line="276"/>
      </w:pPr>
      <w:r>
        <w:rPr>
          <w:rFonts w:ascii="Calibri" w:cs="Calibri" w:eastAsia="Calibri" w:hAnsi="Calibri"/>
        </w:rPr>
        <w:t>• Confidence (§6-ийн confidenceFrom) нь зөвхөн scanner тооноос БИШ, scanner тоо БА шалгалтын determinism хоёулангаас тодорхойлогдоно: 2+ scanner -&gt; HIGH; 1 scanner + deterministic -&gt; HIGH; 1 scanner + эвристик -&gt; MEDIUM; 0 -&gt; LOW.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2026-07-24T13:27:34.006Z</dcterms:created>
  <dcterms:modified xsi:type="dcterms:W3CDTF">2026-07-24T13:27:34.006Z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