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A4D69"/>
          <w:sz w:val="64"/>
          <w:szCs w:val="64"/>
        </w:rPr>
        <w:t xml:space="preserve">TATAR-Kuber</w:t>
      </w:r>
    </w:p>
    <w:p>
      <w:pPr>
        <w:spacing w:after="60"/>
        <w:jc w:val="center"/>
      </w:pPr>
      <w:r>
        <w:rPr>
          <w:rFonts w:ascii="Calibri" w:cs="Calibri" w:eastAsia="Calibri" w:hAnsi="Calibri"/>
          <w:i/>
          <w:iCs/>
          <w:color w:val="1F6F54"/>
          <w:sz w:val="22"/>
          <w:szCs w:val="22"/>
        </w:rPr>
        <w:t xml:space="preserve">Kubernetes Security Posture Assessment Framework</w:t>
      </w:r>
    </w:p>
    <w:p>
      <w:pPr>
        <w:pBdr>
          <w:bottom w:val="single" w:color="CCCCCC" w:sz="6" w:space="1"/>
        </w:pBdr>
        <w:spacing w:after="60" w:before="60"/>
      </w:pPr>
      <w:r>
        <w:rPr>
          <w:rFonts w:ascii="Calibri" w:cs="Calibri" w:eastAsia="Calibri" w:hAnsi="Calibri"/>
        </w:rPr>
        <w:t xml:space="preserve"/>
      </w:r>
    </w:p>
    <w:p>
      <w:pPr>
        <w:spacing w:after="40" w:before="200"/>
        <w:jc w:val="center"/>
      </w:pPr>
      <w:r>
        <w:rPr>
          <w:rFonts w:ascii="Calibri" w:cs="Calibri" w:eastAsia="Calibri" w:hAnsi="Calibri"/>
          <w:b/>
          <w:bCs/>
          <w:color w:val="888888"/>
          <w:sz w:val="22"/>
          <w:szCs w:val="22"/>
        </w:rPr>
        <w:t xml:space="preserve">Engineering Document #4</w:t>
      </w:r>
    </w:p>
    <w:p>
      <w:pPr>
        <w:spacing w:after="30"/>
        <w:jc w:val="center"/>
      </w:pPr>
      <w:r>
        <w:rPr>
          <w:rFonts w:ascii="Calibri" w:cs="Calibri" w:eastAsia="Calibri" w:hAnsi="Calibri"/>
          <w:b/>
          <w:bCs/>
          <w:color w:val="1A1A1A"/>
          <w:sz w:val="40"/>
          <w:szCs w:val="40"/>
        </w:rPr>
        <w:t xml:space="preserve">Severity &amp; Risk Scoring Model</w:t>
      </w:r>
    </w:p>
    <w:p>
      <w:pPr>
        <w:spacing w:after="400"/>
        <w:jc w:val="center"/>
      </w:pPr>
      <w:r>
        <w:rPr>
          <w:rFonts w:ascii="Calibri" w:cs="Calibri" w:eastAsia="Calibri" w:hAnsi="Calibri"/>
          <w:color w:val="555555"/>
          <w:sz w:val="22"/>
          <w:szCs w:val="22"/>
        </w:rPr>
        <w:t xml:space="preserve">v1.2 — Level 1 Finding Risk + Level 2 Cluster Score</w:t>
      </w:r>
    </w:p>
    <w:p>
      <w:pPr>
        <w:spacing w:after="20" w:before="1200"/>
        <w:jc w:val="center"/>
      </w:pPr>
      <w:r>
        <w:rPr>
          <w:rFonts w:ascii="Calibri" w:cs="Calibri" w:eastAsia="Calibri" w:hAnsi="Calibri"/>
          <w:b/>
          <w:bCs/>
          <w:color w:val="1F6F54"/>
          <w:sz w:val="20"/>
          <w:szCs w:val="20"/>
        </w:rPr>
        <w:t>Version 1.2  ·  кодтой тулгасан (2026-09-07)</w:t>
      </w:r>
    </w:p>
    <w:p>
      <w:pPr>
        <w:spacing w:after="10"/>
        <w:jc w:val="center"/>
      </w:pPr>
      <w:r>
        <w:rPr>
          <w:rFonts w:ascii="Calibri" w:cs="Calibri" w:eastAsia="Calibri" w:hAnsi="Calibri"/>
          <w:color w:val="777777"/>
          <w:sz w:val="18"/>
          <w:szCs w:val="18"/>
        </w:rPr>
        <w:t>Enkhbat.O — Security Analyst</w:t>
      </w:r>
    </w:p>
    <w:p>
      <w:pPr>
        <w:spacing w:after="10"/>
        <w:jc w:val="center"/>
      </w:pPr>
      <w:r>
        <w:rPr>
          <w:rFonts w:ascii="Calibri" w:cs="Calibri" w:eastAsia="Calibri" w:hAnsi="Calibri"/>
          <w:color w:val="777777"/>
          <w:sz w:val="18"/>
          <w:szCs w:val="18"/>
        </w:rPr>
        <w:t xml:space="preserve">2026-07-24</w:t>
      </w:r>
    </w:p>
    <w:p>
      <w:r>
        <w:br w:type="page"/>
      </w:r>
    </w:p>
    <w:p>
      <w:pPr>
        <w:pStyle w:val="Heading1"/>
        <w:spacing w:after="140" w:before="280"/>
      </w:pPr>
      <w:r>
        <w:rPr>
          <w:rFonts w:ascii="Calibri" w:cs="Calibri" w:eastAsia="Calibri" w:hAnsi="Calibri"/>
          <w:b/>
          <w:bCs/>
          <w:color w:val="2A4D69"/>
          <w:sz w:val="30"/>
          <w:szCs w:val="30"/>
        </w:rPr>
        <w:t xml:space="preserve">1. Зорилго</w:t>
      </w:r>
    </w:p>
    <w:p>
      <w:pPr>
        <w:spacing w:after="120" w:before="0" w:line="276"/>
      </w:pPr>
      <w:r>
        <w:rPr>
          <w:rFonts w:ascii="Calibri" w:cs="Calibri" w:eastAsia="Calibri" w:hAnsi="Calibri"/>
        </w:rPr>
        <w:t xml:space="preserve">Auditor болон CISO-д тайлбарлаж болох, давтагдах, өрөөсгөлгүй эрсдэлийн оноо гаргах нь энэ загварын зорилго. Хоёр асуудлыг шийднэ: (1) scanner бүрийн өөр severity шатыг нэг стандарт руу хөрвүүлэх; (2) эрсдэлийг ХОЁР ТҮВШИНД тооцох — Level 1 (finding бүрийн эрсдэл) ба Level 2 (cluster-ийн ерөнхий оноо). "Яагаад энэ оноо гарсан бэ?" гэдэгт finding болон canonical control бүр рүү задрах чадвартай.</w:t>
      </w:r>
    </w:p>
    <w:p>
      <w:pPr>
        <w:pStyle w:val="Heading1"/>
        <w:spacing w:after="140" w:before="280"/>
      </w:pPr>
      <w:r>
        <w:rPr>
          <w:rFonts w:ascii="Calibri" w:cs="Calibri" w:eastAsia="Calibri" w:hAnsi="Calibri"/>
          <w:b/>
          <w:bCs/>
          <w:color w:val="2A4D69"/>
          <w:sz w:val="30"/>
          <w:szCs w:val="30"/>
        </w:rPr>
        <w:t xml:space="preserve">2. Severity normalization матриц</w:t>
      </w:r>
    </w:p>
    <w:p>
      <w:pPr>
        <w:spacing w:after="120" w:before="0" w:line="276"/>
      </w:pPr>
      <w:r>
        <w:rPr>
          <w:rFonts w:ascii="Calibri" w:cs="Calibri" w:eastAsia="Calibri" w:hAnsi="Calibri"/>
        </w:rPr>
        <w:t xml:space="preserve">Scanner бүр өөр severity илэрхийлдэг. Дараах хүснэгтээр TATAR-ийн 5 түвшинд буулгана.</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300"/>
        <w:gridCol w:w="2600"/>
        <w:gridCol w:w="1900"/>
        <w:gridCol w:w="1600"/>
        <w:gridCol w:w="1600"/>
      </w:tblGrid>
      <w:tr>
        <w:trPr>
          <w:tblHeader/>
        </w:trPr>
        <w:tc>
          <w:tcPr>
            <w:tcW w:type="dxa" w:w="13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TATAR</w:t>
            </w:r>
          </w:p>
        </w:tc>
        <w:tc>
          <w:tcPr>
            <w:tcW w:type="dxa" w:w="2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Trivy (CVSS/severity)</w:t>
            </w:r>
          </w:p>
        </w:tc>
        <w:tc>
          <w:tcPr>
            <w:tcW w:type="dxa" w:w="19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Kubescape</w:t>
            </w:r>
          </w:p>
        </w:tc>
        <w:tc>
          <w:tcPr>
            <w:tcW w:type="dxa" w:w="1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Checkov</w:t>
            </w:r>
          </w:p>
        </w:tc>
        <w:tc>
          <w:tcPr>
            <w:tcW w:type="dxa" w:w="1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Popeye (severity өгдөггүй)</w:t>
            </w:r>
          </w:p>
        </w:tc>
      </w:tr>
      <w:tr>
        <w:tc>
          <w:tcPr>
            <w:tcW w:type="dxa" w:w="13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CRITICAL</w:t>
            </w:r>
          </w:p>
        </w:tc>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CRITICAL (CVSS ≥ 9.0)</w:t>
            </w:r>
          </w:p>
        </w:tc>
        <w:tc>
          <w:tcPr>
            <w:tcW w:type="dxa" w:w="19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Critical / score ≥ 9</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w:t>
            </w:r>
          </w:p>
        </w:tc>
      </w:tr>
      <w:tr>
        <w:tc>
          <w:tcPr>
            <w:tcW w:type="dxa" w:w="13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w:t>
            </w:r>
          </w:p>
        </w:tc>
        <w:tc>
          <w:tcPr>
            <w:tcW w:type="dxa" w:w="2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 (7.0–8.9)</w:t>
            </w:r>
          </w:p>
        </w:tc>
        <w:tc>
          <w:tcPr>
            <w:tcW w:type="dxa" w:w="19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 / 7–8.9</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severity HIGH</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w:t>
            </w:r>
          </w:p>
        </w:tc>
      </w:tr>
      <w:tr>
        <w:tc>
          <w:tcPr>
            <w:tcW w:type="dxa" w:w="13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MEDIUM</w:t>
            </w:r>
          </w:p>
        </w:tc>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MEDIUM (4.0–6.9)</w:t>
            </w:r>
          </w:p>
        </w:tc>
        <w:tc>
          <w:tcPr>
            <w:tcW w:type="dxa" w:w="19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Medium / 4–6.9</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severity MEDIUM</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w:t>
            </w:r>
          </w:p>
        </w:tc>
      </w:tr>
      <w:tr>
        <w:tc>
          <w:tcPr>
            <w:tcW w:type="dxa" w:w="13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LOW</w:t>
            </w:r>
          </w:p>
        </w:tc>
        <w:tc>
          <w:tcPr>
            <w:tcW w:type="dxa" w:w="2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LOW (0.1–3.9)</w:t>
            </w:r>
          </w:p>
        </w:tc>
        <w:tc>
          <w:tcPr>
            <w:tcW w:type="dxa" w:w="19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Low / &lt; 4</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severity LOW</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w:t>
            </w:r>
          </w:p>
        </w:tc>
      </w:tr>
      <w:tr>
        <w:tc>
          <w:tcPr>
            <w:tcW w:type="dxa" w:w="13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INFO</w:t>
            </w:r>
          </w:p>
        </w:tc>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UNKNOWN / informational</w:t>
            </w:r>
          </w:p>
        </w:tc>
        <w:tc>
          <w:tcPr>
            <w:tcW w:type="dxa" w:w="19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manual review</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INFO</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w:t>
            </w:r>
          </w:p>
        </w:tc>
      </w:tr>
    </w:tbl>
    <w:p>
      <w:pPr>
        <w:spacing w:after="120" w:before="0" w:line="276"/>
      </w:pPr>
      <w:r>
        <w:rPr>
          <w:rFonts w:ascii="Calibri" w:cs="Calibri" w:eastAsia="Calibri" w:hAnsi="Calibri"/>
          <w:b/>
          <w:bCs/>
        </w:rPr>
        <w:t>Тэмдэглэл: Popeye-ийн level (0–3) нь ЛИНТЕРИЙН зэрэглэл (ok/info/warn/error), аюулгүй байдлын severity БИШ. Тиймээс v1.0.1-ээс хойш түүнийг severity болгож хөрвүүлэхээ БОЛИВ — canonical control-ийн curated default_severity дийлнэ, level нь нотолгоонд (evidence.value = "popeye warning") ил үлдэнэ. Ерөнхий дүрэм: adapter нь ЗӨВХӨН scanner бодит аюулгүй байдлын severity өгдөг үед (Trivy AVD/CVE, Checkov) severity дамжуулна. Checkov policy бүр severity-тэй биш тул байхгүй үед default_severity-г canonical registry-ээс авна.</w:t>
      </w:r>
      <w:r>
        <w:rPr>
          <w:rFonts w:ascii="Calibri" w:cs="Calibri" w:eastAsia="Calibri" w:hAnsi="Calibri"/>
        </w:rPr>
      </w:r>
    </w:p>
    <w:p>
      <w:pPr>
        <w:pStyle w:val="Heading1"/>
        <w:spacing w:after="140" w:before="280"/>
      </w:pPr>
      <w:r>
        <w:rPr>
          <w:rFonts w:ascii="Calibri" w:cs="Calibri" w:eastAsia="Calibri" w:hAnsi="Calibri"/>
          <w:b/>
          <w:bCs/>
          <w:color w:val="2A4D69"/>
          <w:sz w:val="30"/>
          <w:szCs w:val="30"/>
        </w:rPr>
        <w:t xml:space="preserve">3. TATAR severity жин (base weight) — LOCK</w:t>
      </w:r>
    </w:p>
    <w:p>
      <w:pPr>
        <w:spacing w:after="120" w:before="0" w:line="276"/>
      </w:pPr>
      <w:r>
        <w:rPr>
          <w:rFonts w:ascii="Calibri" w:cs="Calibri" w:eastAsia="Calibri" w:hAnsi="Calibri"/>
        </w:rPr>
        <w:t xml:space="preserve">Normalize хийсэн severity бүр CVSS-төст суурь жинтэй. Эдгээр нь Level 1 эрсдэл тооцох эх цэг.</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600"/>
        <w:gridCol w:w="5900"/>
      </w:tblGrid>
      <w:tr>
        <w:trPr>
          <w:tblHeader/>
        </w:trPr>
        <w:tc>
          <w:tcPr>
            <w:tcW w:type="dxa" w:w="15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Severity</w:t>
            </w:r>
          </w:p>
        </w:tc>
        <w:tc>
          <w:tcPr>
            <w:tcW w:type="dxa" w:w="1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Base weight</w:t>
            </w:r>
          </w:p>
        </w:tc>
        <w:tc>
          <w:tcPr>
            <w:tcW w:type="dxa" w:w="59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CRITICAL</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10</w:t>
            </w:r>
          </w:p>
        </w:tc>
        <w:tc>
          <w:tcPr>
            <w:tcW w:type="dxa" w:w="59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Шууд ашиглаж болох, өндөр нөлөөтэй.</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7</w:t>
            </w:r>
          </w:p>
        </w:tc>
        <w:tc>
          <w:tcPr>
            <w:tcW w:type="dxa" w:w="59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Ноцтой, гэхдээ нэмэлт нөхцөл шаардаж болно.</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MEDIUM</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3</w:t>
            </w:r>
          </w:p>
        </w:tc>
        <w:tc>
          <w:tcPr>
            <w:tcW w:type="dxa" w:w="59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Дунд зэрэг эрсдэл.</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LOW</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w:t>
            </w:r>
          </w:p>
        </w:tc>
        <w:tc>
          <w:tcPr>
            <w:tcW w:type="dxa" w:w="59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Бага эрсдэл (доор pool-оор хязгаарлагдана).</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INFO</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0</w:t>
            </w:r>
          </w:p>
        </w:tc>
        <w:tc>
          <w:tcPr>
            <w:tcW w:type="dxa" w:w="59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Мэдээллийн зорилготой, оноонд нөлөөлөхгүй.</w:t>
            </w:r>
          </w:p>
        </w:tc>
      </w:tr>
    </w:tbl>
    <w:p>
      <w:pPr>
        <w:pStyle w:val="Heading1"/>
        <w:spacing w:after="140" w:before="280"/>
      </w:pPr>
      <w:r>
        <w:rPr>
          <w:rFonts w:ascii="Calibri" w:cs="Calibri" w:eastAsia="Calibri" w:hAnsi="Calibri"/>
          <w:b/>
          <w:bCs/>
          <w:color w:val="2A4D69"/>
          <w:sz w:val="30"/>
          <w:szCs w:val="30"/>
        </w:rPr>
        <w:t xml:space="preserve">4. Level 1 — Finding Risk Score</w:t>
      </w:r>
    </w:p>
    <w:p>
      <w:pPr>
        <w:spacing w:after="120" w:before="0" w:line="276"/>
      </w:pPr>
      <w:r>
        <w:rPr>
          <w:rFonts w:ascii="Calibri" w:cs="Calibri" w:eastAsia="Calibri" w:hAnsi="Calibri"/>
        </w:rPr>
        <w:t xml:space="preserve">Finding бүрийн эрсдэл нь суурь жинг гурван контекст үржүүлэгчээр тохируулж гарна. Ингэснээр "production дахь internet-facing HIGH" нь "dev дэх internal LOW"-оос хамаагүй өндөр жинтэй болно.</w:t>
      </w:r>
    </w:p>
    <w:p>
      <w:pPr>
        <w:pBdr>
          <w:left w:val="single" w:color="1F6F54" w:sz="18" w:space="6"/>
        </w:pBdr>
        <w:shd w:fill="F4F4F4" w:color="auto" w:val="clear"/>
        <w:spacing w:after="140" w:before="60" w:line="252"/>
      </w:pPr>
      <w:r>
        <w:rPr>
          <w:rFonts w:ascii="Consolas" w:cs="Consolas" w:eastAsia="Consolas" w:hAnsi="Consolas"/>
          <w:color w:val="24292E"/>
          <w:sz w:val="18"/>
          <w:szCs w:val="18"/>
        </w:rPr>
        <w:t xml:space="preserve">Finding Risk = base_weight × asset_context × exposure × confidence</w:t>
      </w:r>
    </w:p>
    <w:p>
      <w:pPr>
        <w:pStyle w:val="Heading3"/>
        <w:spacing w:after="90" w:before="160"/>
      </w:pPr>
      <w:r>
        <w:rPr>
          <w:rFonts w:ascii="Calibri" w:cs="Calibri" w:eastAsia="Calibri" w:hAnsi="Calibri"/>
          <w:b/>
          <w:bCs/>
          <w:color w:val="333333"/>
          <w:sz w:val="22"/>
          <w:szCs w:val="22"/>
        </w:rPr>
        <w:t xml:space="preserve">4.1 Asset Context</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2600"/>
        <w:gridCol w:w="2000"/>
        <w:gridCol w:w="4400"/>
      </w:tblGrid>
      <w:tr>
        <w:trPr>
          <w:tblHeader/>
        </w:trPr>
        <w:tc>
          <w:tcPr>
            <w:tcW w:type="dxa" w:w="2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Контекст</w:t>
            </w:r>
          </w:p>
        </w:tc>
        <w:tc>
          <w:tcPr>
            <w:tcW w:type="dxa" w:w="20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Үржүүлэгч</w:t>
            </w:r>
          </w:p>
        </w:tc>
        <w:tc>
          <w:tcPr>
            <w:tcW w:type="dxa" w:w="44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Илрүүлэх</w:t>
            </w:r>
          </w:p>
        </w:tc>
      </w:tr>
      <w:tr>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Production</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1.5</w:t>
            </w:r>
          </w:p>
        </w:tc>
        <w:tc>
          <w:tcPr>
            <w:tcW w:type="dxa" w:w="4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namespace-ийн ТОКЕН бүтэн таарна: prod / production / prd / live (label env — v2)</w:t>
            </w:r>
          </w:p>
        </w:tc>
      </w:tr>
      <w:tr>
        <w:tc>
          <w:tcPr>
            <w:tcW w:type="dxa" w:w="2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Unknown</w:t>
            </w:r>
          </w:p>
        </w:tc>
        <w:tc>
          <w:tcPr>
            <w:tcW w:type="dxa" w:w="2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1.0</w:t>
            </w:r>
          </w:p>
        </w:tc>
        <w:tc>
          <w:tcPr>
            <w:tcW w:type="dxa" w:w="44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токен таарахгүй, эсвэл prod ба dev шинж хоёулаа байвал (дорд ч үнэлэхгүй, хөөрөгдөхгүй)</w:t>
            </w:r>
          </w:p>
        </w:tc>
      </w:tr>
      <w:tr>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Development</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0.8</w:t>
            </w:r>
          </w:p>
        </w:tc>
        <w:tc>
          <w:tcPr>
            <w:tcW w:type="dxa" w:w="4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dev / develop / test / stage / staging / qa / uat / sandbox / demo; мөн non-prod, pre-prod</w:t>
            </w:r>
          </w:p>
        </w:tc>
      </w:tr>
    </w:tbl>
    <w:p>
      <w:pPr>
        <w:pStyle w:val="Heading3"/>
        <w:spacing w:after="90" w:before="160"/>
      </w:pPr>
      <w:r>
        <w:rPr>
          <w:rFonts w:ascii="Calibri" w:cs="Calibri" w:eastAsia="Calibri" w:hAnsi="Calibri"/>
          <w:b/>
          <w:bCs/>
          <w:color w:val="333333"/>
          <w:sz w:val="22"/>
          <w:szCs w:val="22"/>
        </w:rPr>
        <w:t xml:space="preserve">4.2 Exposure</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2600"/>
        <w:gridCol w:w="2000"/>
        <w:gridCol w:w="4400"/>
      </w:tblGrid>
      <w:tr>
        <w:trPr>
          <w:tblHeader/>
        </w:trPr>
        <w:tc>
          <w:tcPr>
            <w:tcW w:type="dxa" w:w="2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Exposure</w:t>
            </w:r>
          </w:p>
        </w:tc>
        <w:tc>
          <w:tcPr>
            <w:tcW w:type="dxa" w:w="20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Үржүүлэгч</w:t>
            </w:r>
          </w:p>
        </w:tc>
        <w:tc>
          <w:tcPr>
            <w:tcW w:type="dxa" w:w="44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Илрүүлэх</w:t>
            </w:r>
          </w:p>
        </w:tc>
      </w:tr>
      <w:tr>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Internet-facing</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1.5</w:t>
            </w:r>
          </w:p>
        </w:tc>
        <w:tc>
          <w:tcPr>
            <w:tcW w:type="dxa" w:w="4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LoadBalancer, NodePort, Ingress (external), hostNetwork</w:t>
            </w:r>
          </w:p>
        </w:tc>
      </w:tr>
      <w:tr>
        <w:tc>
          <w:tcPr>
            <w:tcW w:type="dxa" w:w="2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Unknown</w:t>
            </w:r>
          </w:p>
        </w:tc>
        <w:tc>
          <w:tcPr>
            <w:tcW w:type="dxa" w:w="2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1.0</w:t>
            </w:r>
          </w:p>
        </w:tc>
        <w:tc>
          <w:tcPr>
            <w:tcW w:type="dxa" w:w="44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тодорхойгүй</w:t>
            </w:r>
          </w:p>
        </w:tc>
      </w:tr>
      <w:tr>
        <w:tc>
          <w:tcPr>
            <w:tcW w:type="dxa" w:w="2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Internal</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1.0</w:t>
            </w:r>
          </w:p>
        </w:tc>
        <w:tc>
          <w:tcPr>
            <w:tcW w:type="dxa" w:w="4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ClusterIP only, internal-д хязгаарлагдсан</w:t>
            </w:r>
          </w:p>
        </w:tc>
      </w:tr>
    </w:tbl>
    <w:p>
      <w:pPr>
        <w:pStyle w:val="Heading3"/>
        <w:spacing w:after="90" w:before="160"/>
      </w:pPr>
      <w:r>
        <w:rPr>
          <w:rFonts w:ascii="Calibri" w:cs="Calibri" w:eastAsia="Calibri" w:hAnsi="Calibri"/>
          <w:b/>
          <w:bCs/>
          <w:color w:val="333333"/>
          <w:sz w:val="22"/>
          <w:szCs w:val="22"/>
        </w:rPr>
        <w:t xml:space="preserve">4.3 Confidence Mapping — LOCK</w:t>
      </w:r>
    </w:p>
    <w:p>
      <w:pPr>
        <w:spacing w:after="120" w:before="0" w:line="276"/>
      </w:pPr>
      <w:r>
        <w:rPr>
          <w:rFonts w:ascii="Calibri" w:cs="Calibri" w:eastAsia="Calibri" w:hAnsi="Calibri"/>
        </w:rPr>
        <w:t xml:space="preserve">Итгэлийн зэрэг нь finding хэр найдвартай болохыг илэрхийлнэ. Олон scanner баталсан бол false positive магадлал бага; зөвхөн контекстээс хамаарсан эвристик finding бол эргэлзээтэй.</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600"/>
        <w:gridCol w:w="1600"/>
        <w:gridCol w:w="5800"/>
      </w:tblGrid>
      <w:tr>
        <w:trPr>
          <w:tblHeader/>
        </w:trPr>
        <w:tc>
          <w:tcPr>
            <w:tcW w:type="dxa" w:w="1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Confidence</w:t>
            </w:r>
          </w:p>
        </w:tc>
        <w:tc>
          <w:tcPr>
            <w:tcW w:type="dxa" w:w="1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Multiplier</w:t>
            </w:r>
          </w:p>
        </w:tc>
        <w:tc>
          <w:tcPr>
            <w:tcW w:type="dxa" w:w="58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Тодорхойлолт</w:t>
            </w:r>
          </w:p>
        </w:tc>
      </w:tr>
      <w:tr>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1.2</w:t>
            </w:r>
          </w:p>
        </w:tc>
        <w:tc>
          <w:tcPr>
            <w:tcW w:type="dxa" w:w="5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2+ scanner баталсан, ЭСВЭЛ 1 scanner + deterministic шалгалт (CVE, тодорхой талбар)</w:t>
            </w:r>
          </w:p>
        </w:tc>
      </w:tr>
      <w:tr>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MEDIUM</w:t>
            </w:r>
          </w:p>
        </w:tc>
        <w:tc>
          <w:tcPr>
            <w:tcW w:type="dxa" w:w="1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1.0</w:t>
            </w:r>
          </w:p>
        </w:tc>
        <w:tc>
          <w:tcPr>
            <w:tcW w:type="dxa" w:w="5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1 scanner + эвристик шалгалт (canonical control-д heuristic: true)</w:t>
            </w:r>
          </w:p>
        </w:tc>
      </w:tr>
      <w:tr>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LOW</w:t>
            </w:r>
          </w:p>
        </w:tc>
        <w:tc>
          <w:tcPr>
            <w:tcW w:type="dxa" w:w="1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0.8</w:t>
            </w:r>
          </w:p>
        </w:tc>
        <w:tc>
          <w:tcPr>
            <w:tcW w:type="dxa" w:w="5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Ямар ч scanner баталгаагүй — зөвхөн контекст/дүгнэлт</w:t>
            </w:r>
          </w:p>
        </w:tc>
      </w:tr>
    </w:tbl>
    <w:p>
      <w:pPr>
        <w:pStyle w:val="Heading3"/>
        <w:spacing w:after="90" w:before="160"/>
      </w:pPr>
      <w:r>
        <w:rPr>
          <w:rFonts w:ascii="Calibri" w:cs="Calibri" w:eastAsia="Calibri" w:hAnsi="Calibri"/>
          <w:b/>
          <w:bCs/>
          <w:color w:val="333333"/>
          <w:sz w:val="22"/>
          <w:szCs w:val="22"/>
        </w:rPr>
        <w:t xml:space="preserve">4.4 Жишээ тооцоо</w:t>
      </w:r>
    </w:p>
    <w:p>
      <w:pPr>
        <w:spacing w:after="120" w:before="0" w:line="276"/>
      </w:pPr>
      <w:r>
        <w:rPr>
          <w:rFonts w:ascii="Calibri" w:cs="Calibri" w:eastAsia="Calibri" w:hAnsi="Calibri"/>
        </w:rPr>
        <w:t xml:space="preserve">Privileged container, production, internet-facing, гурван scanner баталсан:</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Severity HIGH        = 7</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Asset Context (prod) = 1.5</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Exposure (internet)  = 1.5</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Confidence (HIGH)    = 1.2</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Finding Risk = 7 × 1.5 × 1.5 × 1.2 = 18.9</w:t>
      </w:r>
    </w:p>
    <w:p>
      <w:pPr>
        <w:spacing w:after="120" w:before="0" w:line="276"/>
      </w:pPr>
      <w:r>
        <w:rPr>
          <w:rFonts w:ascii="Calibri" w:cs="Calibri" w:eastAsia="Calibri" w:hAnsi="Calibri"/>
        </w:rPr>
        <w:t xml:space="preserve">Энэ утга finding-ийн </w:t>
      </w:r>
      <w:r>
        <w:rPr>
          <w:rFonts w:ascii="Consolas" w:cs="Consolas" w:eastAsia="Consolas" w:hAnsi="Consolas"/>
        </w:rPr>
        <w:t xml:space="preserve">risk_contribution</w:t>
      </w:r>
      <w:r>
        <w:rPr>
          <w:rFonts w:ascii="Calibri" w:cs="Calibri" w:eastAsia="Calibri" w:hAnsi="Calibri"/>
        </w:rPr>
        <w:t xml:space="preserve"> талбарт хадгалагдаж, Level 2 cluster онооны penalty болно.</w:t>
      </w:r>
    </w:p>
    <w:p>
      <w:pPr>
        <w:pStyle w:val="Heading1"/>
        <w:spacing w:after="140" w:before="280"/>
      </w:pPr>
      <w:r>
        <w:rPr>
          <w:rFonts w:ascii="Calibri" w:cs="Calibri" w:eastAsia="Calibri" w:hAnsi="Calibri"/>
          <w:b/>
          <w:bCs/>
          <w:color w:val="2A4D69"/>
          <w:sz w:val="30"/>
          <w:szCs w:val="30"/>
        </w:rPr>
        <w:t xml:space="preserve">5. Blind shot-ийн нөлөө</w:t>
      </w:r>
    </w:p>
    <w:p>
      <w:pPr>
        <w:spacing w:after="120" w:before="0" w:line="276"/>
      </w:pPr>
      <w:r>
        <w:rPr>
          <w:rFonts w:ascii="Calibri" w:cs="Calibri" w:eastAsia="Calibri" w:hAnsi="Calibri"/>
        </w:rPr>
        <w:t xml:space="preserve">Blind shot finding нь </w:t>
      </w:r>
      <w:r>
        <w:rPr>
          <w:rFonts w:ascii="Calibri" w:cs="Calibri" w:eastAsia="Calibri" w:hAnsi="Calibri"/>
          <w:b/>
          <w:bCs/>
        </w:rPr>
        <w:t xml:space="preserve">устгагдахгүй</w:t>
      </w:r>
      <w:r>
        <w:rPr>
          <w:rFonts w:ascii="Calibri" w:cs="Calibri" w:eastAsia="Calibri" w:hAnsi="Calibri"/>
        </w:rPr>
        <w:t xml:space="preserve">. Оноо тооцохын өмнө severity нь downgrade хийгддэг (ихэвчлэн INFO болно), ингэснээр base weight 0 болж cluster оноонд нөлөөлөхгүй. Гэвч finding нь тайланд </w:t>
      </w:r>
      <w:r>
        <w:rPr>
          <w:rFonts w:ascii="Consolas" w:cs="Consolas" w:eastAsia="Consolas" w:hAnsi="Consolas"/>
        </w:rPr>
        <w:t xml:space="preserve">original_severity</w:t>
      </w:r>
      <w:r>
        <w:rPr>
          <w:rFonts w:ascii="Calibri" w:cs="Calibri" w:eastAsia="Calibri" w:hAnsi="Calibri"/>
        </w:rPr>
        <w:t xml:space="preserve"> болон </w:t>
      </w:r>
      <w:r>
        <w:rPr>
          <w:rFonts w:ascii="Consolas" w:cs="Consolas" w:eastAsia="Consolas" w:hAnsi="Consolas"/>
        </w:rPr>
        <w:t xml:space="preserve">blind_shot_reason</w:t>
      </w:r>
      <w:r>
        <w:rPr>
          <w:rFonts w:ascii="Calibri" w:cs="Calibri" w:eastAsia="Calibri" w:hAnsi="Calibri"/>
        </w:rPr>
        <w:t xml:space="preserve">-тэйгээ ил үлдэнэ. Аудитор "юуг яагаад бууруулсан"-ыг бүрэн харна.</w:t>
      </w:r>
    </w:p>
    <w:p>
      <w:pPr>
        <w:pStyle w:val="Heading1"/>
        <w:spacing w:after="140" w:before="280"/>
      </w:pPr>
      <w:r>
        <w:rPr>
          <w:rFonts w:ascii="Calibri" w:cs="Calibri" w:eastAsia="Calibri" w:hAnsi="Calibri"/>
          <w:b/>
          <w:bCs/>
          <w:color w:val="2A4D69"/>
          <w:sz w:val="30"/>
          <w:szCs w:val="30"/>
        </w:rPr>
        <w:t xml:space="preserve">6. Level 2 — Cluster Security Score (0–100)</w:t>
      </w:r>
    </w:p>
    <w:p>
      <w:pPr>
        <w:spacing w:after="120" w:before="0" w:line="276"/>
      </w:pPr>
      <w:r>
        <w:rPr>
          <w:rFonts w:ascii="Calibri" w:cs="Calibri" w:eastAsia="Calibri" w:hAnsi="Calibri"/>
        </w:rPr>
        <w:t>Dashboard дээр гарах ерөнхий оноо. v1.2.1-ээс DIMINISHING загвар: penalty өссөөр оноо жигд буурах ч хэзээ ч яг 0 болохгүй, эрэмбэ хадгалагдана. Шалтгаан: linear загвар (100 − P) нь penalty 100-д хүрэхэд SATURATE болж "дөнгөж босго давсан" ба "гамшигт" cluster хоёрыг ялгахаа болино.</w:t>
      </w:r>
    </w:p>
    <w:p>
      <w:pPr>
        <w:pBdr>
          <w:left w:val="single" w:color="1F6F54" w:sz="18" w:space="6"/>
        </w:pBdr>
        <w:shd w:fill="F4F4F4" w:color="auto" w:val="clear"/>
        <w:spacing w:after="0" w:before="60" w:line="252"/>
      </w:pPr>
      <w:r>
        <w:rPr>
          <w:rFonts w:ascii="Consolas" w:cs="Consolas" w:eastAsia="Consolas" w:hAnsi="Consolas"/>
          <w:color w:val="24292E"/>
          <w:sz w:val="18"/>
          <w:szCs w:val="18"/>
        </w:rPr>
        <w:t>Security Score = 100 / (1 + Total Penalty / K)      # K = 100 (ScoreScale)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Total Penalty = Σ FindingRisk (CRITICAL/HIGH/MEDIUM)</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min(10, Σ FindingRisk (LOW))     # LOW pool cap</w:t>
      </w:r>
    </w:p>
    <w:p>
      <w:pPr>
        <w:pBdr>
          <w:left w:val="single" w:color="1F6F54" w:sz="18" w:space="6"/>
        </w:pBdr>
        <w:shd w:fill="F4F4F4" w:color="auto" w:val="clear"/>
        <w:spacing w:after="140" w:before="0" w:line="252"/>
      </w:pPr>
      <w:r>
        <w:rPr>
          <w:rFonts w:ascii="Consolas" w:cs="Consolas" w:eastAsia="Consolas" w:hAnsi="Consolas"/>
          <w:color w:val="24292E"/>
          <w:sz w:val="18"/>
          <w:szCs w:val="18"/>
        </w:rPr>
        <w:t>Score нь 1..100 хооронд хязгаарлагдана (хэзээ ч 0 болохгүй)</w:t>
      </w:r>
    </w:p>
    <w:p>
      <w:pPr>
        <w:spacing w:after="120" w:before="0" w:line="276"/>
      </w:pPr>
      <w:r>
        <w:rPr>
          <w:rFonts w:ascii="Calibri" w:cs="Calibri" w:eastAsia="Calibri" w:hAnsi="Calibri"/>
          <w:b/>
          <w:bCs/>
        </w:rPr>
        <w:t xml:space="preserve">LOW pool cap (10 оноо): </w:t>
      </w:r>
      <w:r>
        <w:rPr>
          <w:rFonts w:ascii="Calibri" w:cs="Calibri" w:eastAsia="Calibri" w:hAnsi="Calibri"/>
        </w:rPr>
        <w:t xml:space="preserve">бүх LOW finding нийлээд хамгийн ихдээ 10 оноо л хасна. Ингэснээр "100 LOW" нь оноог үерлүүлэхгүй бөгөөд critical/high давамгайлна.</w:t>
      </w:r>
    </w:p>
    <w:p>
      <w:pPr>
        <w:pStyle w:val="Heading1"/>
        <w:spacing w:after="140" w:before="280"/>
      </w:pPr>
      <w:r>
        <w:rPr>
          <w:rFonts w:ascii="Calibri" w:cs="Calibri" w:eastAsia="Calibri" w:hAnsi="Calibri"/>
          <w:b/>
          <w:bCs/>
          <w:color w:val="2A4D69"/>
          <w:sz w:val="30"/>
          <w:szCs w:val="30"/>
        </w:rPr>
        <w:t xml:space="preserve">7. Тайлбарлах чадвар — CISO breakdown</w:t>
      </w:r>
    </w:p>
    <w:p>
      <w:pPr>
        <w:spacing w:after="120" w:before="0" w:line="276"/>
      </w:pPr>
      <w:r>
        <w:rPr>
          <w:rFonts w:ascii="Calibri" w:cs="Calibri" w:eastAsia="Calibri" w:hAnsi="Calibri"/>
        </w:rPr>
        <w:t xml:space="preserve">"Яагаад 62 болсон бэ?" гэсэн асуултад тайлан оноог canonical control бүр рүү задална:</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3600"/>
        <w:gridCol w:w="3000"/>
      </w:tblGrid>
      <w:tr>
        <w:trPr>
          <w:tblHeader/>
        </w:trPr>
        <w:tc>
          <w:tcPr>
            <w:tcW w:type="dxa" w:w="24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Canonical Control</w:t>
            </w:r>
          </w:p>
        </w:tc>
        <w:tc>
          <w:tcPr>
            <w:tcW w:type="dxa" w:w="3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Асуудал</w:t>
            </w:r>
          </w:p>
        </w:tc>
        <w:tc>
          <w:tcPr>
            <w:tcW w:type="dxa" w:w="30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Penalty</w:t>
            </w:r>
          </w:p>
        </w:tc>
      </w:tr>
      <w:tr>
        <w:tc>
          <w:tcPr>
            <w:tcW w:type="dxa" w:w="2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TATAR-CON-001</w:t>
            </w:r>
          </w:p>
        </w:tc>
        <w:tc>
          <w:tcPr>
            <w:tcW w:type="dxa" w:w="3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Privileged container</w:t>
            </w:r>
          </w:p>
        </w:tc>
        <w:tc>
          <w:tcPr>
            <w:tcW w:type="dxa" w:w="3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18.9</w:t>
            </w:r>
          </w:p>
        </w:tc>
      </w:tr>
      <w:tr>
        <w:tc>
          <w:tcPr>
            <w:tcW w:type="dxa" w:w="24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TATAR-RBAC-002</w:t>
            </w:r>
          </w:p>
        </w:tc>
        <w:tc>
          <w:tcPr>
            <w:tcW w:type="dxa" w:w="3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Wildcard permission</w:t>
            </w:r>
          </w:p>
        </w:tc>
        <w:tc>
          <w:tcPr>
            <w:tcW w:type="dxa" w:w="3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15.75</w:t>
            </w:r>
          </w:p>
        </w:tc>
      </w:tr>
      <w:tr>
        <w:tc>
          <w:tcPr>
            <w:tcW w:type="dxa" w:w="2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TATAR-NET-001</w:t>
            </w:r>
          </w:p>
        </w:tc>
        <w:tc>
          <w:tcPr>
            <w:tcW w:type="dxa" w:w="3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Missing NetworkPolicy</w:t>
            </w:r>
          </w:p>
        </w:tc>
        <w:tc>
          <w:tcPr>
            <w:tcW w:type="dxa" w:w="3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3.0</w:t>
            </w:r>
          </w:p>
        </w:tc>
      </w:tr>
      <w:tr>
        <w:tc>
          <w:tcPr>
            <w:tcW w:type="dxa" w:w="24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 (LOW pool)</w:t>
            </w:r>
          </w:p>
        </w:tc>
        <w:tc>
          <w:tcPr>
            <w:tcW w:type="dxa" w:w="3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Бусад бага асуудлууд</w:t>
            </w:r>
          </w:p>
        </w:tc>
        <w:tc>
          <w:tcPr>
            <w:tcW w:type="dxa" w:w="3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10.0 (cap)</w:t>
            </w:r>
          </w:p>
        </w:tc>
      </w:tr>
      <w:tr>
        <w:tc>
          <w:tcPr>
            <w:tcW w:type="dxa" w:w="24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
            </w:r>
          </w:p>
        </w:tc>
        <w:tc>
          <w:tcPr>
            <w:tcW w:type="dxa" w:w="3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Total Penalty</w:t>
            </w:r>
          </w:p>
        </w:tc>
        <w:tc>
          <w:tcPr>
            <w:tcW w:type="dxa" w:w="3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48</w:t>
            </w:r>
          </w:p>
        </w:tc>
      </w:tr>
      <w:tr>
        <w:tc>
          <w:tcPr>
            <w:tcW w:type="dxa" w:w="24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
            </w:r>
          </w:p>
        </w:tc>
        <w:tc>
          <w:tcPr>
            <w:tcW w:type="dxa" w:w="3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Security Score</w:t>
            </w:r>
          </w:p>
        </w:tc>
        <w:tc>
          <w:tcPr>
            <w:tcW w:type="dxa" w:w="3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68  (100/(1+48/100))</w:t>
            </w:r>
          </w:p>
        </w:tc>
      </w:tr>
    </w:tbl>
    <w:p>
      <w:pPr>
        <w:spacing w:after="120" w:before="0" w:line="276"/>
      </w:pPr>
      <w:r>
        <w:rPr>
          <w:rFonts w:ascii="Calibri" w:cs="Calibri" w:eastAsia="Calibri" w:hAnsi="Calibri"/>
        </w:rPr>
        <w:t xml:space="preserve">Үржүүлэгч бүр (context/exposure/confidence) ил байх тул CISO-д "энэ HIGH яагаад бодит жинтэй болсон"-ыг зөвтгөж болно.</w:t>
      </w:r>
    </w:p>
    <w:p>
      <w:pPr>
        <w:pStyle w:val="Heading1"/>
        <w:spacing w:after="140" w:before="280"/>
      </w:pPr>
      <w:r>
        <w:rPr>
          <w:rFonts w:ascii="Calibri" w:cs="Calibri" w:eastAsia="Calibri" w:hAnsi="Calibri"/>
          <w:b/>
          <w:bCs/>
          <w:color w:val="2A4D69"/>
          <w:sz w:val="30"/>
          <w:szCs w:val="30"/>
        </w:rPr>
        <w:t xml:space="preserve">8. Эрсдэлийн зурвас (Risk Band)</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800"/>
        <w:gridCol w:w="2000"/>
        <w:gridCol w:w="5200"/>
      </w:tblGrid>
      <w:tr>
        <w:trPr>
          <w:tblHeader/>
        </w:trPr>
        <w:tc>
          <w:tcPr>
            <w:tcW w:type="dxa" w:w="18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Оноо</w:t>
            </w:r>
          </w:p>
        </w:tc>
        <w:tc>
          <w:tcPr>
            <w:tcW w:type="dxa" w:w="20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Band</w:t>
            </w:r>
          </w:p>
        </w:tc>
        <w:tc>
          <w:tcPr>
            <w:tcW w:type="dxa" w:w="52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Тайлбар</w:t>
            </w:r>
          </w:p>
        </w:tc>
      </w:tr>
      <w:tr>
        <w:tc>
          <w:tcPr>
            <w:tcW w:type="dxa" w:w="1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90–100</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Excellent</w:t>
            </w:r>
          </w:p>
        </w:tc>
        <w:tc>
          <w:tcPr>
            <w:tcW w:type="dxa" w:w="52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Маш цөөн/бага эрсдэл.</w:t>
            </w:r>
          </w:p>
        </w:tc>
      </w:tr>
      <w:tr>
        <w:tc>
          <w:tcPr>
            <w:tcW w:type="dxa" w:w="1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70–89</w:t>
            </w:r>
          </w:p>
        </w:tc>
        <w:tc>
          <w:tcPr>
            <w:tcW w:type="dxa" w:w="2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Good</w:t>
            </w:r>
          </w:p>
        </w:tc>
        <w:tc>
          <w:tcPr>
            <w:tcW w:type="dxa" w:w="52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Хүлээн зөвшөөрөгдөх, тодорхой сайжруулалттай.</w:t>
            </w:r>
          </w:p>
        </w:tc>
      </w:tr>
      <w:tr>
        <w:tc>
          <w:tcPr>
            <w:tcW w:type="dxa" w:w="1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50–69</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Fair</w:t>
            </w:r>
          </w:p>
        </w:tc>
        <w:tc>
          <w:tcPr>
            <w:tcW w:type="dxa" w:w="52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Анхаарал шаардсан асуудлууд бий.</w:t>
            </w:r>
          </w:p>
        </w:tc>
      </w:tr>
      <w:tr>
        <w:tc>
          <w:tcPr>
            <w:tcW w:type="dxa" w:w="1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30–49</w:t>
            </w:r>
          </w:p>
        </w:tc>
        <w:tc>
          <w:tcPr>
            <w:tcW w:type="dxa" w:w="20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Poor</w:t>
            </w:r>
          </w:p>
        </w:tc>
        <w:tc>
          <w:tcPr>
            <w:tcW w:type="dxa" w:w="52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Ноцтой эрсдэл, яаралтай арга хэмжээ.</w:t>
            </w:r>
          </w:p>
        </w:tc>
      </w:tr>
      <w:tr>
        <w:tc>
          <w:tcPr>
            <w:tcW w:type="dxa" w:w="1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0–29</w:t>
            </w:r>
          </w:p>
        </w:tc>
        <w:tc>
          <w:tcPr>
            <w:tcW w:type="dxa" w:w="20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Critical</w:t>
            </w:r>
          </w:p>
        </w:tc>
        <w:tc>
          <w:tcPr>
            <w:tcW w:type="dxa" w:w="52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Ноцтой байдал, шуурхай залруулга шаардлагатай.</w:t>
            </w:r>
          </w:p>
        </w:tc>
      </w:tr>
    </w:tbl>
    <w:p>
      <w:pPr>
        <w:pStyle w:val="Heading1"/>
        <w:spacing w:after="140" w:before="280"/>
      </w:pPr>
      <w:r>
        <w:rPr>
          <w:rFonts w:ascii="Calibri" w:cs="Calibri" w:eastAsia="Calibri" w:hAnsi="Calibri"/>
          <w:b/>
          <w:bCs/>
          <w:color w:val="2A4D69"/>
          <w:sz w:val="30"/>
          <w:szCs w:val="30"/>
        </w:rPr>
        <w:t xml:space="preserve">9. Ажилласан жишээ</w:t>
      </w:r>
    </w:p>
    <w:p>
      <w:pPr>
        <w:spacing w:after="120" w:before="0" w:line="276"/>
      </w:pPr>
      <w:r>
        <w:rPr>
          <w:rFonts w:ascii="Calibri" w:cs="Calibri" w:eastAsia="Calibri" w:hAnsi="Calibri"/>
        </w:rPr>
        <w:t xml:space="preserve">Хоёр cluster-ийг харьцуулъя — загвар тэдгээрийг ялгаж чадаж байгааг харуулна.</w:t>
      </w:r>
    </w:p>
    <w:p>
      <w:pPr>
        <w:pStyle w:val="Heading3"/>
        <w:spacing w:after="90" w:before="160"/>
      </w:pPr>
      <w:r>
        <w:rPr>
          <w:rFonts w:ascii="Calibri" w:cs="Calibri" w:eastAsia="Calibri" w:hAnsi="Calibri"/>
          <w:b/>
          <w:bCs/>
          <w:color w:val="333333"/>
          <w:sz w:val="22"/>
          <w:szCs w:val="22"/>
        </w:rPr>
        <w:t xml:space="preserve">Cluster A: 100 LOW (dev, internal, 1 scanner) + 1 CRITICAL (prod, internal, 1 scanner)</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CRITICAL: 10 × 1.5(prod) × 1.0(internal) × 1.0(MEDIUM conf) = 15.0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100× LOW: 1 × 0.8(dev) × 1.0 × 1.0 = 0.8 each ×100 = 80 → min(10,80)=10</w:t>
      </w:r>
    </w:p>
    <w:p>
      <w:pPr>
        <w:pBdr>
          <w:left w:val="single" w:color="1F6F54" w:sz="18" w:space="6"/>
        </w:pBdr>
        <w:shd w:fill="F4F4F4" w:color="auto" w:val="clear"/>
        <w:spacing w:after="140" w:before="0" w:line="252"/>
      </w:pPr>
      <w:r>
        <w:rPr>
          <w:rFonts w:ascii="Consolas" w:cs="Consolas" w:eastAsia="Consolas" w:hAnsi="Consolas"/>
          <w:color w:val="24292E"/>
          <w:sz w:val="18"/>
          <w:szCs w:val="18"/>
        </w:rPr>
        <w:t>Total Penalty = 15 + 10 = 25   →   Score = 100/(1+25/100) = 80  (Good)</w:t>
      </w:r>
    </w:p>
    <w:p>
      <w:pPr>
        <w:pStyle w:val="Heading3"/>
        <w:spacing w:after="90" w:before="160"/>
      </w:pPr>
      <w:r>
        <w:rPr>
          <w:rFonts w:ascii="Calibri" w:cs="Calibri" w:eastAsia="Calibri" w:hAnsi="Calibri"/>
          <w:b/>
          <w:bCs/>
          <w:color w:val="333333"/>
          <w:sz w:val="22"/>
          <w:szCs w:val="22"/>
        </w:rPr>
        <w:t xml:space="preserve">Cluster B: 10 HIGH (prod, internet-facing, 1 scanner)</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HIGH: 7 × 1.5(prod) × 1.5(internet) × 1.0(MEDIUM conf) = 15.75 each ×10 = 157.5</w:t>
      </w:r>
    </w:p>
    <w:p>
      <w:pPr>
        <w:pBdr>
          <w:left w:val="single" w:color="1F6F54" w:sz="18" w:space="6"/>
        </w:pBdr>
        <w:shd w:fill="F4F4F4" w:color="auto" w:val="clear"/>
        <w:spacing w:after="140" w:before="0" w:line="252"/>
      </w:pPr>
      <w:r>
        <w:rPr>
          <w:rFonts w:ascii="Consolas" w:cs="Consolas" w:eastAsia="Consolas" w:hAnsi="Consolas"/>
          <w:color w:val="24292E"/>
          <w:sz w:val="18"/>
          <w:szCs w:val="18"/>
        </w:rPr>
        <w:t>Total Penalty = 157.5   →   Score = 100/(1+157.5/100) = 39  (Poor)</w:t>
      </w:r>
    </w:p>
    <w:p>
      <w:pPr>
        <w:spacing w:after="120" w:before="0" w:line="276"/>
      </w:pPr>
      <w:r>
        <w:rPr>
          <w:rFonts w:ascii="Calibri" w:cs="Calibri" w:eastAsia="Calibri" w:hAnsi="Calibri"/>
          <w:b/>
          <w:bCs/>
        </w:rPr>
        <w:t>Дүн: Cluster A = 80 (Good), Cluster B = 39 (Poor). Загвар production-д ил гарсан 10 HIGH-ийг нэг critical + олон бага асуудлаас илт ноцтойгоор ялгаж байна. Diminishing загвар нь Cluster B-г 0 болгож "цаашид дордохгүй" гэсэн дүр төрх үүсгэхийн оронд 39 гэж үнэлж, дараагийн 10 HIGH нэмэгдвэл оноо дахин буурах орон зай үлдээнэ. LOW pool cap нь бага асуудлын үерийг хазаарлана. Бүх жин, cap ба K-г тохируулж болох ч анхны утгыг энд түгжсэн.</w:t>
      </w:r>
      <w:r>
        <w:rPr>
          <w:rFonts w:ascii="Calibri" w:cs="Calibri" w:eastAsia="Calibri" w:hAnsi="Calibri"/>
        </w:rPr>
      </w:r>
    </w:p>
    <w:p>
      <w:pPr>
        <w:pStyle w:val="Heading1"/>
        <w:spacing w:after="120" w:before="0" w:line="276"/>
      </w:pPr>
      <w:r>
        <w:rPr>
          <w:rFonts w:ascii="Calibri" w:cs="Calibri" w:eastAsia="Calibri" w:hAnsi="Calibri"/>
          <w:b/>
          <w:bCs/>
        </w:rPr>
        <w:t>Хувилбарын тэмдэглэл — v1.1 / v1.2 (2026-09-07)</w:t>
      </w:r>
      <w:r>
        <w:rPr>
          <w:rFonts w:ascii="Calibri" w:cs="Calibri" w:eastAsia="Calibri" w:hAnsi="Calibri"/>
        </w:rPr>
      </w:r>
    </w:p>
    <w:p>
      <w:pPr>
        <w:pStyle w:val="Heading1"/>
        <w:spacing w:after="120" w:before="0" w:line="276"/>
      </w:pPr>
      <w:r>
        <w:rPr>
          <w:rFonts w:ascii="Calibri" w:cs="Calibri" w:eastAsia="Calibri" w:hAnsi="Calibri"/>
          <w:b/>
          <w:bCs/>
        </w:rPr>
        <w:t>• §2 severity normalization: Popeye-ийн level -&gt; TATAR severity хөрвүүлэлт УСТСАН. Линтерийн log-level нь аюулгүй байдлын severity биш; canonical control-ийн curated default_severity дийлнэ. Өмнөх хүснэгтээр dead service (popeye level 3) нь HIGH болж байсан ч registry түүнийг зориудаар INFO гэж үнэлдэг — тайлан болон эрсдэлийн онооны хоёуланг хөөрөгдөж байв.</w:t>
      </w:r>
      <w:r>
        <w:rPr>
          <w:rFonts w:ascii="Calibri" w:cs="Calibri" w:eastAsia="Calibri" w:hAnsi="Calibri"/>
        </w:rPr>
      </w:r>
    </w:p>
    <w:p>
      <w:pPr>
        <w:pStyle w:val="Heading1"/>
        <w:spacing w:after="120" w:before="0" w:line="276"/>
      </w:pPr>
      <w:r>
        <w:rPr>
          <w:rFonts w:ascii="Calibri" w:cs="Calibri" w:eastAsia="Calibri" w:hAnsi="Calibri"/>
          <w:b/>
          <w:bCs/>
        </w:rPr>
        <w:t>• §6 Level 2: linear (100 − P) -&gt; diminishing 100/(1 + P/K), K=100. §9-ийн ажилласан жишээ дахин тооцоологдов (Cluster A 75 -&gt; 80, Cluster B 0 -&gt; 39). Оноо хэзээ ч 0 болохгүй, 1..100.</w:t>
      </w:r>
      <w:r>
        <w:rPr>
          <w:rFonts w:ascii="Calibri" w:cs="Calibri" w:eastAsia="Calibri" w:hAnsi="Calibri"/>
        </w:rPr>
      </w:r>
    </w:p>
    <w:p>
      <w:pPr>
        <w:pStyle w:val="Heading1"/>
        <w:spacing w:after="120" w:before="0" w:line="276"/>
      </w:pPr>
      <w:r>
        <w:rPr>
          <w:rFonts w:ascii="Calibri" w:cs="Calibri" w:eastAsia="Calibri" w:hAnsi="Calibri"/>
          <w:b/>
          <w:bCs/>
        </w:rPr>
        <w:t>• §4.3 Confidence: scanner тооноос гадна шалгалтын determinism-ийг тооцно. 2+ scanner -&gt; HIGH; 1 scanner + deterministic -&gt; HIGH; 1 scanner + эвристик -&gt; MEDIUM; 0 -&gt; LOW.</w:t>
      </w:r>
      <w:r>
        <w:rPr>
          <w:rFonts w:ascii="Calibri" w:cs="Calibri" w:eastAsia="Calibri" w:hAnsi="Calibri"/>
        </w:rPr>
      </w:r>
    </w:p>
    <w:p>
      <w:pPr>
        <w:pStyle w:val="Heading1"/>
        <w:spacing w:after="120" w:before="0" w:line="276"/>
      </w:pPr>
      <w:r>
        <w:rPr>
          <w:rFonts w:ascii="Calibri" w:cs="Calibri" w:eastAsia="Calibri" w:hAnsi="Calibri"/>
          <w:b/>
          <w:bCs/>
        </w:rPr>
        <w:t>• Тайлан одоо оноог хэрхэн гаргасны бүрэн задаргааг агуулна: finding бүрт risk_factors (base_weight × asset_context × exposure × confidence) ба cluster-д risk_breakdown (high_penalty, low_penalty_raw/capped, scale, formula, top_contributors).</w:t>
      </w:r>
      <w:r>
        <w:rPr>
          <w:rFonts w:ascii="Calibri" w:cs="Calibri" w:eastAsia="Calibri" w:hAnsi="Calibri"/>
        </w:rPr>
      </w:r>
    </w:p>
    <w:p>
      <w:pPr>
        <w:pStyle w:val="Heading1"/>
        <w:spacing w:after="120" w:before="0" w:line="276"/>
      </w:pPr>
      <w:r>
        <w:rPr>
          <w:rFonts w:ascii="Calibri" w:cs="Calibri" w:eastAsia="Calibri" w:hAnsi="Calibri"/>
          <w:b/>
          <w:bCs/>
        </w:rPr>
        <w:t>(v1.2) §4.1 Asset Context: namespace-ийг ТОКЕНООР (- _ . -аар хуваан) тааруулна. v1.0.2 хүртэл strings.Contains ашигласнаас "non-prod", "nonprod", "reproduction" нь production (1.5x) гэж үнэлэгдэж, dev namespace-ийн эрсдэлийг ~87%-иар хөөрөгдөж байв; "device" нь dev (0.8x) болж эсрэгээр дорд үнэлэгдэж байв. Одоо non-/pre- үгүйсгэлийг тооцно, эргэлзээтэй үед Unknown (1.0).</w:t>
      </w:r>
      <w:r>
        <w:rPr>
          <w:rFonts w:ascii="Calibri" w:cs="Calibri" w:eastAsia="Calibri" w:hAnsi="Calibri"/>
        </w:rPr>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Enkhbat.O</dc:creator>
  <cp:lastModifiedBy>Enkhbat.O</cp:lastModifiedBy>
  <cp:revision>1</cp:revision>
  <dcterms:created xsi:type="dcterms:W3CDTF">2026-07-24T13:27:20.722Z</dcterms:created>
  <dcterms:modified xsi:type="dcterms:W3CDTF">2026-07-24T13:27:20.722Z</dcterms:modified>
</cp:coreProperties>
</file>

<file path=docProps/custom.xml><?xml version="1.0" encoding="utf-8"?>
<Properties xmlns="http://schemas.openxmlformats.org/officeDocument/2006/custom-properties" xmlns:vt="http://schemas.openxmlformats.org/officeDocument/2006/docPropsVTypes"/>
</file>