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rFonts w:ascii="Calibri" w:cs="Calibri" w:eastAsia="Calibri" w:hAnsi="Calibri"/>
          <w:b/>
          <w:bCs/>
          <w:color w:val="2A4D69"/>
          <w:sz w:val="64"/>
          <w:szCs w:val="64"/>
        </w:rPr>
        <w:t xml:space="preserve">TATAR-Kuber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1F6F54"/>
          <w:sz w:val="22"/>
          <w:szCs w:val="22"/>
        </w:rPr>
        <w:t xml:space="preserve">Kubernetes Security Posture Assessment Framework</w:t>
      </w:r>
    </w:p>
    <w:p>
      <w:pPr>
        <w:pBdr>
          <w:bottom w:val="single" w:color="CCCCCC" w:sz="6" w:space="1"/>
        </w:pBdr>
        <w:spacing w:after="60" w:before="60"/>
      </w:pPr>
      <w:r>
        <w:rPr>
          <w:rFonts w:ascii="Calibri" w:cs="Calibri" w:eastAsia="Calibri" w:hAnsi="Calibri"/>
        </w:rPr>
        <w:t xml:space="preserve"/>
      </w:r>
    </w:p>
    <w:p>
      <w:pPr>
        <w:spacing w:after="40" w:before="200"/>
        <w:jc w:val="center"/>
      </w:pPr>
      <w:r>
        <w:rPr>
          <w:rFonts w:ascii="Calibri" w:cs="Calibri" w:eastAsia="Calibri" w:hAnsi="Calibri"/>
          <w:b/>
          <w:bCs/>
          <w:color w:val="888888"/>
          <w:sz w:val="22"/>
          <w:szCs w:val="22"/>
        </w:rPr>
        <w:t xml:space="preserve">Engineering Document #2</w:t>
      </w:r>
    </w:p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Canonical Control Mapping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Scanner rule → TATAR canonical control — dedup-ийн суурь</w:t>
      </w:r>
    </w:p>
    <w:p>
      <w:pPr>
        <w:spacing w:after="20" w:before="1200"/>
        <w:jc w:val="center"/>
      </w:pPr>
      <w:r>
        <w:rPr>
          <w:rFonts w:ascii="Calibri" w:cs="Calibri" w:eastAsia="Calibri" w:hAnsi="Calibri"/>
          <w:b/>
          <w:bCs/>
          <w:color w:val="1F6F54"/>
          <w:sz w:val="20"/>
          <w:szCs w:val="20"/>
        </w:rPr>
        <w:t xml:space="preserve">Version 1.0  ·  LOCKED</w:t>
      </w:r>
    </w:p>
    <w:p>
      <w:pPr>
        <w:spacing w:after="10"/>
        <w:jc w:val="center"/>
      </w:pPr>
      <w:r>
        <w:rPr>
          <w:rFonts w:ascii="Calibri" w:cs="Calibri" w:eastAsia="Calibri" w:hAnsi="Calibri"/>
          <w:color w:val="777777"/>
          <w:sz w:val="18"/>
          <w:szCs w:val="18"/>
        </w:rPr>
        <w:t xml:space="preserve">Professional Security Service &amp; Audit LLC</w:t>
      </w:r>
    </w:p>
    <w:p>
      <w:pPr>
        <w:spacing w:after="10"/>
        <w:jc w:val="center"/>
      </w:pPr>
      <w:r>
        <w:rPr>
          <w:rFonts w:ascii="Calibri" w:cs="Calibri" w:eastAsia="Calibri" w:hAnsi="Calibri"/>
          <w:color w:val="777777"/>
          <w:sz w:val="18"/>
          <w:szCs w:val="18"/>
        </w:rPr>
        <w:t xml:space="preserve">2026-07-24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1. Зорилго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Deduplication-ийн жинхэнэ гол нь энэ баримт юм. Trivy, Kubescape, Checkov, Popeye нэг л асуудлыг тус тусын дугаар/нэрээр гаргадаг. String таарч дедуп хийвэл найдваргүй. Тиймээс scanner бүрийн rule ID-г TATAR-ийн нэг canonical control ID руу зурсан хөрвүүлэлтийн бүртгэл (registry) хэрэгтэй. Энэ бол TATAR-Kuber-ийн хамгийн том оюуны өмч (knowledge asset) бөгөөд ирээдүйд TATAR Security Knowledge Base болж өргөжинө.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2. Canonical control ID схем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Canonical ID нь TATAR-&lt;CATEGORY&gt;-NNN хэлбэртэй. Ангилал бүр өөрийн prefix-тэй бөгөөд эхнээс нь бүрэн тогтоогдсон. 1000+ rule болоход ч эмх цэгцтэй байлгах зорилготой.</w:t>
      </w:r>
    </w:p>
    <w:tbl>
      <w:tblPr>
        <w:tblW w:type="dxa" w:w="90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1500"/>
        <w:gridCol w:w="2200"/>
        <w:gridCol w:w="5300"/>
      </w:tblGrid>
      <w:tr>
        <w:trPr>
          <w:tblHeader/>
        </w:trPr>
        <w:tc>
          <w:tcPr>
            <w:tcW w:type="dxa" w:w="15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Prefix</w:t>
            </w:r>
          </w:p>
        </w:tc>
        <w:tc>
          <w:tcPr>
            <w:tcW w:type="dxa" w:w="22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Ангилал</w:t>
            </w:r>
          </w:p>
        </w:tc>
        <w:tc>
          <w:tcPr>
            <w:tcW w:type="dxa" w:w="53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Хамрах хүрээ (жишээ)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TATAR-CON</w:t>
            </w:r>
          </w:p>
        </w:tc>
        <w:tc>
          <w:tcPr>
            <w:tcW w:type="dxa" w:w="22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Container Security</w:t>
            </w:r>
          </w:p>
        </w:tc>
        <w:tc>
          <w:tcPr>
            <w:tcW w:type="dxa" w:w="5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privileged, runAsRoot, capability abuse, hostPID/hostNetwork, readOnlyRootFilesystem</w:t>
            </w:r>
          </w:p>
        </w:tc>
      </w:tr>
      <w:tr>
        <w:tc>
          <w:tcPr>
            <w:tcW w:type="dxa" w:w="15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TATAR-RBAC</w:t>
            </w:r>
          </w:p>
        </w:tc>
        <w:tc>
          <w:tcPr>
            <w:tcW w:type="dxa" w:w="22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RBAC Security</w:t>
            </w:r>
          </w:p>
        </w:tc>
        <w:tc>
          <w:tcPr>
            <w:tcW w:type="dxa" w:w="53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cluster-admin abuse, wildcard verbs/resources, excessive bindings, escalate/bind эрх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TATAR-NET</w:t>
            </w:r>
          </w:p>
        </w:tc>
        <w:tc>
          <w:tcPr>
            <w:tcW w:type="dxa" w:w="22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Network Security</w:t>
            </w:r>
          </w:p>
        </w:tc>
        <w:tc>
          <w:tcPr>
            <w:tcW w:type="dxa" w:w="5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NetworkPolicy байхгүй, hostPort, LoadBalancer ил, ingress TLS дутуу</w:t>
            </w:r>
          </w:p>
        </w:tc>
      </w:tr>
      <w:tr>
        <w:tc>
          <w:tcPr>
            <w:tcW w:type="dxa" w:w="15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TATAR-IMG</w:t>
            </w:r>
          </w:p>
        </w:tc>
        <w:tc>
          <w:tcPr>
            <w:tcW w:type="dxa" w:w="22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Image Security</w:t>
            </w:r>
          </w:p>
        </w:tc>
        <w:tc>
          <w:tcPr>
            <w:tcW w:type="dxa" w:w="53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CVE (OS/library), latest tag, unsigned image, эмзэг base image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TATAR-SEC</w:t>
            </w:r>
          </w:p>
        </w:tc>
        <w:tc>
          <w:tcPr>
            <w:tcW w:type="dxa" w:w="22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Secret Management</w:t>
            </w:r>
          </w:p>
        </w:tc>
        <w:tc>
          <w:tcPr>
            <w:tcW w:type="dxa" w:w="5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hardcoded secret, задарсан token, env доторх нууц, mounted secret эрсдэл</w:t>
            </w:r>
          </w:p>
        </w:tc>
      </w:tr>
      <w:tr>
        <w:tc>
          <w:tcPr>
            <w:tcW w:type="dxa" w:w="15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TATAR-OPS</w:t>
            </w:r>
          </w:p>
        </w:tc>
        <w:tc>
          <w:tcPr>
            <w:tcW w:type="dxa" w:w="22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Operational Security</w:t>
            </w:r>
          </w:p>
        </w:tc>
        <w:tc>
          <w:tcPr>
            <w:tcW w:type="dxa" w:w="53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probe дутуу, resource limit дутуу, orphan/dead service, broken reference (Popeye)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3. Naming ба амьдралын мөчлөгийн дүрэм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/>
          <w:bCs/>
        </w:rPr>
        <w:t xml:space="preserve">Формат: </w:t>
      </w:r>
      <w:r>
        <w:rPr>
          <w:rFonts w:ascii="Consolas" w:cs="Consolas" w:eastAsia="Consolas" w:hAnsi="Consolas"/>
        </w:rPr>
        <w:t xml:space="preserve">TATAR-&lt;CAT&gt;-NNN</w:t>
      </w:r>
      <w:r>
        <w:rPr>
          <w:rFonts w:ascii="Calibri" w:cs="Calibri" w:eastAsia="Calibri" w:hAnsi="Calibri"/>
        </w:rPr>
        <w:t xml:space="preserve">, NNN нь 3 оронтой дугаар (001-999). Шаардвал 4 орон болгож өргөтгөнө.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/>
          <w:bCs/>
        </w:rPr>
        <w:t xml:space="preserve">Тогтвортой байдал: </w:t>
      </w:r>
      <w:r>
        <w:rPr>
          <w:rFonts w:ascii="Calibri" w:cs="Calibri" w:eastAsia="Calibri" w:hAnsi="Calibri"/>
        </w:rPr>
        <w:t xml:space="preserve">ID нэг олгогдсон бол ХЭЗЭЭ Ч дахин ашиглагдахгүй, дугаар нь өөрчлөгдөхгүй. ID бол гэрээ — SARIF, history, diff бүгд түүн дээр тогтдог.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/>
          <w:bCs/>
        </w:rPr>
        <w:t xml:space="preserve">Deprecation: </w:t>
      </w:r>
      <w:r>
        <w:rPr>
          <w:rFonts w:ascii="Calibri" w:cs="Calibri" w:eastAsia="Calibri" w:hAnsi="Calibri"/>
        </w:rPr>
        <w:t xml:space="preserve">Хуучирсан control-ыг устгахгүй, зөвхөн </w:t>
      </w:r>
      <w:r>
        <w:rPr>
          <w:rFonts w:ascii="Consolas" w:cs="Consolas" w:eastAsia="Consolas" w:hAnsi="Consolas"/>
        </w:rPr>
        <w:t xml:space="preserve">status: deprecated</w:t>
      </w:r>
      <w:r>
        <w:rPr>
          <w:rFonts w:ascii="Calibri" w:cs="Calibri" w:eastAsia="Calibri" w:hAnsi="Calibri"/>
        </w:rPr>
        <w:t xml:space="preserve"> төлөв авч, </w:t>
      </w:r>
      <w:r>
        <w:rPr>
          <w:rFonts w:ascii="Consolas" w:cs="Consolas" w:eastAsia="Consolas" w:hAnsi="Consolas"/>
        </w:rPr>
        <w:t xml:space="preserve">superseded_by</w:t>
      </w:r>
      <w:r>
        <w:rPr>
          <w:rFonts w:ascii="Calibri" w:cs="Calibri" w:eastAsia="Calibri" w:hAnsi="Calibri"/>
        </w:rPr>
        <w:t xml:space="preserve"> талбараар шинэ ID руу зааж болно.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/>
          <w:bCs/>
        </w:rPr>
        <w:t xml:space="preserve">Эх сурвалж: </w:t>
      </w:r>
      <w:r>
        <w:rPr>
          <w:rFonts w:ascii="Calibri" w:cs="Calibri" w:eastAsia="Calibri" w:hAnsi="Calibri"/>
        </w:rPr>
        <w:t xml:space="preserve">Бүх canonical control нэг файлд — </w:t>
      </w:r>
      <w:r>
        <w:rPr>
          <w:rFonts w:ascii="Consolas" w:cs="Consolas" w:eastAsia="Consolas" w:hAnsi="Consolas"/>
        </w:rPr>
        <w:t xml:space="preserve">schema/canonical-controls.yaml</w:t>
      </w:r>
      <w:r>
        <w:rPr>
          <w:rFonts w:ascii="Calibri" w:cs="Calibri" w:eastAsia="Calibri" w:hAnsi="Calibri"/>
        </w:rPr>
        <w:t xml:space="preserve"> — төвлөрч, кодоос generate хийгддэг.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4. canonical-controls.yaml — бүтэц</w:t>
      </w:r>
    </w:p>
    <w:p>
      <w:pPr>
        <w:pBdr>
          <w:left w:val="single" w:color="1F6F54" w:sz="18" w:space="6"/>
        </w:pBdr>
        <w:shd w:fill="F4F4F4" w:color="auto" w:val="clear"/>
        <w:spacing w:after="0" w:before="6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# schema/canonical-controls.yaml — single source of truth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controls: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- id: TATAR-CON-001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title: "Privileged container enabled"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category: "Container Security"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type: misconfiguration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default_severity: HIGH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status: active               # active | deprecated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references: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- "CIS-5.2.1"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- "MITRE-T1610"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mappings: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trivy:     ["AVD-KSV-0017"]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kubescape: ["C-0057"]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checkov:   ["CKV_K8S_16"]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popeye:    []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- id: TATAR-CON-002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title: "Container running as root"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category: "Container Security"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type: misconfiguration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default_severity: MEDIUM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status: active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mappings: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trivy:     ["AVD-KSV-0012"]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kubescape: ["C-0013"]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checkov:   ["CKV_K8S_23"]</w:t>
      </w:r>
    </w:p>
    <w:p>
      <w:pPr>
        <w:pBdr>
          <w:left w:val="single" w:color="1F6F54" w:sz="18" w:space="6"/>
        </w:pBdr>
        <w:shd w:fill="F4F4F4" w:color="auto" w:val="clear"/>
        <w:spacing w:after="14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popeye:    []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5. Хөрвүүлэлтийн матриц — жишээ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Дараах хүснэгт нь эхний хувилбарт багтах түгээмэл control-уудын scanner rule → canonical зураглалыг харуулна. Бодит registry үүнээс хамаагүй том болно; энэ нь format-ыг тогтоож байна.</w:t>
      </w:r>
    </w:p>
    <w:tbl>
      <w:tblPr>
        <w:tblW w:type="dxa" w:w="90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1450"/>
        <w:gridCol w:w="1750"/>
        <w:gridCol w:w="1350"/>
        <w:gridCol w:w="1150"/>
        <w:gridCol w:w="1250"/>
        <w:gridCol w:w="1050"/>
        <w:gridCol w:w="1000"/>
      </w:tblGrid>
      <w:tr>
        <w:trPr>
          <w:tblHeader/>
        </w:trPr>
        <w:tc>
          <w:tcPr>
            <w:tcW w:type="dxa" w:w="145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Canonical ID</w:t>
            </w:r>
          </w:p>
        </w:tc>
        <w:tc>
          <w:tcPr>
            <w:tcW w:type="dxa" w:w="175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Гарчиг</w:t>
            </w:r>
          </w:p>
        </w:tc>
        <w:tc>
          <w:tcPr>
            <w:tcW w:type="dxa" w:w="135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Trivy</w:t>
            </w:r>
          </w:p>
        </w:tc>
        <w:tc>
          <w:tcPr>
            <w:tcW w:type="dxa" w:w="115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Kubescape</w:t>
            </w:r>
          </w:p>
        </w:tc>
        <w:tc>
          <w:tcPr>
            <w:tcW w:type="dxa" w:w="125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Checkov</w:t>
            </w:r>
          </w:p>
        </w:tc>
        <w:tc>
          <w:tcPr>
            <w:tcW w:type="dxa" w:w="105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Popeye</w:t>
            </w:r>
          </w:p>
        </w:tc>
        <w:tc>
          <w:tcPr>
            <w:tcW w:type="dxa" w:w="10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</w:tr>
      <w:tr>
        <w:tc>
          <w:tcPr>
            <w:tcW w:type="dxa" w:w="14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TATAR-CON-001</w:t>
            </w:r>
          </w:p>
        </w:tc>
        <w:tc>
          <w:tcPr>
            <w:tcW w:type="dxa" w:w="17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Privileged container</w:t>
            </w:r>
          </w:p>
        </w:tc>
        <w:tc>
          <w:tcPr>
            <w:tcW w:type="dxa" w:w="13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AVD-KSV-0017</w:t>
            </w:r>
          </w:p>
        </w:tc>
        <w:tc>
          <w:tcPr>
            <w:tcW w:type="dxa" w:w="11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C-0057</w:t>
            </w:r>
          </w:p>
        </w:tc>
        <w:tc>
          <w:tcPr>
            <w:tcW w:type="dxa" w:w="12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CKV_K8S_16</w:t>
            </w:r>
          </w:p>
        </w:tc>
        <w:tc>
          <w:tcPr>
            <w:tcW w:type="dxa" w:w="10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45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TATAR-CON-002</w:t>
            </w:r>
          </w:p>
        </w:tc>
        <w:tc>
          <w:tcPr>
            <w:tcW w:type="dxa" w:w="175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Runs as root</w:t>
            </w:r>
          </w:p>
        </w:tc>
        <w:tc>
          <w:tcPr>
            <w:tcW w:type="dxa" w:w="135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AVD-KSV-0012</w:t>
            </w:r>
          </w:p>
        </w:tc>
        <w:tc>
          <w:tcPr>
            <w:tcW w:type="dxa" w:w="115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C-0013</w:t>
            </w:r>
          </w:p>
        </w:tc>
        <w:tc>
          <w:tcPr>
            <w:tcW w:type="dxa" w:w="125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CKV_K8S_23</w:t>
            </w:r>
          </w:p>
        </w:tc>
        <w:tc>
          <w:tcPr>
            <w:tcW w:type="dxa" w:w="105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4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TATAR-CON-003</w:t>
            </w:r>
          </w:p>
        </w:tc>
        <w:tc>
          <w:tcPr>
            <w:tcW w:type="dxa" w:w="17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Dangerous capabilities</w:t>
            </w:r>
          </w:p>
        </w:tc>
        <w:tc>
          <w:tcPr>
            <w:tcW w:type="dxa" w:w="13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AVD-KSV-0004</w:t>
            </w:r>
          </w:p>
        </w:tc>
        <w:tc>
          <w:tcPr>
            <w:tcW w:type="dxa" w:w="11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C-0046</w:t>
            </w:r>
          </w:p>
        </w:tc>
        <w:tc>
          <w:tcPr>
            <w:tcW w:type="dxa" w:w="12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CKV_K8S_25</w:t>
            </w:r>
          </w:p>
        </w:tc>
        <w:tc>
          <w:tcPr>
            <w:tcW w:type="dxa" w:w="10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45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TATAR-CON-004</w:t>
            </w:r>
          </w:p>
        </w:tc>
        <w:tc>
          <w:tcPr>
            <w:tcW w:type="dxa" w:w="175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hostPID / hostNetwork</w:t>
            </w:r>
          </w:p>
        </w:tc>
        <w:tc>
          <w:tcPr>
            <w:tcW w:type="dxa" w:w="135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AVD-KSV-0010</w:t>
            </w:r>
          </w:p>
        </w:tc>
        <w:tc>
          <w:tcPr>
            <w:tcW w:type="dxa" w:w="115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C-0041</w:t>
            </w:r>
          </w:p>
        </w:tc>
        <w:tc>
          <w:tcPr>
            <w:tcW w:type="dxa" w:w="125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CKV_K8S_17</w:t>
            </w:r>
          </w:p>
        </w:tc>
        <w:tc>
          <w:tcPr>
            <w:tcW w:type="dxa" w:w="105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4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TATAR-RBAC-001</w:t>
            </w:r>
          </w:p>
        </w:tc>
        <w:tc>
          <w:tcPr>
            <w:tcW w:type="dxa" w:w="17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cluster-admin binding</w:t>
            </w:r>
          </w:p>
        </w:tc>
        <w:tc>
          <w:tcPr>
            <w:tcW w:type="dxa" w:w="13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1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C-0035</w:t>
            </w:r>
          </w:p>
        </w:tc>
        <w:tc>
          <w:tcPr>
            <w:tcW w:type="dxa" w:w="12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0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45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TATAR-RBAC-002</w:t>
            </w:r>
          </w:p>
        </w:tc>
        <w:tc>
          <w:tcPr>
            <w:tcW w:type="dxa" w:w="175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Wildcard permissions</w:t>
            </w:r>
          </w:p>
        </w:tc>
        <w:tc>
          <w:tcPr>
            <w:tcW w:type="dxa" w:w="135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15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C-0272</w:t>
            </w:r>
          </w:p>
        </w:tc>
        <w:tc>
          <w:tcPr>
            <w:tcW w:type="dxa" w:w="125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CKV_K8S_49</w:t>
            </w:r>
          </w:p>
        </w:tc>
        <w:tc>
          <w:tcPr>
            <w:tcW w:type="dxa" w:w="105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4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TATAR-NET-001</w:t>
            </w:r>
          </w:p>
        </w:tc>
        <w:tc>
          <w:tcPr>
            <w:tcW w:type="dxa" w:w="17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 NetworkPolicy</w:t>
            </w:r>
          </w:p>
        </w:tc>
        <w:tc>
          <w:tcPr>
            <w:tcW w:type="dxa" w:w="13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AVD-KSV-0038</w:t>
            </w:r>
          </w:p>
        </w:tc>
        <w:tc>
          <w:tcPr>
            <w:tcW w:type="dxa" w:w="11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C-0260</w:t>
            </w:r>
          </w:p>
        </w:tc>
        <w:tc>
          <w:tcPr>
            <w:tcW w:type="dxa" w:w="12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0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45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TATAR-IMG-001</w:t>
            </w:r>
          </w:p>
        </w:tc>
        <w:tc>
          <w:tcPr>
            <w:tcW w:type="dxa" w:w="175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Critical CVE in image</w:t>
            </w:r>
          </w:p>
        </w:tc>
        <w:tc>
          <w:tcPr>
            <w:tcW w:type="dxa" w:w="135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CVE-* (CVSS)</w:t>
            </w:r>
          </w:p>
        </w:tc>
        <w:tc>
          <w:tcPr>
            <w:tcW w:type="dxa" w:w="115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C-0078</w:t>
            </w:r>
          </w:p>
        </w:tc>
        <w:tc>
          <w:tcPr>
            <w:tcW w:type="dxa" w:w="125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05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4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TATAR-SEC-001</w:t>
            </w:r>
          </w:p>
        </w:tc>
        <w:tc>
          <w:tcPr>
            <w:tcW w:type="dxa" w:w="17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Hardcoded secret</w:t>
            </w:r>
          </w:p>
        </w:tc>
        <w:tc>
          <w:tcPr>
            <w:tcW w:type="dxa" w:w="13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secret-scan</w:t>
            </w:r>
          </w:p>
        </w:tc>
        <w:tc>
          <w:tcPr>
            <w:tcW w:type="dxa" w:w="11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C-0012</w:t>
            </w:r>
          </w:p>
        </w:tc>
        <w:tc>
          <w:tcPr>
            <w:tcW w:type="dxa" w:w="12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CKV_SECRET_*</w:t>
            </w:r>
          </w:p>
        </w:tc>
        <w:tc>
          <w:tcPr>
            <w:tcW w:type="dxa" w:w="10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45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TATAR-OPS-001</w:t>
            </w:r>
          </w:p>
        </w:tc>
        <w:tc>
          <w:tcPr>
            <w:tcW w:type="dxa" w:w="175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Missing resource limits</w:t>
            </w:r>
          </w:p>
        </w:tc>
        <w:tc>
          <w:tcPr>
            <w:tcW w:type="dxa" w:w="135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AVD-KSV-0011</w:t>
            </w:r>
          </w:p>
        </w:tc>
        <w:tc>
          <w:tcPr>
            <w:tcW w:type="dxa" w:w="115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C-0009</w:t>
            </w:r>
          </w:p>
        </w:tc>
        <w:tc>
          <w:tcPr>
            <w:tcW w:type="dxa" w:w="125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CKV_K8S_10</w:t>
            </w:r>
          </w:p>
        </w:tc>
        <w:tc>
          <w:tcPr>
            <w:tcW w:type="dxa" w:w="105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4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TATAR-OPS-002</w:t>
            </w:r>
          </w:p>
        </w:tc>
        <w:tc>
          <w:tcPr>
            <w:tcW w:type="dxa" w:w="17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Missing liveness/readiness</w:t>
            </w:r>
          </w:p>
        </w:tc>
        <w:tc>
          <w:tcPr>
            <w:tcW w:type="dxa" w:w="13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1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C-0018</w:t>
            </w:r>
          </w:p>
        </w:tc>
        <w:tc>
          <w:tcPr>
            <w:tcW w:type="dxa" w:w="12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0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no-probes</w:t>
            </w:r>
          </w:p>
        </w:tc>
        <w:tc>
          <w:tcPr>
            <w:tcW w:type="dxa" w:w="1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45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TATAR-OPS-003</w:t>
            </w:r>
          </w:p>
        </w:tc>
        <w:tc>
          <w:tcPr>
            <w:tcW w:type="dxa" w:w="175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Dead / orphan service</w:t>
            </w:r>
          </w:p>
        </w:tc>
        <w:tc>
          <w:tcPr>
            <w:tcW w:type="dxa" w:w="135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15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5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05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no-endpoints</w:t>
            </w:r>
          </w:p>
        </w:tc>
        <w:tc>
          <w:tcPr>
            <w:tcW w:type="dxa" w:w="10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INFO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6. Deduplication алгоритм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Normalize хийгдсэн бүх finding нэг pool-д орж, canonical_control + resource + namespace-аар бүлэглэгдэнэ. Ижил түлхүүртэй findings нэг болж нэгтгэгдэнэ.</w:t>
      </w:r>
    </w:p>
    <w:p>
      <w:pPr>
        <w:pBdr>
          <w:left w:val="single" w:color="1F6F54" w:sz="18" w:space="6"/>
        </w:pBdr>
        <w:shd w:fill="F4F4F4" w:color="auto" w:val="clear"/>
        <w:spacing w:after="0" w:before="6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func Deduplicate(findings []Finding) []Finding {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groups := map[string][]Finding{}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for _, f := range findings {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key := f.CanonicalControl + "|" + f.Resource + "|" + f.Namespace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groups[key] = append(groups[key], f)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}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out := []Finding{}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for _, g := range groups {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merged := g[0]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foundBy := set{}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for _, f := range g {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    foundBy.addAll(f.FoundBy)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    merged.Severity = maxSeverity(merged.Severity, f.Severity)  // хамгийн муугаар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    merged.References = union(merged.References, f.References)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    merged.RawRefs = append(merged.RawRefs, f.RawRefs...)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}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merged.FoundBy = foundBy.sorted()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merged.Confidence = confidenceFrom(len(merged.FoundBy)) // §scoring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merged.ID = stableID(merged)                            // §schema 7.1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out = append(out, merged)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}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return sortByID(out)  // detrministik дараалал → тогтвортой result_hash</w:t>
      </w:r>
    </w:p>
    <w:p>
      <w:pPr>
        <w:pBdr>
          <w:left w:val="single" w:color="1F6F54" w:sz="18" w:space="6"/>
        </w:pBdr>
        <w:shd w:fill="F4F4F4" w:color="auto" w:val="clear"/>
        <w:spacing w:after="14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}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7. Нэгтгэх дүрмүүд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/>
          <w:bCs/>
        </w:rPr>
        <w:t xml:space="preserve">Severity: </w:t>
      </w:r>
      <w:r>
        <w:rPr>
          <w:rFonts w:ascii="Calibri" w:cs="Calibri" w:eastAsia="Calibri" w:hAnsi="Calibri"/>
        </w:rPr>
        <w:t xml:space="preserve">хамгийн өндөр (муу) severity-г авна. Scanner-ууд зөрвөл аюулгүй тал руу.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/>
          <w:bCs/>
        </w:rPr>
        <w:t xml:space="preserve">found_by: </w:t>
      </w:r>
      <w:r>
        <w:rPr>
          <w:rFonts w:ascii="Calibri" w:cs="Calibri" w:eastAsia="Calibri" w:hAnsi="Calibri"/>
        </w:rPr>
        <w:t xml:space="preserve">бүх scanner-ийн нэгдэл (union), эрэмбэлэгдсэн.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/>
          <w:bCs/>
        </w:rPr>
        <w:t xml:space="preserve">confidence: </w:t>
      </w:r>
      <w:r>
        <w:rPr>
          <w:rFonts w:ascii="Calibri" w:cs="Calibri" w:eastAsia="Calibri" w:hAnsi="Calibri"/>
        </w:rPr>
        <w:t xml:space="preserve">found_by-ийн тооноос: 3+ → HIGH, 2 → MEDIUM, 1 → LOW.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/>
          <w:bCs/>
        </w:rPr>
        <w:t xml:space="preserve">references / raw_refs: </w:t>
      </w:r>
      <w:r>
        <w:rPr>
          <w:rFonts w:ascii="Calibri" w:cs="Calibri" w:eastAsia="Calibri" w:hAnsi="Calibri"/>
        </w:rPr>
        <w:t xml:space="preserve">бүх эх сурвалжийг нэгтгэж хадгална — нотолгоо алдагдахгүй.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/>
          <w:bCs/>
        </w:rPr>
        <w:t xml:space="preserve">id: </w:t>
      </w:r>
      <w:r>
        <w:rPr>
          <w:rFonts w:ascii="Calibri" w:cs="Calibri" w:eastAsia="Calibri" w:hAnsi="Calibri"/>
        </w:rPr>
        <w:t xml:space="preserve">нэгтгэсний дараа canonical+resource+namespace-аас дахин тооцоолж тогтвортой болгоно.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8. Арчилгааны ажлын урсгал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Шинэ scanner эсвэл шинэ rule гарахад: (1) canonical-controls.yaml-д тухайн rule-ыг одоо байгаа canonical control-ын mappings-д нэмэх, эсвэл шинэ canonical control үүсгэх; (2) хэрэв ижил утгатай control байхгүй бол шинэ дугаар олгох (хэзээ ч дахин ашиглахгүй); (3) unit test-ээр mapping бүр хүчинтэй canonical ID руу зааж байгааг шалгах; (4) хувилбар нэмэгдүүлж changelog-д тэмдэглэх. Canonical registry нь семантик хувилбартай (semver) байна.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2026-07-24T13:27:34.006Z</dcterms:created>
  <dcterms:modified xsi:type="dcterms:W3CDTF">2026-07-24T13:27:34.006Z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