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4CDF3" w14:textId="77777777" w:rsidR="00B401FD" w:rsidRDefault="00B401FD" w:rsidP="00E51BE1">
      <w:pPr>
        <w:spacing w:after="160"/>
        <w:jc w:val="both"/>
        <w:rPr>
          <w:rFonts w:cstheme="minorHAnsi"/>
          <w:b/>
          <w:bCs/>
          <w:szCs w:val="22"/>
          <w:u w:val="single"/>
          <w:lang w:val="en-GB"/>
        </w:rPr>
      </w:pPr>
      <w:bookmarkStart w:id="0" w:name="_GoBack"/>
      <w:bookmarkEnd w:id="0"/>
    </w:p>
    <w:p w14:paraId="63F5FBB9" w14:textId="00C91770" w:rsidR="007A6AC6" w:rsidRPr="00B401FD" w:rsidRDefault="007A6AC6" w:rsidP="00E51BE1">
      <w:pPr>
        <w:spacing w:after="160"/>
        <w:jc w:val="both"/>
        <w:rPr>
          <w:rFonts w:cstheme="minorHAnsi"/>
          <w:b/>
          <w:bCs/>
          <w:szCs w:val="22"/>
          <w:u w:val="single"/>
          <w:lang w:val="en-GB"/>
        </w:rPr>
      </w:pPr>
      <w:r w:rsidRPr="00B401FD">
        <w:rPr>
          <w:rFonts w:cstheme="minorHAnsi"/>
          <w:b/>
          <w:bCs/>
          <w:szCs w:val="22"/>
          <w:u w:val="single"/>
          <w:lang w:val="en-GB"/>
        </w:rPr>
        <w:t xml:space="preserve">Establishment of a National Human Rights Institution in the Czech Republic – What can </w:t>
      </w:r>
      <w:r w:rsidR="00EF556C" w:rsidRPr="00B401FD">
        <w:rPr>
          <w:rFonts w:cstheme="minorHAnsi"/>
          <w:b/>
          <w:bCs/>
          <w:szCs w:val="22"/>
          <w:u w:val="single"/>
          <w:lang w:val="en-GB"/>
        </w:rPr>
        <w:t>be the inspiration from</w:t>
      </w:r>
      <w:r w:rsidRPr="00B401FD">
        <w:rPr>
          <w:rFonts w:cstheme="minorHAnsi"/>
          <w:b/>
          <w:bCs/>
          <w:szCs w:val="22"/>
          <w:u w:val="single"/>
          <w:lang w:val="en-GB"/>
        </w:rPr>
        <w:t xml:space="preserve"> Norway?</w:t>
      </w:r>
    </w:p>
    <w:p w14:paraId="6EC6C471" w14:textId="2BD0269F" w:rsidR="007A6AC6" w:rsidRPr="00C85DCB" w:rsidRDefault="007A6AC6" w:rsidP="00E51BE1">
      <w:pPr>
        <w:spacing w:after="160"/>
        <w:jc w:val="both"/>
        <w:rPr>
          <w:rFonts w:cstheme="minorHAnsi"/>
          <w:sz w:val="22"/>
          <w:szCs w:val="22"/>
          <w:lang w:val="nb-NO"/>
        </w:rPr>
      </w:pPr>
      <w:r w:rsidRPr="00C85DCB">
        <w:rPr>
          <w:rFonts w:cstheme="minorHAnsi"/>
          <w:sz w:val="22"/>
          <w:szCs w:val="22"/>
          <w:lang w:val="nb-NO"/>
        </w:rPr>
        <w:t xml:space="preserve">Kristin Høgdahl, </w:t>
      </w:r>
      <w:r w:rsidRPr="00C85DCB">
        <w:rPr>
          <w:rFonts w:cstheme="minorHAnsi"/>
          <w:i/>
          <w:iCs/>
          <w:sz w:val="22"/>
          <w:szCs w:val="22"/>
          <w:lang w:val="nb-NO"/>
        </w:rPr>
        <w:t>Norges institusjon for menneskerettigheter</w:t>
      </w:r>
      <w:r w:rsidRPr="00C85DCB">
        <w:rPr>
          <w:rFonts w:cstheme="minorHAnsi"/>
          <w:sz w:val="22"/>
          <w:szCs w:val="22"/>
          <w:lang w:val="nb-NO"/>
        </w:rPr>
        <w:t>, Oslo, Norway</w:t>
      </w:r>
    </w:p>
    <w:p w14:paraId="1A0E8EFA" w14:textId="5A6B13E4" w:rsidR="00017ED7" w:rsidRPr="00C85DCB" w:rsidRDefault="007A6AC6" w:rsidP="00E51BE1">
      <w:pPr>
        <w:spacing w:after="160"/>
        <w:jc w:val="both"/>
        <w:rPr>
          <w:rFonts w:cstheme="minorHAnsi"/>
          <w:sz w:val="22"/>
          <w:szCs w:val="22"/>
          <w:lang w:val="en-GB"/>
        </w:rPr>
      </w:pPr>
      <w:r w:rsidRPr="00C85DCB">
        <w:rPr>
          <w:rFonts w:cstheme="minorHAnsi"/>
          <w:sz w:val="22"/>
          <w:szCs w:val="22"/>
          <w:lang w:val="en-GB"/>
        </w:rPr>
        <w:t xml:space="preserve">Roman Zapletal, </w:t>
      </w:r>
      <w:r w:rsidRPr="00C85DCB">
        <w:rPr>
          <w:rFonts w:cstheme="minorHAnsi"/>
          <w:i/>
          <w:iCs/>
          <w:sz w:val="22"/>
          <w:szCs w:val="22"/>
          <w:lang w:val="en-GB"/>
        </w:rPr>
        <w:t>Office of the Public Defender of Rights</w:t>
      </w:r>
      <w:r w:rsidRPr="00C85DCB">
        <w:rPr>
          <w:rFonts w:cstheme="minorHAnsi"/>
          <w:sz w:val="22"/>
          <w:szCs w:val="22"/>
          <w:lang w:val="en-GB"/>
        </w:rPr>
        <w:t>, Brno, Czech Republic</w:t>
      </w:r>
    </w:p>
    <w:p w14:paraId="311C2C11" w14:textId="77777777" w:rsidR="007A6AC6" w:rsidRPr="00C85DCB" w:rsidRDefault="007A6AC6" w:rsidP="00E51BE1">
      <w:pPr>
        <w:spacing w:after="160"/>
        <w:jc w:val="both"/>
        <w:rPr>
          <w:rFonts w:cstheme="minorHAnsi"/>
          <w:sz w:val="22"/>
          <w:szCs w:val="22"/>
          <w:lang w:val="en-GB"/>
        </w:rPr>
      </w:pPr>
    </w:p>
    <w:p w14:paraId="65676786" w14:textId="6AA4DADF" w:rsidR="007A6AC6" w:rsidRPr="00C85DCB" w:rsidRDefault="007A6AC6" w:rsidP="00E51BE1">
      <w:pPr>
        <w:spacing w:after="160"/>
        <w:jc w:val="both"/>
        <w:rPr>
          <w:rFonts w:cstheme="minorHAnsi"/>
          <w:b/>
          <w:bCs/>
          <w:i/>
          <w:iCs/>
          <w:sz w:val="22"/>
          <w:szCs w:val="22"/>
          <w:lang w:val="en-GB"/>
        </w:rPr>
      </w:pPr>
      <w:r w:rsidRPr="00C85DCB">
        <w:rPr>
          <w:rFonts w:cstheme="minorHAnsi"/>
          <w:b/>
          <w:bCs/>
          <w:i/>
          <w:iCs/>
          <w:sz w:val="22"/>
          <w:szCs w:val="22"/>
          <w:lang w:val="en-GB"/>
        </w:rPr>
        <w:t>The Czech Republic</w:t>
      </w:r>
      <w:r w:rsidR="00531610" w:rsidRPr="00C85DCB">
        <w:rPr>
          <w:rFonts w:cstheme="minorHAnsi"/>
          <w:b/>
          <w:bCs/>
          <w:i/>
          <w:iCs/>
          <w:sz w:val="22"/>
          <w:szCs w:val="22"/>
          <w:lang w:val="en-GB"/>
        </w:rPr>
        <w:t>, together with Malta and Italy</w:t>
      </w:r>
      <w:r w:rsidR="00483D50" w:rsidRPr="00C85DCB">
        <w:rPr>
          <w:rFonts w:cstheme="minorHAnsi"/>
          <w:b/>
          <w:bCs/>
          <w:i/>
          <w:iCs/>
          <w:sz w:val="22"/>
          <w:szCs w:val="22"/>
          <w:lang w:val="en-GB"/>
        </w:rPr>
        <w:t>,</w:t>
      </w:r>
      <w:r w:rsidR="00531610" w:rsidRPr="00C85DCB">
        <w:rPr>
          <w:rFonts w:cstheme="minorHAnsi"/>
          <w:b/>
          <w:bCs/>
          <w:i/>
          <w:iCs/>
          <w:sz w:val="22"/>
          <w:szCs w:val="22"/>
          <w:lang w:val="en-GB"/>
        </w:rPr>
        <w:t xml:space="preserve"> are the only </w:t>
      </w:r>
      <w:r w:rsidRPr="00C85DCB">
        <w:rPr>
          <w:rFonts w:cstheme="minorHAnsi"/>
          <w:b/>
          <w:bCs/>
          <w:i/>
          <w:iCs/>
          <w:sz w:val="22"/>
          <w:szCs w:val="22"/>
          <w:lang w:val="en-GB"/>
        </w:rPr>
        <w:t>countries within the EU where a national institution with a broad mandate to protect and promote human rights</w:t>
      </w:r>
      <w:r w:rsidR="003D33F3" w:rsidRPr="00C85DCB">
        <w:rPr>
          <w:rFonts w:cstheme="minorHAnsi"/>
          <w:b/>
          <w:bCs/>
          <w:i/>
          <w:iCs/>
          <w:sz w:val="22"/>
          <w:szCs w:val="22"/>
          <w:lang w:val="en-GB"/>
        </w:rPr>
        <w:t>,</w:t>
      </w:r>
      <w:r w:rsidRPr="00C85DCB">
        <w:rPr>
          <w:rFonts w:cstheme="minorHAnsi"/>
          <w:b/>
          <w:bCs/>
          <w:i/>
          <w:iCs/>
          <w:sz w:val="22"/>
          <w:szCs w:val="22"/>
          <w:lang w:val="en-GB"/>
        </w:rPr>
        <w:t xml:space="preserve"> the so-called National Human Rights Institution, NHRI</w:t>
      </w:r>
      <w:r w:rsidR="003D33F3" w:rsidRPr="00C85DCB">
        <w:rPr>
          <w:rFonts w:cstheme="minorHAnsi"/>
          <w:b/>
          <w:bCs/>
          <w:i/>
          <w:iCs/>
          <w:sz w:val="22"/>
          <w:szCs w:val="22"/>
          <w:lang w:val="en-GB"/>
        </w:rPr>
        <w:t>,</w:t>
      </w:r>
      <w:r w:rsidRPr="00C85DCB">
        <w:rPr>
          <w:rFonts w:cstheme="minorHAnsi"/>
          <w:b/>
          <w:bCs/>
          <w:i/>
          <w:iCs/>
          <w:sz w:val="22"/>
          <w:szCs w:val="22"/>
          <w:lang w:val="en-GB"/>
        </w:rPr>
        <w:t xml:space="preserve"> has not yet been established and accredited. Czech</w:t>
      </w:r>
      <w:r w:rsidR="00EB0CC7" w:rsidRPr="00C85DCB">
        <w:rPr>
          <w:rFonts w:cstheme="minorHAnsi"/>
          <w:b/>
          <w:bCs/>
          <w:i/>
          <w:iCs/>
          <w:sz w:val="22"/>
          <w:szCs w:val="22"/>
          <w:lang w:val="en-GB"/>
        </w:rPr>
        <w:t>ia</w:t>
      </w:r>
      <w:r w:rsidRPr="00C85DCB">
        <w:rPr>
          <w:rFonts w:cstheme="minorHAnsi"/>
          <w:b/>
          <w:bCs/>
          <w:i/>
          <w:iCs/>
          <w:sz w:val="22"/>
          <w:szCs w:val="22"/>
          <w:lang w:val="en-GB"/>
        </w:rPr>
        <w:t xml:space="preserve"> has long faced criticism for this shortcoming, both international</w:t>
      </w:r>
      <w:r w:rsidR="003D33F3" w:rsidRPr="00C85DCB">
        <w:rPr>
          <w:rFonts w:cstheme="minorHAnsi"/>
          <w:b/>
          <w:bCs/>
          <w:i/>
          <w:iCs/>
          <w:sz w:val="22"/>
          <w:szCs w:val="22"/>
          <w:lang w:val="en-GB"/>
        </w:rPr>
        <w:t>ly</w:t>
      </w:r>
      <w:r w:rsidRPr="00C85DCB">
        <w:rPr>
          <w:rFonts w:cstheme="minorHAnsi"/>
          <w:b/>
          <w:bCs/>
          <w:i/>
          <w:iCs/>
          <w:sz w:val="22"/>
          <w:szCs w:val="22"/>
          <w:lang w:val="en-GB"/>
        </w:rPr>
        <w:t xml:space="preserve"> from the UN, the Council of Europe and the EU and, in recent years, increasing</w:t>
      </w:r>
      <w:r w:rsidR="003D33F3" w:rsidRPr="00C85DCB">
        <w:rPr>
          <w:rFonts w:cstheme="minorHAnsi"/>
          <w:b/>
          <w:bCs/>
          <w:i/>
          <w:iCs/>
          <w:sz w:val="22"/>
          <w:szCs w:val="22"/>
          <w:lang w:val="en-GB"/>
        </w:rPr>
        <w:t>ly</w:t>
      </w:r>
      <w:r w:rsidRPr="00C85DCB">
        <w:rPr>
          <w:rFonts w:cstheme="minorHAnsi"/>
          <w:b/>
          <w:bCs/>
          <w:i/>
          <w:iCs/>
          <w:sz w:val="22"/>
          <w:szCs w:val="22"/>
          <w:lang w:val="en-GB"/>
        </w:rPr>
        <w:t xml:space="preserve"> from representatives of domestic civil society. Current legislative </w:t>
      </w:r>
      <w:r w:rsidR="00170202" w:rsidRPr="00C85DCB">
        <w:rPr>
          <w:rFonts w:cstheme="minorHAnsi"/>
          <w:b/>
          <w:bCs/>
          <w:i/>
          <w:iCs/>
          <w:sz w:val="22"/>
          <w:szCs w:val="22"/>
          <w:lang w:val="en-GB"/>
        </w:rPr>
        <w:t xml:space="preserve">draft proposal </w:t>
      </w:r>
      <w:r w:rsidRPr="00C85DCB">
        <w:rPr>
          <w:rFonts w:cstheme="minorHAnsi"/>
          <w:b/>
          <w:bCs/>
          <w:i/>
          <w:iCs/>
          <w:sz w:val="22"/>
          <w:szCs w:val="22"/>
          <w:lang w:val="en-GB"/>
        </w:rPr>
        <w:t>foresee</w:t>
      </w:r>
      <w:r w:rsidR="00170202" w:rsidRPr="00C85DCB">
        <w:rPr>
          <w:rFonts w:cstheme="minorHAnsi"/>
          <w:b/>
          <w:bCs/>
          <w:i/>
          <w:iCs/>
          <w:sz w:val="22"/>
          <w:szCs w:val="22"/>
          <w:lang w:val="en-GB"/>
        </w:rPr>
        <w:t>s</w:t>
      </w:r>
      <w:r w:rsidRPr="00C85DCB">
        <w:rPr>
          <w:rFonts w:cstheme="minorHAnsi"/>
          <w:b/>
          <w:bCs/>
          <w:i/>
          <w:iCs/>
          <w:sz w:val="22"/>
          <w:szCs w:val="22"/>
          <w:lang w:val="en-GB"/>
        </w:rPr>
        <w:t xml:space="preserve"> entrusting the mandate of the NHRI to the Office of the </w:t>
      </w:r>
      <w:r w:rsidR="004B5B7E" w:rsidRPr="00C85DCB">
        <w:rPr>
          <w:rFonts w:cstheme="minorHAnsi"/>
          <w:b/>
          <w:bCs/>
          <w:i/>
          <w:iCs/>
          <w:sz w:val="22"/>
          <w:szCs w:val="22"/>
          <w:lang w:val="en-GB"/>
        </w:rPr>
        <w:t>Public Defender of Rights</w:t>
      </w:r>
      <w:r w:rsidR="00EC6153" w:rsidRPr="00C85DCB">
        <w:rPr>
          <w:rFonts w:cstheme="minorHAnsi"/>
          <w:b/>
          <w:bCs/>
          <w:i/>
          <w:iCs/>
          <w:sz w:val="22"/>
          <w:szCs w:val="22"/>
          <w:lang w:val="en-GB"/>
        </w:rPr>
        <w:t xml:space="preserve">, the </w:t>
      </w:r>
      <w:r w:rsidRPr="00C85DCB">
        <w:rPr>
          <w:rFonts w:cstheme="minorHAnsi"/>
          <w:b/>
          <w:bCs/>
          <w:i/>
          <w:iCs/>
          <w:sz w:val="22"/>
          <w:szCs w:val="22"/>
          <w:lang w:val="en-GB"/>
        </w:rPr>
        <w:t>Ombudsman</w:t>
      </w:r>
      <w:r w:rsidR="001E0996" w:rsidRPr="00C85DCB">
        <w:rPr>
          <w:rFonts w:cstheme="minorHAnsi"/>
          <w:b/>
          <w:bCs/>
          <w:i/>
          <w:iCs/>
          <w:sz w:val="22"/>
          <w:szCs w:val="22"/>
          <w:lang w:val="en-GB"/>
        </w:rPr>
        <w:t>,</w:t>
      </w:r>
      <w:r w:rsidRPr="00C85DCB">
        <w:rPr>
          <w:rFonts w:cstheme="minorHAnsi"/>
          <w:b/>
          <w:bCs/>
          <w:i/>
          <w:iCs/>
          <w:sz w:val="22"/>
          <w:szCs w:val="22"/>
          <w:lang w:val="en-GB"/>
        </w:rPr>
        <w:t xml:space="preserve"> through an amendment to the Ombudsman Act. Therefore, it </w:t>
      </w:r>
      <w:r w:rsidR="00093ED0" w:rsidRPr="00C85DCB">
        <w:rPr>
          <w:rFonts w:cstheme="minorHAnsi"/>
          <w:b/>
          <w:bCs/>
          <w:i/>
          <w:iCs/>
          <w:sz w:val="22"/>
          <w:szCs w:val="22"/>
          <w:lang w:val="en-GB"/>
        </w:rPr>
        <w:t xml:space="preserve">is time </w:t>
      </w:r>
      <w:r w:rsidR="00AE580C" w:rsidRPr="00C85DCB">
        <w:rPr>
          <w:rFonts w:cstheme="minorHAnsi"/>
          <w:b/>
          <w:bCs/>
          <w:i/>
          <w:iCs/>
          <w:sz w:val="22"/>
          <w:szCs w:val="22"/>
          <w:lang w:val="en-GB"/>
        </w:rPr>
        <w:t xml:space="preserve">to </w:t>
      </w:r>
      <w:r w:rsidRPr="00C85DCB">
        <w:rPr>
          <w:rFonts w:cstheme="minorHAnsi"/>
          <w:b/>
          <w:bCs/>
          <w:i/>
          <w:iCs/>
          <w:sz w:val="22"/>
          <w:szCs w:val="22"/>
          <w:lang w:val="en-GB"/>
        </w:rPr>
        <w:t>take a closer look at</w:t>
      </w:r>
      <w:r w:rsidR="00AE580C" w:rsidRPr="00C85DCB">
        <w:rPr>
          <w:rFonts w:cstheme="minorHAnsi"/>
          <w:b/>
          <w:bCs/>
          <w:i/>
          <w:iCs/>
          <w:sz w:val="22"/>
          <w:szCs w:val="22"/>
          <w:lang w:val="en-GB"/>
        </w:rPr>
        <w:t xml:space="preserve"> what an NHRI is in practice and what value it will add to the Ombudsman’s </w:t>
      </w:r>
      <w:r w:rsidR="00F0474A" w:rsidRPr="00C85DCB">
        <w:rPr>
          <w:rFonts w:cstheme="minorHAnsi"/>
          <w:b/>
          <w:bCs/>
          <w:i/>
          <w:iCs/>
          <w:sz w:val="22"/>
          <w:szCs w:val="22"/>
          <w:lang w:val="en-GB"/>
        </w:rPr>
        <w:t xml:space="preserve">vital </w:t>
      </w:r>
      <w:r w:rsidR="00AE580C" w:rsidRPr="00C85DCB">
        <w:rPr>
          <w:rFonts w:cstheme="minorHAnsi"/>
          <w:b/>
          <w:bCs/>
          <w:i/>
          <w:iCs/>
          <w:sz w:val="22"/>
          <w:szCs w:val="22"/>
          <w:lang w:val="en-GB"/>
        </w:rPr>
        <w:t xml:space="preserve">focus on individual complaints. </w:t>
      </w:r>
      <w:r w:rsidRPr="00C85DCB">
        <w:rPr>
          <w:rFonts w:cstheme="minorHAnsi"/>
          <w:b/>
          <w:bCs/>
          <w:i/>
          <w:iCs/>
          <w:sz w:val="22"/>
          <w:szCs w:val="22"/>
          <w:lang w:val="en-GB"/>
        </w:rPr>
        <w:t xml:space="preserve">The Norwegian experience may serve well as a valuable source of inspiration </w:t>
      </w:r>
      <w:r w:rsidR="00F0474A" w:rsidRPr="00C85DCB">
        <w:rPr>
          <w:rFonts w:cstheme="minorHAnsi"/>
          <w:b/>
          <w:bCs/>
          <w:i/>
          <w:iCs/>
          <w:sz w:val="22"/>
          <w:szCs w:val="22"/>
          <w:lang w:val="en-GB"/>
        </w:rPr>
        <w:t xml:space="preserve">because it </w:t>
      </w:r>
      <w:r w:rsidR="001E0996" w:rsidRPr="00C85DCB">
        <w:rPr>
          <w:rFonts w:cstheme="minorHAnsi"/>
          <w:b/>
          <w:bCs/>
          <w:i/>
          <w:iCs/>
          <w:sz w:val="22"/>
          <w:szCs w:val="22"/>
          <w:lang w:val="en-GB"/>
        </w:rPr>
        <w:t>focu</w:t>
      </w:r>
      <w:r w:rsidR="00F0474A" w:rsidRPr="00C85DCB">
        <w:rPr>
          <w:rFonts w:cstheme="minorHAnsi"/>
          <w:b/>
          <w:bCs/>
          <w:i/>
          <w:iCs/>
          <w:sz w:val="22"/>
          <w:szCs w:val="22"/>
          <w:lang w:val="en-GB"/>
        </w:rPr>
        <w:t xml:space="preserve">ses on the broader picture, the systemic weaknesses that may generate </w:t>
      </w:r>
      <w:r w:rsidR="00495271" w:rsidRPr="00C85DCB">
        <w:rPr>
          <w:rFonts w:cstheme="minorHAnsi"/>
          <w:b/>
          <w:bCs/>
          <w:i/>
          <w:iCs/>
          <w:sz w:val="22"/>
          <w:szCs w:val="22"/>
          <w:lang w:val="en-GB"/>
        </w:rPr>
        <w:t xml:space="preserve">individual </w:t>
      </w:r>
      <w:r w:rsidR="00F0474A" w:rsidRPr="00C85DCB">
        <w:rPr>
          <w:rFonts w:cstheme="minorHAnsi"/>
          <w:b/>
          <w:bCs/>
          <w:i/>
          <w:iCs/>
          <w:sz w:val="22"/>
          <w:szCs w:val="22"/>
          <w:lang w:val="en-GB"/>
        </w:rPr>
        <w:t>complaint</w:t>
      </w:r>
      <w:r w:rsidR="00027726" w:rsidRPr="00C85DCB">
        <w:rPr>
          <w:rFonts w:cstheme="minorHAnsi"/>
          <w:b/>
          <w:bCs/>
          <w:i/>
          <w:iCs/>
          <w:sz w:val="22"/>
          <w:szCs w:val="22"/>
          <w:lang w:val="en-GB"/>
        </w:rPr>
        <w:t>s</w:t>
      </w:r>
      <w:r w:rsidR="006F6E38" w:rsidRPr="00C85DCB">
        <w:rPr>
          <w:rFonts w:cstheme="minorHAnsi"/>
          <w:b/>
          <w:bCs/>
          <w:i/>
          <w:iCs/>
          <w:sz w:val="22"/>
          <w:szCs w:val="22"/>
          <w:lang w:val="en-GB"/>
        </w:rPr>
        <w:t xml:space="preserve"> or may be overlooked all together</w:t>
      </w:r>
      <w:r w:rsidRPr="00C85DCB">
        <w:rPr>
          <w:rFonts w:cstheme="minorHAnsi"/>
          <w:b/>
          <w:bCs/>
          <w:i/>
          <w:iCs/>
          <w:sz w:val="22"/>
          <w:szCs w:val="22"/>
          <w:lang w:val="en-GB"/>
        </w:rPr>
        <w:t>.</w:t>
      </w:r>
    </w:p>
    <w:p w14:paraId="421C434A" w14:textId="080C705F" w:rsidR="00E96904" w:rsidRPr="00C85DCB" w:rsidRDefault="00E96904" w:rsidP="00E51BE1">
      <w:pPr>
        <w:spacing w:after="160"/>
        <w:jc w:val="both"/>
        <w:rPr>
          <w:rFonts w:cstheme="minorHAnsi"/>
          <w:sz w:val="22"/>
          <w:szCs w:val="22"/>
          <w:lang w:val="en-GB"/>
        </w:rPr>
      </w:pPr>
    </w:p>
    <w:p w14:paraId="6E2AFCF6" w14:textId="31EA83F0" w:rsidR="006F6E38" w:rsidRPr="00C85DCB" w:rsidRDefault="007A6AC6" w:rsidP="00E51BE1">
      <w:pPr>
        <w:spacing w:after="160"/>
        <w:jc w:val="both"/>
        <w:rPr>
          <w:rFonts w:cstheme="minorHAnsi"/>
          <w:sz w:val="22"/>
          <w:szCs w:val="22"/>
          <w:lang w:val="en-GB"/>
        </w:rPr>
      </w:pPr>
      <w:r w:rsidRPr="00C85DCB">
        <w:rPr>
          <w:rFonts w:cstheme="minorHAnsi"/>
          <w:sz w:val="22"/>
          <w:szCs w:val="22"/>
          <w:lang w:val="en-GB"/>
        </w:rPr>
        <w:t>Th</w:t>
      </w:r>
      <w:r w:rsidR="001E0996" w:rsidRPr="00C85DCB">
        <w:rPr>
          <w:rFonts w:cstheme="minorHAnsi"/>
          <w:sz w:val="22"/>
          <w:szCs w:val="22"/>
          <w:lang w:val="en-GB"/>
        </w:rPr>
        <w:t>is article</w:t>
      </w:r>
      <w:r w:rsidRPr="00C85DCB">
        <w:rPr>
          <w:rFonts w:cstheme="minorHAnsi"/>
          <w:sz w:val="22"/>
          <w:szCs w:val="22"/>
          <w:lang w:val="en-GB"/>
        </w:rPr>
        <w:t xml:space="preserve"> aims to provide a</w:t>
      </w:r>
      <w:r w:rsidR="00E143A8" w:rsidRPr="00C85DCB">
        <w:rPr>
          <w:rFonts w:cstheme="minorHAnsi"/>
          <w:sz w:val="22"/>
          <w:szCs w:val="22"/>
          <w:lang w:val="en-GB"/>
        </w:rPr>
        <w:t>n</w:t>
      </w:r>
      <w:r w:rsidRPr="00C85DCB">
        <w:rPr>
          <w:rFonts w:cstheme="minorHAnsi"/>
          <w:sz w:val="22"/>
          <w:szCs w:val="22"/>
          <w:lang w:val="en-GB"/>
        </w:rPr>
        <w:t xml:space="preserve"> informative overview of </w:t>
      </w:r>
      <w:r w:rsidR="00E143A8" w:rsidRPr="00C85DCB">
        <w:rPr>
          <w:rFonts w:cstheme="minorHAnsi"/>
          <w:sz w:val="22"/>
          <w:szCs w:val="22"/>
          <w:lang w:val="en-GB"/>
        </w:rPr>
        <w:t xml:space="preserve">the international requirements that national human rights institutions must fulfil, drawing on </w:t>
      </w:r>
      <w:r w:rsidR="00AD46A7" w:rsidRPr="00C85DCB">
        <w:rPr>
          <w:rFonts w:cstheme="minorHAnsi"/>
          <w:sz w:val="22"/>
          <w:szCs w:val="22"/>
          <w:lang w:val="en-GB"/>
        </w:rPr>
        <w:t xml:space="preserve">key </w:t>
      </w:r>
      <w:r w:rsidRPr="00C85DCB">
        <w:rPr>
          <w:rFonts w:cstheme="minorHAnsi"/>
          <w:sz w:val="22"/>
          <w:szCs w:val="22"/>
          <w:lang w:val="en-GB"/>
        </w:rPr>
        <w:t>aspects of the activities of the Norwegian National Human Rights Institution (</w:t>
      </w:r>
      <w:r w:rsidRPr="00C85DCB">
        <w:rPr>
          <w:rFonts w:cstheme="minorHAnsi"/>
          <w:i/>
          <w:iCs/>
          <w:sz w:val="22"/>
          <w:szCs w:val="22"/>
          <w:lang w:val="en-GB"/>
        </w:rPr>
        <w:t>Norges institusjon for menneskerettigheter</w:t>
      </w:r>
      <w:r w:rsidRPr="00C85DCB">
        <w:rPr>
          <w:rFonts w:cstheme="minorHAnsi"/>
          <w:sz w:val="22"/>
          <w:szCs w:val="22"/>
          <w:lang w:val="en-GB"/>
        </w:rPr>
        <w:t xml:space="preserve">, hereinafter referred to as </w:t>
      </w:r>
      <w:r w:rsidR="004B5B7E" w:rsidRPr="00C85DCB">
        <w:rPr>
          <w:rFonts w:cstheme="minorHAnsi"/>
          <w:sz w:val="22"/>
          <w:szCs w:val="22"/>
          <w:lang w:val="en-GB"/>
        </w:rPr>
        <w:t>“</w:t>
      </w:r>
      <w:r w:rsidR="00170202" w:rsidRPr="00C85DCB">
        <w:rPr>
          <w:rFonts w:cstheme="minorHAnsi"/>
          <w:sz w:val="22"/>
          <w:szCs w:val="22"/>
          <w:lang w:val="en-GB"/>
        </w:rPr>
        <w:t>Norway’s NHRI</w:t>
      </w:r>
      <w:r w:rsidR="004B5B7E" w:rsidRPr="00C85DCB">
        <w:rPr>
          <w:rFonts w:cstheme="minorHAnsi"/>
          <w:sz w:val="22"/>
          <w:szCs w:val="22"/>
          <w:lang w:val="en-GB"/>
        </w:rPr>
        <w:t>”</w:t>
      </w:r>
      <w:r w:rsidRPr="00C85DCB">
        <w:rPr>
          <w:rFonts w:cstheme="minorHAnsi"/>
          <w:sz w:val="22"/>
          <w:szCs w:val="22"/>
          <w:lang w:val="en-GB"/>
        </w:rPr>
        <w:t>)</w:t>
      </w:r>
      <w:r w:rsidR="006F6E38" w:rsidRPr="00C85DCB">
        <w:rPr>
          <w:rFonts w:cstheme="minorHAnsi"/>
          <w:sz w:val="22"/>
          <w:szCs w:val="22"/>
          <w:lang w:val="en-GB"/>
        </w:rPr>
        <w:t>.</w:t>
      </w:r>
      <w:r w:rsidR="006F6E38" w:rsidRPr="00C85DCB">
        <w:rPr>
          <w:rStyle w:val="Znakapoznpodarou"/>
          <w:rFonts w:cstheme="minorHAnsi"/>
          <w:sz w:val="22"/>
          <w:szCs w:val="22"/>
          <w:lang w:val="en-GB"/>
        </w:rPr>
        <w:footnoteReference w:id="1"/>
      </w:r>
      <w:r w:rsidRPr="00C85DCB">
        <w:rPr>
          <w:rFonts w:cstheme="minorHAnsi"/>
          <w:sz w:val="22"/>
          <w:szCs w:val="22"/>
          <w:lang w:val="en-GB"/>
        </w:rPr>
        <w:t xml:space="preserve"> </w:t>
      </w:r>
      <w:r w:rsidR="006F6E38" w:rsidRPr="00C85DCB">
        <w:rPr>
          <w:rFonts w:cstheme="minorHAnsi"/>
          <w:sz w:val="22"/>
          <w:szCs w:val="22"/>
          <w:lang w:val="en-GB"/>
        </w:rPr>
        <w:t xml:space="preserve">We think some </w:t>
      </w:r>
      <w:r w:rsidR="00465060" w:rsidRPr="00C85DCB">
        <w:rPr>
          <w:rFonts w:cstheme="minorHAnsi"/>
          <w:sz w:val="22"/>
          <w:szCs w:val="22"/>
          <w:lang w:val="en-GB"/>
        </w:rPr>
        <w:t>best practices</w:t>
      </w:r>
      <w:r w:rsidR="006F6E38" w:rsidRPr="00C85DCB">
        <w:rPr>
          <w:rFonts w:cstheme="minorHAnsi"/>
          <w:sz w:val="22"/>
          <w:szCs w:val="22"/>
          <w:lang w:val="en-GB"/>
        </w:rPr>
        <w:t xml:space="preserve"> </w:t>
      </w:r>
      <w:r w:rsidRPr="00C85DCB">
        <w:rPr>
          <w:rFonts w:cstheme="minorHAnsi"/>
          <w:sz w:val="22"/>
          <w:szCs w:val="22"/>
          <w:lang w:val="en-GB"/>
        </w:rPr>
        <w:t xml:space="preserve">may be transferable to the </w:t>
      </w:r>
      <w:r w:rsidR="00832D13" w:rsidRPr="00C85DCB">
        <w:rPr>
          <w:rFonts w:cstheme="minorHAnsi"/>
          <w:sz w:val="22"/>
          <w:szCs w:val="22"/>
          <w:lang w:val="en-GB"/>
        </w:rPr>
        <w:t>Czech</w:t>
      </w:r>
      <w:r w:rsidRPr="00C85DCB">
        <w:rPr>
          <w:rFonts w:cstheme="minorHAnsi"/>
          <w:sz w:val="22"/>
          <w:szCs w:val="22"/>
          <w:lang w:val="en-GB"/>
        </w:rPr>
        <w:t xml:space="preserve"> environment and applicable within the Ombudsman</w:t>
      </w:r>
      <w:r w:rsidR="00832D13" w:rsidRPr="00C85DCB">
        <w:rPr>
          <w:rFonts w:cstheme="minorHAnsi"/>
          <w:sz w:val="22"/>
          <w:szCs w:val="22"/>
          <w:lang w:val="en-GB"/>
        </w:rPr>
        <w:t>’s</w:t>
      </w:r>
      <w:r w:rsidRPr="00C85DCB">
        <w:rPr>
          <w:rFonts w:cstheme="minorHAnsi"/>
          <w:sz w:val="22"/>
          <w:szCs w:val="22"/>
          <w:lang w:val="en-GB"/>
        </w:rPr>
        <w:t xml:space="preserve"> </w:t>
      </w:r>
      <w:r w:rsidR="00832D13" w:rsidRPr="00C85DCB">
        <w:rPr>
          <w:rFonts w:cstheme="minorHAnsi"/>
          <w:sz w:val="22"/>
          <w:szCs w:val="22"/>
          <w:lang w:val="en-GB"/>
        </w:rPr>
        <w:t xml:space="preserve">Office </w:t>
      </w:r>
      <w:r w:rsidRPr="00C85DCB">
        <w:rPr>
          <w:rFonts w:cstheme="minorHAnsi"/>
          <w:sz w:val="22"/>
          <w:szCs w:val="22"/>
          <w:lang w:val="en-GB"/>
        </w:rPr>
        <w:t xml:space="preserve">(hereinafter referred to as </w:t>
      </w:r>
      <w:r w:rsidR="004B5B7E" w:rsidRPr="00C85DCB">
        <w:rPr>
          <w:rFonts w:cstheme="minorHAnsi"/>
          <w:sz w:val="22"/>
          <w:szCs w:val="22"/>
          <w:lang w:val="en-GB"/>
        </w:rPr>
        <w:t>“Office”</w:t>
      </w:r>
      <w:r w:rsidRPr="00C85DCB">
        <w:rPr>
          <w:rFonts w:cstheme="minorHAnsi"/>
          <w:sz w:val="22"/>
          <w:szCs w:val="22"/>
          <w:lang w:val="en-GB"/>
        </w:rPr>
        <w:t xml:space="preserve">) in case it is entrusted with the mandate of the National Human Rights Institution (hereinafter referred to as </w:t>
      </w:r>
      <w:r w:rsidR="004B5B7E" w:rsidRPr="00C85DCB">
        <w:rPr>
          <w:rFonts w:cstheme="minorHAnsi"/>
          <w:sz w:val="22"/>
          <w:szCs w:val="22"/>
          <w:lang w:val="en-GB"/>
        </w:rPr>
        <w:t>“</w:t>
      </w:r>
      <w:r w:rsidRPr="00C85DCB">
        <w:rPr>
          <w:rFonts w:cstheme="minorHAnsi"/>
          <w:sz w:val="22"/>
          <w:szCs w:val="22"/>
          <w:lang w:val="en-GB"/>
        </w:rPr>
        <w:t>NHRI</w:t>
      </w:r>
      <w:r w:rsidR="004B5B7E" w:rsidRPr="00C85DCB">
        <w:rPr>
          <w:rFonts w:cstheme="minorHAnsi"/>
          <w:sz w:val="22"/>
          <w:szCs w:val="22"/>
          <w:lang w:val="en-GB"/>
        </w:rPr>
        <w:t>”</w:t>
      </w:r>
      <w:r w:rsidR="00A81CEE" w:rsidRPr="00C85DCB">
        <w:rPr>
          <w:rFonts w:cstheme="minorHAnsi"/>
          <w:sz w:val="22"/>
          <w:szCs w:val="22"/>
          <w:lang w:val="en-GB"/>
        </w:rPr>
        <w:t>).</w:t>
      </w:r>
    </w:p>
    <w:p w14:paraId="06F4533B" w14:textId="506E0EE2" w:rsidR="007A6AC6" w:rsidRPr="00C85DCB" w:rsidRDefault="00AD46A7" w:rsidP="00E51BE1">
      <w:pPr>
        <w:spacing w:after="160"/>
        <w:jc w:val="both"/>
        <w:rPr>
          <w:rFonts w:cstheme="minorHAnsi"/>
          <w:sz w:val="22"/>
          <w:szCs w:val="22"/>
          <w:lang w:val="en-GB"/>
        </w:rPr>
      </w:pPr>
      <w:r w:rsidRPr="00C85DCB">
        <w:rPr>
          <w:rFonts w:cstheme="minorHAnsi"/>
          <w:sz w:val="22"/>
          <w:szCs w:val="22"/>
          <w:lang w:val="en-GB"/>
        </w:rPr>
        <w:t xml:space="preserve">NHRIs </w:t>
      </w:r>
      <w:r w:rsidR="007A6AC6" w:rsidRPr="00C85DCB">
        <w:rPr>
          <w:rFonts w:cstheme="minorHAnsi"/>
          <w:sz w:val="22"/>
          <w:szCs w:val="22"/>
          <w:lang w:val="en-GB"/>
        </w:rPr>
        <w:t xml:space="preserve">can be characterised as </w:t>
      </w:r>
      <w:r w:rsidR="007A6AC6" w:rsidRPr="00C85DCB">
        <w:rPr>
          <w:rFonts w:cstheme="minorHAnsi"/>
          <w:b/>
          <w:bCs/>
          <w:sz w:val="22"/>
          <w:szCs w:val="22"/>
          <w:lang w:val="en-GB"/>
        </w:rPr>
        <w:t xml:space="preserve">independent </w:t>
      </w:r>
      <w:r w:rsidRPr="00C85DCB">
        <w:rPr>
          <w:rFonts w:cstheme="minorHAnsi"/>
          <w:b/>
          <w:bCs/>
          <w:sz w:val="22"/>
          <w:szCs w:val="22"/>
          <w:lang w:val="en-GB"/>
        </w:rPr>
        <w:t xml:space="preserve">and pluralistic </w:t>
      </w:r>
      <w:r w:rsidR="007A6AC6" w:rsidRPr="00C85DCB">
        <w:rPr>
          <w:rFonts w:cstheme="minorHAnsi"/>
          <w:b/>
          <w:bCs/>
          <w:sz w:val="22"/>
          <w:szCs w:val="22"/>
          <w:lang w:val="en-GB"/>
        </w:rPr>
        <w:t>expert institutions which are given a broad mandate under (constitutional) law to protect and promote human rights</w:t>
      </w:r>
      <w:r w:rsidR="007A6AC6" w:rsidRPr="00C85DCB">
        <w:rPr>
          <w:rFonts w:cstheme="minorHAnsi"/>
          <w:sz w:val="22"/>
          <w:szCs w:val="22"/>
          <w:lang w:val="en-GB"/>
        </w:rPr>
        <w:t xml:space="preserve">. To this end, NHRIs must adhere to the so-called </w:t>
      </w:r>
      <w:r w:rsidR="007A6AC6" w:rsidRPr="00C85DCB">
        <w:rPr>
          <w:rFonts w:cstheme="minorHAnsi"/>
          <w:b/>
          <w:bCs/>
          <w:sz w:val="22"/>
          <w:szCs w:val="22"/>
          <w:lang w:val="en-GB"/>
        </w:rPr>
        <w:t>Paris Principles</w:t>
      </w:r>
      <w:r w:rsidR="007A6AC6" w:rsidRPr="00C85DCB">
        <w:rPr>
          <w:rFonts w:cstheme="minorHAnsi"/>
          <w:sz w:val="22"/>
          <w:szCs w:val="22"/>
          <w:lang w:val="en-GB"/>
        </w:rPr>
        <w:t>,</w:t>
      </w:r>
      <w:r w:rsidR="00DA015E" w:rsidRPr="00C85DCB">
        <w:rPr>
          <w:rStyle w:val="Znakapoznpodarou"/>
          <w:rFonts w:cstheme="minorHAnsi"/>
          <w:sz w:val="22"/>
          <w:szCs w:val="22"/>
          <w:lang w:val="en-GB"/>
        </w:rPr>
        <w:footnoteReference w:id="2"/>
      </w:r>
      <w:r w:rsidR="007A6AC6" w:rsidRPr="00C85DCB">
        <w:rPr>
          <w:rFonts w:cstheme="minorHAnsi"/>
          <w:sz w:val="22"/>
          <w:szCs w:val="22"/>
          <w:lang w:val="en-GB"/>
        </w:rPr>
        <w:t xml:space="preserve"> which express a set of rules and prerequisites for successful accreditation by the Sub-Committee </w:t>
      </w:r>
      <w:r w:rsidR="00240FF8" w:rsidRPr="00C85DCB">
        <w:rPr>
          <w:rFonts w:cstheme="minorHAnsi"/>
          <w:sz w:val="22"/>
          <w:szCs w:val="22"/>
          <w:lang w:val="en-GB"/>
        </w:rPr>
        <w:t>on</w:t>
      </w:r>
      <w:r w:rsidR="004B5B7E" w:rsidRPr="00C85DCB">
        <w:rPr>
          <w:rFonts w:cstheme="minorHAnsi"/>
          <w:sz w:val="22"/>
          <w:szCs w:val="22"/>
          <w:lang w:val="en-GB"/>
        </w:rPr>
        <w:t xml:space="preserve"> Accreditation </w:t>
      </w:r>
      <w:r w:rsidR="00240FF8" w:rsidRPr="00C85DCB">
        <w:rPr>
          <w:rFonts w:cstheme="minorHAnsi"/>
          <w:sz w:val="22"/>
          <w:szCs w:val="22"/>
          <w:lang w:val="en-GB"/>
        </w:rPr>
        <w:t xml:space="preserve">(SCA) </w:t>
      </w:r>
      <w:r w:rsidR="007A6AC6" w:rsidRPr="00C85DCB">
        <w:rPr>
          <w:rFonts w:cstheme="minorHAnsi"/>
          <w:sz w:val="22"/>
          <w:szCs w:val="22"/>
          <w:lang w:val="en-GB"/>
        </w:rPr>
        <w:t xml:space="preserve">of the Global Alliance of </w:t>
      </w:r>
      <w:r w:rsidR="00832D13" w:rsidRPr="00C85DCB">
        <w:rPr>
          <w:rFonts w:cstheme="minorHAnsi"/>
          <w:sz w:val="22"/>
          <w:szCs w:val="22"/>
          <w:lang w:val="en-GB"/>
        </w:rPr>
        <w:t>NHRIs</w:t>
      </w:r>
      <w:r w:rsidR="007A6AC6" w:rsidRPr="00C85DCB">
        <w:rPr>
          <w:rFonts w:cstheme="minorHAnsi"/>
          <w:sz w:val="22"/>
          <w:szCs w:val="22"/>
          <w:lang w:val="en-GB"/>
        </w:rPr>
        <w:t xml:space="preserve"> (GANHRI).</w:t>
      </w:r>
    </w:p>
    <w:p w14:paraId="27F89DD1" w14:textId="10736CD2" w:rsidR="00B401FD" w:rsidRPr="00C85DCB" w:rsidRDefault="007A6AC6" w:rsidP="00E51BE1">
      <w:pPr>
        <w:spacing w:after="160"/>
        <w:jc w:val="both"/>
        <w:rPr>
          <w:rFonts w:cstheme="minorHAnsi"/>
          <w:sz w:val="22"/>
          <w:szCs w:val="22"/>
          <w:lang w:val="en-GB"/>
        </w:rPr>
      </w:pPr>
      <w:r w:rsidRPr="00C85DCB">
        <w:rPr>
          <w:rFonts w:cstheme="minorHAnsi"/>
          <w:sz w:val="22"/>
          <w:szCs w:val="22"/>
          <w:lang w:val="en-GB"/>
        </w:rPr>
        <w:t xml:space="preserve">First of all, it should be emphasized that </w:t>
      </w:r>
      <w:r w:rsidR="00495271" w:rsidRPr="00C85DCB">
        <w:rPr>
          <w:rFonts w:cstheme="minorHAnsi"/>
          <w:sz w:val="22"/>
          <w:szCs w:val="22"/>
          <w:lang w:val="en-GB"/>
        </w:rPr>
        <w:t xml:space="preserve">the Paris Principles </w:t>
      </w:r>
      <w:r w:rsidR="00734500" w:rsidRPr="00C85DCB">
        <w:rPr>
          <w:rFonts w:cstheme="minorHAnsi"/>
          <w:sz w:val="22"/>
          <w:szCs w:val="22"/>
          <w:lang w:val="en-GB"/>
        </w:rPr>
        <w:t>encourage</w:t>
      </w:r>
      <w:r w:rsidR="002C6753" w:rsidRPr="00C85DCB">
        <w:rPr>
          <w:rFonts w:cstheme="minorHAnsi"/>
          <w:sz w:val="22"/>
          <w:szCs w:val="22"/>
          <w:lang w:val="en-GB"/>
        </w:rPr>
        <w:t>,</w:t>
      </w:r>
      <w:r w:rsidR="00734500" w:rsidRPr="00C85DCB">
        <w:rPr>
          <w:rFonts w:cstheme="minorHAnsi"/>
          <w:sz w:val="22"/>
          <w:szCs w:val="22"/>
          <w:lang w:val="en-GB"/>
        </w:rPr>
        <w:t xml:space="preserve"> but do not </w:t>
      </w:r>
      <w:r w:rsidR="00495271" w:rsidRPr="00C85DCB">
        <w:rPr>
          <w:rFonts w:cstheme="minorHAnsi"/>
          <w:sz w:val="22"/>
          <w:szCs w:val="22"/>
          <w:lang w:val="en-GB"/>
        </w:rPr>
        <w:t>require</w:t>
      </w:r>
      <w:r w:rsidR="00483D50" w:rsidRPr="00C85DCB">
        <w:rPr>
          <w:rFonts w:cstheme="minorHAnsi"/>
          <w:sz w:val="22"/>
          <w:szCs w:val="22"/>
          <w:lang w:val="en-GB"/>
        </w:rPr>
        <w:t>,</w:t>
      </w:r>
      <w:r w:rsidR="00495271" w:rsidRPr="00C85DCB">
        <w:rPr>
          <w:rFonts w:cstheme="minorHAnsi"/>
          <w:sz w:val="22"/>
          <w:szCs w:val="22"/>
          <w:lang w:val="en-GB"/>
        </w:rPr>
        <w:t xml:space="preserve"> that NHRIs receive individual complaints. </w:t>
      </w:r>
      <w:r w:rsidR="00170202" w:rsidRPr="00C85DCB">
        <w:rPr>
          <w:rFonts w:cstheme="minorHAnsi"/>
          <w:sz w:val="22"/>
          <w:szCs w:val="22"/>
          <w:lang w:val="en-GB"/>
        </w:rPr>
        <w:t>Norway’s NHRI</w:t>
      </w:r>
      <w:r w:rsidR="00170202" w:rsidRPr="00C85DCB" w:rsidDel="00170202">
        <w:rPr>
          <w:rFonts w:cstheme="minorHAnsi"/>
          <w:sz w:val="22"/>
          <w:szCs w:val="22"/>
          <w:lang w:val="en-GB"/>
        </w:rPr>
        <w:t xml:space="preserve"> </w:t>
      </w:r>
      <w:r w:rsidRPr="00C85DCB">
        <w:rPr>
          <w:rFonts w:cstheme="minorHAnsi"/>
          <w:sz w:val="22"/>
          <w:szCs w:val="22"/>
          <w:lang w:val="en-GB"/>
        </w:rPr>
        <w:t>is a separate institution</w:t>
      </w:r>
      <w:r w:rsidR="00734500" w:rsidRPr="00C85DCB">
        <w:rPr>
          <w:rFonts w:cstheme="minorHAnsi"/>
          <w:sz w:val="22"/>
          <w:szCs w:val="22"/>
          <w:lang w:val="en-GB"/>
        </w:rPr>
        <w:t xml:space="preserve"> from </w:t>
      </w:r>
      <w:r w:rsidRPr="00C85DCB">
        <w:rPr>
          <w:rFonts w:cstheme="minorHAnsi"/>
          <w:sz w:val="22"/>
          <w:szCs w:val="22"/>
          <w:lang w:val="en-GB"/>
        </w:rPr>
        <w:t xml:space="preserve">the </w:t>
      </w:r>
      <w:r w:rsidR="00832D13" w:rsidRPr="00C85DCB">
        <w:rPr>
          <w:rFonts w:cstheme="minorHAnsi"/>
          <w:sz w:val="22"/>
          <w:szCs w:val="22"/>
          <w:lang w:val="en-GB"/>
        </w:rPr>
        <w:t>Norwegian</w:t>
      </w:r>
      <w:r w:rsidRPr="00C85DCB">
        <w:rPr>
          <w:rFonts w:cstheme="minorHAnsi"/>
          <w:sz w:val="22"/>
          <w:szCs w:val="22"/>
          <w:lang w:val="en-GB"/>
        </w:rPr>
        <w:t xml:space="preserve"> Ombudsman</w:t>
      </w:r>
      <w:r w:rsidR="00832D13" w:rsidRPr="00C85DCB">
        <w:rPr>
          <w:rFonts w:cstheme="minorHAnsi"/>
          <w:sz w:val="22"/>
          <w:szCs w:val="22"/>
          <w:lang w:val="en-GB"/>
        </w:rPr>
        <w:t>’</w:t>
      </w:r>
      <w:r w:rsidRPr="00C85DCB">
        <w:rPr>
          <w:rFonts w:cstheme="minorHAnsi"/>
          <w:sz w:val="22"/>
          <w:szCs w:val="22"/>
          <w:lang w:val="en-GB"/>
        </w:rPr>
        <w:t>s Office</w:t>
      </w:r>
      <w:r w:rsidR="00734500" w:rsidRPr="00C85DCB">
        <w:rPr>
          <w:rFonts w:cstheme="minorHAnsi"/>
          <w:sz w:val="22"/>
          <w:szCs w:val="22"/>
          <w:lang w:val="en-GB"/>
        </w:rPr>
        <w:t xml:space="preserve"> which</w:t>
      </w:r>
      <w:r w:rsidR="002C6753" w:rsidRPr="00C85DCB">
        <w:rPr>
          <w:rFonts w:cstheme="minorHAnsi"/>
          <w:sz w:val="22"/>
          <w:szCs w:val="22"/>
          <w:lang w:val="en-GB"/>
        </w:rPr>
        <w:t xml:space="preserve"> is mandated to do so</w:t>
      </w:r>
      <w:r w:rsidRPr="00C85DCB">
        <w:rPr>
          <w:rFonts w:cstheme="minorHAnsi"/>
          <w:sz w:val="22"/>
          <w:szCs w:val="22"/>
          <w:lang w:val="en-GB"/>
        </w:rPr>
        <w:t xml:space="preserve">. This elementary difference from the model envisaged to be introduced in the Czech Republic under the draft amendment to the Ombudsman Act </w:t>
      </w:r>
      <w:r w:rsidR="00832D13" w:rsidRPr="00C85DCB">
        <w:rPr>
          <w:rFonts w:cstheme="minorHAnsi"/>
          <w:sz w:val="22"/>
          <w:szCs w:val="22"/>
          <w:lang w:val="en-GB"/>
        </w:rPr>
        <w:t xml:space="preserve">(No. 349/1999 Coll.) </w:t>
      </w:r>
      <w:r w:rsidRPr="00C85DCB">
        <w:rPr>
          <w:rFonts w:cstheme="minorHAnsi"/>
          <w:sz w:val="22"/>
          <w:szCs w:val="22"/>
          <w:lang w:val="en-GB"/>
        </w:rPr>
        <w:t xml:space="preserve">limits the scope for comparing the practical functioning of </w:t>
      </w:r>
      <w:r w:rsidR="001E0996" w:rsidRPr="00C85DCB">
        <w:rPr>
          <w:rFonts w:cstheme="minorHAnsi"/>
          <w:sz w:val="22"/>
          <w:szCs w:val="22"/>
          <w:lang w:val="en-GB"/>
        </w:rPr>
        <w:t xml:space="preserve">Norway’s NHRI </w:t>
      </w:r>
      <w:r w:rsidRPr="00C85DCB">
        <w:rPr>
          <w:rFonts w:cstheme="minorHAnsi"/>
          <w:sz w:val="22"/>
          <w:szCs w:val="22"/>
          <w:lang w:val="en-GB"/>
        </w:rPr>
        <w:t xml:space="preserve">and the </w:t>
      </w:r>
      <w:r w:rsidR="004B5B7E" w:rsidRPr="00C85DCB">
        <w:rPr>
          <w:rFonts w:cstheme="minorHAnsi"/>
          <w:sz w:val="22"/>
          <w:szCs w:val="22"/>
          <w:lang w:val="en-GB"/>
        </w:rPr>
        <w:t>Office</w:t>
      </w:r>
      <w:r w:rsidRPr="00C85DCB">
        <w:rPr>
          <w:rFonts w:cstheme="minorHAnsi"/>
          <w:sz w:val="22"/>
          <w:szCs w:val="22"/>
          <w:lang w:val="en-GB"/>
        </w:rPr>
        <w:t xml:space="preserve">. On the other hand, </w:t>
      </w:r>
      <w:r w:rsidR="002C6753" w:rsidRPr="00C85DCB">
        <w:rPr>
          <w:rFonts w:cstheme="minorHAnsi"/>
          <w:sz w:val="22"/>
          <w:szCs w:val="22"/>
          <w:lang w:val="en-GB"/>
        </w:rPr>
        <w:t xml:space="preserve">the broader and systemic focus of the </w:t>
      </w:r>
      <w:r w:rsidRPr="00C85DCB">
        <w:rPr>
          <w:rFonts w:cstheme="minorHAnsi"/>
          <w:sz w:val="22"/>
          <w:szCs w:val="22"/>
          <w:lang w:val="en-GB"/>
        </w:rPr>
        <w:t>Norwegian colleagues</w:t>
      </w:r>
      <w:r w:rsidR="002C6753" w:rsidRPr="00C85DCB">
        <w:rPr>
          <w:rFonts w:cstheme="minorHAnsi"/>
          <w:sz w:val="22"/>
          <w:szCs w:val="22"/>
          <w:lang w:val="en-GB"/>
        </w:rPr>
        <w:t xml:space="preserve"> </w:t>
      </w:r>
      <w:r w:rsidR="00027A9C" w:rsidRPr="00C85DCB">
        <w:rPr>
          <w:rFonts w:cstheme="minorHAnsi"/>
          <w:sz w:val="22"/>
          <w:szCs w:val="22"/>
          <w:lang w:val="en-GB"/>
        </w:rPr>
        <w:t xml:space="preserve">highlights the </w:t>
      </w:r>
      <w:r w:rsidR="002C6753" w:rsidRPr="00C85DCB">
        <w:rPr>
          <w:rFonts w:cstheme="minorHAnsi"/>
          <w:sz w:val="22"/>
          <w:szCs w:val="22"/>
          <w:lang w:val="en-GB"/>
        </w:rPr>
        <w:t>new</w:t>
      </w:r>
      <w:r w:rsidR="00027A9C" w:rsidRPr="00C85DCB">
        <w:rPr>
          <w:rFonts w:cstheme="minorHAnsi"/>
          <w:sz w:val="22"/>
          <w:szCs w:val="22"/>
          <w:lang w:val="en-GB"/>
        </w:rPr>
        <w:t xml:space="preserve"> elements that must be integrated and </w:t>
      </w:r>
      <w:r w:rsidRPr="00C85DCB">
        <w:rPr>
          <w:rFonts w:cstheme="minorHAnsi"/>
          <w:sz w:val="22"/>
          <w:szCs w:val="22"/>
          <w:lang w:val="en-GB"/>
        </w:rPr>
        <w:t xml:space="preserve">implemented in the </w:t>
      </w:r>
      <w:r w:rsidR="004B5B7E" w:rsidRPr="00C85DCB">
        <w:rPr>
          <w:rFonts w:cstheme="minorHAnsi"/>
          <w:sz w:val="22"/>
          <w:szCs w:val="22"/>
          <w:lang w:val="en-GB"/>
        </w:rPr>
        <w:t>Office</w:t>
      </w:r>
      <w:r w:rsidR="00027A9C" w:rsidRPr="00C85DCB">
        <w:rPr>
          <w:rFonts w:cstheme="minorHAnsi"/>
          <w:sz w:val="22"/>
          <w:szCs w:val="22"/>
          <w:lang w:val="en-GB"/>
        </w:rPr>
        <w:t xml:space="preserve">. </w:t>
      </w:r>
      <w:r w:rsidRPr="00C85DCB">
        <w:rPr>
          <w:rFonts w:cstheme="minorHAnsi"/>
          <w:sz w:val="22"/>
          <w:szCs w:val="22"/>
          <w:lang w:val="en-GB"/>
        </w:rPr>
        <w:t xml:space="preserve">In this sense, </w:t>
      </w:r>
      <w:r w:rsidR="00027A9C" w:rsidRPr="00C85DCB">
        <w:rPr>
          <w:rFonts w:cstheme="minorHAnsi"/>
          <w:sz w:val="22"/>
          <w:szCs w:val="22"/>
          <w:lang w:val="en-GB"/>
        </w:rPr>
        <w:t xml:space="preserve">we have </w:t>
      </w:r>
      <w:r w:rsidRPr="00C85DCB">
        <w:rPr>
          <w:rFonts w:cstheme="minorHAnsi"/>
          <w:sz w:val="22"/>
          <w:szCs w:val="22"/>
          <w:lang w:val="en-GB"/>
        </w:rPr>
        <w:t xml:space="preserve">identified </w:t>
      </w:r>
      <w:r w:rsidR="00027A9C" w:rsidRPr="00C85DCB">
        <w:rPr>
          <w:rFonts w:cstheme="minorHAnsi"/>
          <w:sz w:val="22"/>
          <w:szCs w:val="22"/>
          <w:lang w:val="en-GB"/>
        </w:rPr>
        <w:t xml:space="preserve">several areas of good practices </w:t>
      </w:r>
      <w:r w:rsidRPr="00C85DCB">
        <w:rPr>
          <w:rFonts w:cstheme="minorHAnsi"/>
          <w:sz w:val="22"/>
          <w:szCs w:val="22"/>
          <w:lang w:val="en-GB"/>
        </w:rPr>
        <w:t xml:space="preserve">from </w:t>
      </w:r>
      <w:r w:rsidR="00170202" w:rsidRPr="00C85DCB">
        <w:rPr>
          <w:rFonts w:cstheme="minorHAnsi"/>
          <w:sz w:val="22"/>
          <w:szCs w:val="22"/>
          <w:lang w:val="en-GB"/>
        </w:rPr>
        <w:t>Norway’s NHRI</w:t>
      </w:r>
      <w:r w:rsidR="00170202" w:rsidRPr="00C85DCB" w:rsidDel="00170202">
        <w:rPr>
          <w:rFonts w:cstheme="minorHAnsi"/>
          <w:sz w:val="22"/>
          <w:szCs w:val="22"/>
          <w:lang w:val="en-GB"/>
        </w:rPr>
        <w:t xml:space="preserve"> </w:t>
      </w:r>
      <w:r w:rsidRPr="00C85DCB">
        <w:rPr>
          <w:rFonts w:cstheme="minorHAnsi"/>
          <w:sz w:val="22"/>
          <w:szCs w:val="22"/>
          <w:lang w:val="en-GB"/>
        </w:rPr>
        <w:t>which can inspire</w:t>
      </w:r>
      <w:r w:rsidR="00101544" w:rsidRPr="00C85DCB">
        <w:rPr>
          <w:rFonts w:cstheme="minorHAnsi"/>
          <w:sz w:val="22"/>
          <w:szCs w:val="22"/>
          <w:lang w:val="en-GB"/>
        </w:rPr>
        <w:t xml:space="preserve"> the practical implementation of an NHRI in the Czech Republic</w:t>
      </w:r>
      <w:r w:rsidRPr="00C85DCB">
        <w:rPr>
          <w:rFonts w:cstheme="minorHAnsi"/>
          <w:sz w:val="22"/>
          <w:szCs w:val="22"/>
          <w:lang w:val="en-GB"/>
        </w:rPr>
        <w:t>.</w:t>
      </w:r>
    </w:p>
    <w:p w14:paraId="03F1C6AE" w14:textId="07C11881" w:rsidR="007A6AC6" w:rsidRPr="00C85DCB" w:rsidRDefault="007A6AC6" w:rsidP="00E51BE1">
      <w:pPr>
        <w:spacing w:after="160"/>
        <w:jc w:val="both"/>
        <w:rPr>
          <w:rFonts w:cstheme="minorHAnsi"/>
          <w:b/>
          <w:bCs/>
          <w:sz w:val="22"/>
          <w:szCs w:val="22"/>
          <w:lang w:val="en-GB"/>
        </w:rPr>
      </w:pPr>
      <w:r w:rsidRPr="00C85DCB">
        <w:rPr>
          <w:rFonts w:cstheme="minorHAnsi"/>
          <w:b/>
          <w:bCs/>
          <w:sz w:val="22"/>
          <w:szCs w:val="22"/>
          <w:lang w:val="en-GB"/>
        </w:rPr>
        <w:t xml:space="preserve">Specifically, the </w:t>
      </w:r>
      <w:r w:rsidR="00101544" w:rsidRPr="00C85DCB">
        <w:rPr>
          <w:rFonts w:cstheme="minorHAnsi"/>
          <w:b/>
          <w:bCs/>
          <w:sz w:val="22"/>
          <w:szCs w:val="22"/>
          <w:lang w:val="en-GB"/>
        </w:rPr>
        <w:t>following practices</w:t>
      </w:r>
      <w:r w:rsidR="001D5BA8" w:rsidRPr="00C85DCB">
        <w:rPr>
          <w:rFonts w:cstheme="minorHAnsi"/>
          <w:b/>
          <w:bCs/>
          <w:sz w:val="22"/>
          <w:szCs w:val="22"/>
          <w:lang w:val="en-GB"/>
        </w:rPr>
        <w:t xml:space="preserve"> are found to be of particular interest</w:t>
      </w:r>
      <w:r w:rsidRPr="00C85DCB">
        <w:rPr>
          <w:rFonts w:cstheme="minorHAnsi"/>
          <w:b/>
          <w:bCs/>
          <w:sz w:val="22"/>
          <w:szCs w:val="22"/>
          <w:lang w:val="en-GB"/>
        </w:rPr>
        <w:t>:</w:t>
      </w:r>
    </w:p>
    <w:p w14:paraId="6D5FBB47" w14:textId="0050E6C6" w:rsidR="007A6AC6" w:rsidRPr="00C85DCB" w:rsidRDefault="007A6AC6" w:rsidP="00E51BE1">
      <w:pPr>
        <w:pStyle w:val="Odstavecseseznamem"/>
        <w:numPr>
          <w:ilvl w:val="0"/>
          <w:numId w:val="2"/>
        </w:numPr>
        <w:spacing w:after="160"/>
        <w:jc w:val="both"/>
        <w:rPr>
          <w:rFonts w:cstheme="minorHAnsi"/>
          <w:sz w:val="22"/>
          <w:szCs w:val="22"/>
          <w:lang w:val="en-GB"/>
        </w:rPr>
      </w:pPr>
      <w:r w:rsidRPr="00C85DCB">
        <w:rPr>
          <w:rFonts w:cstheme="minorHAnsi"/>
          <w:sz w:val="22"/>
          <w:szCs w:val="22"/>
          <w:lang w:val="en-GB"/>
        </w:rPr>
        <w:t>NHRI as advisor, watchdog, bridge-builder and educator;</w:t>
      </w:r>
    </w:p>
    <w:p w14:paraId="0CA08A3B" w14:textId="430189A2" w:rsidR="007A6AC6" w:rsidRPr="00C85DCB" w:rsidRDefault="00832D13" w:rsidP="00E51BE1">
      <w:pPr>
        <w:pStyle w:val="Odstavecseseznamem"/>
        <w:numPr>
          <w:ilvl w:val="0"/>
          <w:numId w:val="2"/>
        </w:numPr>
        <w:spacing w:after="160"/>
        <w:jc w:val="both"/>
        <w:rPr>
          <w:rFonts w:cstheme="minorHAnsi"/>
          <w:sz w:val="22"/>
          <w:szCs w:val="22"/>
          <w:lang w:val="en-GB"/>
        </w:rPr>
      </w:pPr>
      <w:r w:rsidRPr="00C85DCB">
        <w:rPr>
          <w:rFonts w:cstheme="minorHAnsi"/>
          <w:sz w:val="22"/>
          <w:szCs w:val="22"/>
          <w:lang w:val="en-GB"/>
        </w:rPr>
        <w:lastRenderedPageBreak/>
        <w:t>C</w:t>
      </w:r>
      <w:r w:rsidR="007A6AC6" w:rsidRPr="00C85DCB">
        <w:rPr>
          <w:rFonts w:cstheme="minorHAnsi"/>
          <w:sz w:val="22"/>
          <w:szCs w:val="22"/>
          <w:lang w:val="en-GB"/>
        </w:rPr>
        <w:t xml:space="preserve">riteria for prioritising the </w:t>
      </w:r>
      <w:r w:rsidR="001D5BA8" w:rsidRPr="00C85DCB">
        <w:rPr>
          <w:rFonts w:cstheme="minorHAnsi"/>
          <w:sz w:val="22"/>
          <w:szCs w:val="22"/>
          <w:lang w:val="en-GB"/>
        </w:rPr>
        <w:t>issues</w:t>
      </w:r>
      <w:r w:rsidR="007A6AC6" w:rsidRPr="00C85DCB">
        <w:rPr>
          <w:rFonts w:cstheme="minorHAnsi"/>
          <w:sz w:val="22"/>
          <w:szCs w:val="22"/>
          <w:lang w:val="en-GB"/>
        </w:rPr>
        <w:t xml:space="preserve"> to be addressed in NHRI activities;</w:t>
      </w:r>
    </w:p>
    <w:p w14:paraId="05E3C198" w14:textId="412735A9" w:rsidR="007A6AC6" w:rsidRPr="00C85DCB" w:rsidRDefault="00832D13" w:rsidP="00E51BE1">
      <w:pPr>
        <w:pStyle w:val="Odstavecseseznamem"/>
        <w:numPr>
          <w:ilvl w:val="0"/>
          <w:numId w:val="2"/>
        </w:numPr>
        <w:spacing w:after="160"/>
        <w:jc w:val="both"/>
        <w:rPr>
          <w:rFonts w:cstheme="minorHAnsi"/>
          <w:sz w:val="22"/>
          <w:szCs w:val="22"/>
          <w:lang w:val="en-GB"/>
        </w:rPr>
      </w:pPr>
      <w:r w:rsidRPr="00C85DCB">
        <w:rPr>
          <w:rFonts w:cstheme="minorHAnsi"/>
          <w:sz w:val="22"/>
          <w:szCs w:val="22"/>
          <w:lang w:val="en-GB"/>
        </w:rPr>
        <w:t>H</w:t>
      </w:r>
      <w:r w:rsidR="007A6AC6" w:rsidRPr="00C85DCB">
        <w:rPr>
          <w:rFonts w:cstheme="minorHAnsi"/>
          <w:sz w:val="22"/>
          <w:szCs w:val="22"/>
          <w:lang w:val="en-GB"/>
        </w:rPr>
        <w:t>uman rights awareness and education, active cooperation with students;</w:t>
      </w:r>
    </w:p>
    <w:p w14:paraId="0D8694A0" w14:textId="660E6DDE" w:rsidR="007A6AC6" w:rsidRPr="00C85DCB" w:rsidRDefault="00832D13" w:rsidP="00E51BE1">
      <w:pPr>
        <w:pStyle w:val="Odstavecseseznamem"/>
        <w:numPr>
          <w:ilvl w:val="0"/>
          <w:numId w:val="2"/>
        </w:numPr>
        <w:spacing w:after="160"/>
        <w:jc w:val="both"/>
        <w:rPr>
          <w:rFonts w:cstheme="minorHAnsi"/>
          <w:sz w:val="22"/>
          <w:szCs w:val="22"/>
          <w:lang w:val="en-GB"/>
        </w:rPr>
      </w:pPr>
      <w:r w:rsidRPr="00C85DCB">
        <w:rPr>
          <w:rFonts w:cstheme="minorHAnsi"/>
          <w:sz w:val="22"/>
          <w:szCs w:val="22"/>
          <w:lang w:val="en-GB"/>
        </w:rPr>
        <w:t>C</w:t>
      </w:r>
      <w:r w:rsidR="007A6AC6" w:rsidRPr="00C85DCB">
        <w:rPr>
          <w:rFonts w:cstheme="minorHAnsi"/>
          <w:sz w:val="22"/>
          <w:szCs w:val="22"/>
          <w:lang w:val="en-GB"/>
        </w:rPr>
        <w:t xml:space="preserve">ommunication </w:t>
      </w:r>
      <w:r w:rsidR="006D7E64" w:rsidRPr="00C85DCB">
        <w:rPr>
          <w:rFonts w:cstheme="minorHAnsi"/>
          <w:sz w:val="22"/>
          <w:szCs w:val="22"/>
          <w:lang w:val="en-GB"/>
        </w:rPr>
        <w:t xml:space="preserve">with the public </w:t>
      </w:r>
      <w:r w:rsidR="007A6AC6" w:rsidRPr="00C85DCB">
        <w:rPr>
          <w:rFonts w:cstheme="minorHAnsi"/>
          <w:sz w:val="22"/>
          <w:szCs w:val="22"/>
          <w:lang w:val="en-GB"/>
        </w:rPr>
        <w:t>through social networks;</w:t>
      </w:r>
    </w:p>
    <w:p w14:paraId="60DA5719" w14:textId="2BAA4085" w:rsidR="007A6AC6" w:rsidRPr="00B401FD" w:rsidRDefault="00876A25" w:rsidP="00E51BE1">
      <w:pPr>
        <w:pStyle w:val="Odstavecseseznamem"/>
        <w:numPr>
          <w:ilvl w:val="0"/>
          <w:numId w:val="2"/>
        </w:numPr>
        <w:spacing w:after="160"/>
        <w:jc w:val="both"/>
        <w:rPr>
          <w:rFonts w:cstheme="minorHAnsi"/>
          <w:sz w:val="22"/>
          <w:szCs w:val="22"/>
          <w:lang w:val="en-GB"/>
        </w:rPr>
      </w:pPr>
      <w:r w:rsidRPr="00C85DCB">
        <w:rPr>
          <w:rFonts w:cstheme="minorHAnsi"/>
          <w:sz w:val="22"/>
          <w:szCs w:val="22"/>
          <w:lang w:val="en-GB"/>
        </w:rPr>
        <w:t>Comprehensive human rights m</w:t>
      </w:r>
      <w:r w:rsidR="007A6AC6" w:rsidRPr="00C85DCB">
        <w:rPr>
          <w:rFonts w:cstheme="minorHAnsi"/>
          <w:sz w:val="22"/>
          <w:szCs w:val="22"/>
          <w:lang w:val="en-GB"/>
        </w:rPr>
        <w:t xml:space="preserve">onitoring of international </w:t>
      </w:r>
      <w:r w:rsidR="00410892" w:rsidRPr="00C85DCB">
        <w:rPr>
          <w:rFonts w:cstheme="minorHAnsi"/>
          <w:sz w:val="22"/>
          <w:szCs w:val="22"/>
          <w:lang w:val="en-GB"/>
        </w:rPr>
        <w:t>recommendations</w:t>
      </w:r>
      <w:r w:rsidR="007A6AC6" w:rsidRPr="00C85DCB">
        <w:rPr>
          <w:rFonts w:cstheme="minorHAnsi"/>
          <w:sz w:val="22"/>
          <w:szCs w:val="22"/>
          <w:lang w:val="en-GB"/>
        </w:rPr>
        <w:t>.</w:t>
      </w:r>
    </w:p>
    <w:p w14:paraId="51071C1D" w14:textId="18FB1370" w:rsidR="007A6AC6" w:rsidRPr="00C85DCB" w:rsidRDefault="007A6AC6" w:rsidP="00E51BE1">
      <w:pPr>
        <w:spacing w:after="160"/>
        <w:jc w:val="both"/>
        <w:rPr>
          <w:rFonts w:cstheme="minorHAnsi"/>
          <w:b/>
          <w:bCs/>
          <w:i/>
          <w:iCs/>
          <w:sz w:val="22"/>
          <w:szCs w:val="22"/>
          <w:lang w:val="en-GB"/>
        </w:rPr>
      </w:pPr>
      <w:r w:rsidRPr="00C85DCB">
        <w:rPr>
          <w:rFonts w:cstheme="minorHAnsi"/>
          <w:b/>
          <w:bCs/>
          <w:i/>
          <w:iCs/>
          <w:sz w:val="22"/>
          <w:szCs w:val="22"/>
          <w:lang w:val="en-GB"/>
        </w:rPr>
        <w:t>Ad 1</w:t>
      </w:r>
      <w:r w:rsidR="00E96904" w:rsidRPr="00C85DCB">
        <w:rPr>
          <w:rFonts w:cstheme="minorHAnsi"/>
          <w:b/>
          <w:bCs/>
          <w:i/>
          <w:iCs/>
          <w:sz w:val="22"/>
          <w:szCs w:val="22"/>
          <w:lang w:val="en-GB"/>
        </w:rPr>
        <w:t>)</w:t>
      </w:r>
      <w:r w:rsidRPr="00C85DCB">
        <w:rPr>
          <w:rFonts w:cstheme="minorHAnsi"/>
          <w:b/>
          <w:bCs/>
          <w:i/>
          <w:iCs/>
          <w:sz w:val="22"/>
          <w:szCs w:val="22"/>
          <w:lang w:val="en-GB"/>
        </w:rPr>
        <w:t xml:space="preserve">: </w:t>
      </w:r>
      <w:r w:rsidR="00832D13" w:rsidRPr="00C85DCB">
        <w:rPr>
          <w:rFonts w:cstheme="minorHAnsi"/>
          <w:b/>
          <w:bCs/>
          <w:i/>
          <w:iCs/>
          <w:sz w:val="22"/>
          <w:szCs w:val="22"/>
          <w:lang w:val="en-GB"/>
        </w:rPr>
        <w:t>T</w:t>
      </w:r>
      <w:r w:rsidRPr="00C85DCB">
        <w:rPr>
          <w:rFonts w:cstheme="minorHAnsi"/>
          <w:b/>
          <w:bCs/>
          <w:i/>
          <w:iCs/>
          <w:sz w:val="22"/>
          <w:szCs w:val="22"/>
          <w:lang w:val="en-GB"/>
        </w:rPr>
        <w:t>he four basic roles of NHRIs</w:t>
      </w:r>
    </w:p>
    <w:p w14:paraId="18CE69C4" w14:textId="41DF57F3" w:rsidR="007A6AC6" w:rsidRPr="00C85DCB" w:rsidRDefault="005F2DB3" w:rsidP="00E51BE1">
      <w:pPr>
        <w:spacing w:after="160"/>
        <w:jc w:val="both"/>
        <w:rPr>
          <w:rFonts w:cstheme="minorHAnsi"/>
          <w:sz w:val="22"/>
          <w:szCs w:val="22"/>
          <w:lang w:val="en-GB"/>
        </w:rPr>
      </w:pPr>
      <w:r w:rsidRPr="00C85DCB">
        <w:rPr>
          <w:rFonts w:cstheme="minorHAnsi"/>
          <w:sz w:val="22"/>
          <w:szCs w:val="22"/>
          <w:lang w:val="en-GB"/>
        </w:rPr>
        <w:t xml:space="preserve">The objective of an NHRI </w:t>
      </w:r>
      <w:r w:rsidR="00FA0A8A" w:rsidRPr="00C85DCB">
        <w:rPr>
          <w:rFonts w:cstheme="minorHAnsi"/>
          <w:sz w:val="22"/>
          <w:szCs w:val="22"/>
          <w:lang w:val="en-GB"/>
        </w:rPr>
        <w:t>is clear enough: to promote and protect human rights</w:t>
      </w:r>
      <w:r w:rsidR="00F27A8B" w:rsidRPr="00C85DCB">
        <w:rPr>
          <w:rFonts w:cstheme="minorHAnsi"/>
          <w:sz w:val="22"/>
          <w:szCs w:val="22"/>
          <w:lang w:val="en-GB"/>
        </w:rPr>
        <w:t xml:space="preserve"> at the national level</w:t>
      </w:r>
      <w:r w:rsidR="00FA0A8A" w:rsidRPr="00C85DCB">
        <w:rPr>
          <w:rFonts w:cstheme="minorHAnsi"/>
          <w:sz w:val="22"/>
          <w:szCs w:val="22"/>
          <w:lang w:val="en-GB"/>
        </w:rPr>
        <w:t xml:space="preserve">. </w:t>
      </w:r>
      <w:r w:rsidR="00204156" w:rsidRPr="00C85DCB">
        <w:rPr>
          <w:rFonts w:cstheme="minorHAnsi"/>
          <w:sz w:val="22"/>
          <w:szCs w:val="22"/>
          <w:lang w:val="en-GB"/>
        </w:rPr>
        <w:t xml:space="preserve">However, </w:t>
      </w:r>
      <w:r w:rsidR="00FA0A8A" w:rsidRPr="00C85DCB">
        <w:rPr>
          <w:rFonts w:cstheme="minorHAnsi"/>
          <w:sz w:val="22"/>
          <w:szCs w:val="22"/>
          <w:lang w:val="en-GB"/>
        </w:rPr>
        <w:t>t</w:t>
      </w:r>
      <w:r w:rsidR="007A6AC6" w:rsidRPr="00C85DCB">
        <w:rPr>
          <w:rFonts w:cstheme="minorHAnsi"/>
          <w:sz w:val="22"/>
          <w:szCs w:val="22"/>
          <w:lang w:val="en-GB"/>
        </w:rPr>
        <w:t>he concept of a</w:t>
      </w:r>
      <w:r w:rsidR="00832D13" w:rsidRPr="00C85DCB">
        <w:rPr>
          <w:rFonts w:cstheme="minorHAnsi"/>
          <w:sz w:val="22"/>
          <w:szCs w:val="22"/>
          <w:lang w:val="en-GB"/>
        </w:rPr>
        <w:t xml:space="preserve">n </w:t>
      </w:r>
      <w:r w:rsidR="007A6AC6" w:rsidRPr="00C85DCB">
        <w:rPr>
          <w:rFonts w:cstheme="minorHAnsi"/>
          <w:sz w:val="22"/>
          <w:szCs w:val="22"/>
          <w:lang w:val="en-GB"/>
        </w:rPr>
        <w:t xml:space="preserve">NHRI is rather difficult </w:t>
      </w:r>
      <w:r w:rsidR="00204156" w:rsidRPr="00C85DCB">
        <w:rPr>
          <w:rFonts w:cstheme="minorHAnsi"/>
          <w:sz w:val="22"/>
          <w:szCs w:val="22"/>
          <w:lang w:val="en-GB"/>
        </w:rPr>
        <w:t xml:space="preserve">for anyone </w:t>
      </w:r>
      <w:r w:rsidR="007A6AC6" w:rsidRPr="00C85DCB">
        <w:rPr>
          <w:rFonts w:cstheme="minorHAnsi"/>
          <w:sz w:val="22"/>
          <w:szCs w:val="22"/>
          <w:lang w:val="en-GB"/>
        </w:rPr>
        <w:t>to grasp</w:t>
      </w:r>
      <w:r w:rsidR="00204156" w:rsidRPr="00C85DCB">
        <w:rPr>
          <w:rFonts w:cstheme="minorHAnsi"/>
          <w:sz w:val="22"/>
          <w:szCs w:val="22"/>
          <w:lang w:val="en-GB"/>
        </w:rPr>
        <w:t>: what kind of institution is it and what does it do. We think this</w:t>
      </w:r>
      <w:r w:rsidR="007A6AC6" w:rsidRPr="00C85DCB">
        <w:rPr>
          <w:rFonts w:cstheme="minorHAnsi"/>
          <w:sz w:val="22"/>
          <w:szCs w:val="22"/>
          <w:lang w:val="en-GB"/>
        </w:rPr>
        <w:t xml:space="preserve"> can be illustratively explained by referring to four basic roles or functions performed by the NHRI.</w:t>
      </w:r>
      <w:r w:rsidR="00B47EE0" w:rsidRPr="00C85DCB">
        <w:rPr>
          <w:rStyle w:val="Znakapoznpodarou"/>
          <w:rFonts w:cstheme="minorHAnsi"/>
          <w:sz w:val="22"/>
          <w:szCs w:val="22"/>
          <w:lang w:val="en-GB"/>
        </w:rPr>
        <w:footnoteReference w:id="3"/>
      </w:r>
      <w:r w:rsidR="007A6AC6" w:rsidRPr="00C85DCB">
        <w:rPr>
          <w:rFonts w:cstheme="minorHAnsi"/>
          <w:sz w:val="22"/>
          <w:szCs w:val="22"/>
          <w:lang w:val="en-GB"/>
        </w:rPr>
        <w:t xml:space="preserve"> This quartet </w:t>
      </w:r>
      <w:r w:rsidR="00B47EE0" w:rsidRPr="00C85DCB">
        <w:rPr>
          <w:rFonts w:cstheme="minorHAnsi"/>
          <w:sz w:val="22"/>
          <w:szCs w:val="22"/>
          <w:lang w:val="en-GB"/>
        </w:rPr>
        <w:t>can</w:t>
      </w:r>
      <w:r w:rsidR="007A6AC6" w:rsidRPr="00C85DCB">
        <w:rPr>
          <w:rFonts w:cstheme="minorHAnsi"/>
          <w:sz w:val="22"/>
          <w:szCs w:val="22"/>
          <w:lang w:val="en-GB"/>
        </w:rPr>
        <w:t xml:space="preserve"> also form the basic framework for the presentation and communication of human rights activities to the public. These roles are:</w:t>
      </w:r>
    </w:p>
    <w:p w14:paraId="41BC46E4" w14:textId="2FD91FCF" w:rsidR="007A6AC6" w:rsidRPr="00C85DCB" w:rsidRDefault="007A6AC6" w:rsidP="00E51BE1">
      <w:pPr>
        <w:pStyle w:val="Odstavecseseznamem"/>
        <w:numPr>
          <w:ilvl w:val="0"/>
          <w:numId w:val="3"/>
        </w:numPr>
        <w:spacing w:after="160"/>
        <w:jc w:val="both"/>
        <w:rPr>
          <w:rFonts w:cstheme="minorHAnsi"/>
          <w:sz w:val="22"/>
          <w:szCs w:val="22"/>
          <w:lang w:val="en-GB"/>
        </w:rPr>
      </w:pPr>
      <w:r w:rsidRPr="00C85DCB">
        <w:rPr>
          <w:rFonts w:cstheme="minorHAnsi"/>
          <w:sz w:val="22"/>
          <w:szCs w:val="22"/>
          <w:lang w:val="en-GB"/>
        </w:rPr>
        <w:t>Advisor,</w:t>
      </w:r>
    </w:p>
    <w:p w14:paraId="6EF865A1" w14:textId="7B659EB5" w:rsidR="007A6AC6" w:rsidRPr="00C85DCB" w:rsidRDefault="004B5B7E" w:rsidP="00E51BE1">
      <w:pPr>
        <w:pStyle w:val="Odstavecseseznamem"/>
        <w:numPr>
          <w:ilvl w:val="0"/>
          <w:numId w:val="3"/>
        </w:numPr>
        <w:spacing w:after="160"/>
        <w:jc w:val="both"/>
        <w:rPr>
          <w:rFonts w:cstheme="minorHAnsi"/>
          <w:sz w:val="22"/>
          <w:szCs w:val="22"/>
          <w:lang w:val="en-GB"/>
        </w:rPr>
      </w:pPr>
      <w:r w:rsidRPr="00C85DCB">
        <w:rPr>
          <w:rFonts w:cstheme="minorHAnsi"/>
          <w:sz w:val="22"/>
          <w:szCs w:val="22"/>
          <w:lang w:val="en-GB"/>
        </w:rPr>
        <w:t>W</w:t>
      </w:r>
      <w:r w:rsidR="007A6AC6" w:rsidRPr="00C85DCB">
        <w:rPr>
          <w:rFonts w:cstheme="minorHAnsi"/>
          <w:sz w:val="22"/>
          <w:szCs w:val="22"/>
          <w:lang w:val="en-GB"/>
        </w:rPr>
        <w:t>atchdog,</w:t>
      </w:r>
    </w:p>
    <w:p w14:paraId="4A5FB24C" w14:textId="3888B145" w:rsidR="007A6AC6" w:rsidRPr="00C85DCB" w:rsidRDefault="004B5B7E" w:rsidP="00E51BE1">
      <w:pPr>
        <w:pStyle w:val="Odstavecseseznamem"/>
        <w:numPr>
          <w:ilvl w:val="0"/>
          <w:numId w:val="3"/>
        </w:numPr>
        <w:spacing w:after="160"/>
        <w:jc w:val="both"/>
        <w:rPr>
          <w:rFonts w:cstheme="minorHAnsi"/>
          <w:sz w:val="22"/>
          <w:szCs w:val="22"/>
          <w:lang w:val="en-GB"/>
        </w:rPr>
      </w:pPr>
      <w:r w:rsidRPr="00C85DCB">
        <w:rPr>
          <w:rFonts w:cstheme="minorHAnsi"/>
          <w:sz w:val="22"/>
          <w:szCs w:val="22"/>
          <w:lang w:val="en-GB"/>
        </w:rPr>
        <w:t>B</w:t>
      </w:r>
      <w:r w:rsidR="007A6AC6" w:rsidRPr="00C85DCB">
        <w:rPr>
          <w:rFonts w:cstheme="minorHAnsi"/>
          <w:sz w:val="22"/>
          <w:szCs w:val="22"/>
          <w:lang w:val="en-GB"/>
        </w:rPr>
        <w:t>ridge-builder,</w:t>
      </w:r>
    </w:p>
    <w:p w14:paraId="630424E7" w14:textId="5DF54415" w:rsidR="007A6AC6" w:rsidRPr="00B401FD" w:rsidRDefault="004B5B7E" w:rsidP="00E51BE1">
      <w:pPr>
        <w:pStyle w:val="Odstavecseseznamem"/>
        <w:numPr>
          <w:ilvl w:val="0"/>
          <w:numId w:val="3"/>
        </w:numPr>
        <w:spacing w:after="160"/>
        <w:jc w:val="both"/>
        <w:rPr>
          <w:rFonts w:cstheme="minorHAnsi"/>
          <w:sz w:val="22"/>
          <w:szCs w:val="22"/>
          <w:lang w:val="en-GB"/>
        </w:rPr>
      </w:pPr>
      <w:r w:rsidRPr="00C85DCB">
        <w:rPr>
          <w:rFonts w:cstheme="minorHAnsi"/>
          <w:sz w:val="22"/>
          <w:szCs w:val="22"/>
          <w:lang w:val="en-GB"/>
        </w:rPr>
        <w:t>E</w:t>
      </w:r>
      <w:r w:rsidR="007A6AC6" w:rsidRPr="00C85DCB">
        <w:rPr>
          <w:rFonts w:cstheme="minorHAnsi"/>
          <w:sz w:val="22"/>
          <w:szCs w:val="22"/>
          <w:lang w:val="en-GB"/>
        </w:rPr>
        <w:t>ducator.</w:t>
      </w:r>
    </w:p>
    <w:p w14:paraId="40CBF695" w14:textId="1D4A4E28" w:rsidR="007A6AC6" w:rsidRPr="00C85DCB" w:rsidRDefault="007A6AC6" w:rsidP="00E51BE1">
      <w:pPr>
        <w:spacing w:after="160"/>
        <w:jc w:val="both"/>
        <w:rPr>
          <w:rFonts w:cstheme="minorHAnsi"/>
          <w:sz w:val="22"/>
          <w:szCs w:val="22"/>
          <w:lang w:val="en-GB"/>
        </w:rPr>
      </w:pPr>
      <w:r w:rsidRPr="00C85DCB">
        <w:rPr>
          <w:rFonts w:cstheme="minorHAnsi"/>
          <w:sz w:val="22"/>
          <w:szCs w:val="22"/>
          <w:lang w:val="en-GB"/>
        </w:rPr>
        <w:t xml:space="preserve">The role of the </w:t>
      </w:r>
      <w:r w:rsidRPr="00C85DCB">
        <w:rPr>
          <w:rFonts w:cstheme="minorHAnsi"/>
          <w:b/>
          <w:bCs/>
          <w:sz w:val="22"/>
          <w:szCs w:val="22"/>
          <w:lang w:val="en-GB"/>
        </w:rPr>
        <w:t>advisor</w:t>
      </w:r>
      <w:r w:rsidRPr="00C85DCB">
        <w:rPr>
          <w:rFonts w:cstheme="minorHAnsi"/>
          <w:sz w:val="22"/>
          <w:szCs w:val="22"/>
          <w:lang w:val="en-GB"/>
        </w:rPr>
        <w:t xml:space="preserve"> is directed towards the executive</w:t>
      </w:r>
      <w:r w:rsidR="003C6FBF" w:rsidRPr="00C85DCB">
        <w:rPr>
          <w:rFonts w:cstheme="minorHAnsi"/>
          <w:sz w:val="22"/>
          <w:szCs w:val="22"/>
          <w:lang w:val="en-GB"/>
        </w:rPr>
        <w:t xml:space="preserve"> and other state powers</w:t>
      </w:r>
      <w:r w:rsidRPr="00C85DCB">
        <w:rPr>
          <w:rFonts w:cstheme="minorHAnsi"/>
          <w:sz w:val="22"/>
          <w:szCs w:val="22"/>
          <w:lang w:val="en-GB"/>
        </w:rPr>
        <w:t xml:space="preserve"> and consists primarily in the possibility of initiating legislative changes (recommendations for the issuance, amendment or repeal of legislation)</w:t>
      </w:r>
      <w:r w:rsidR="003C6FBF" w:rsidRPr="00C85DCB">
        <w:rPr>
          <w:rFonts w:cstheme="minorHAnsi"/>
          <w:sz w:val="22"/>
          <w:szCs w:val="22"/>
          <w:lang w:val="en-GB"/>
        </w:rPr>
        <w:t xml:space="preserve"> </w:t>
      </w:r>
      <w:r w:rsidR="008A67BB" w:rsidRPr="00C85DCB">
        <w:rPr>
          <w:rFonts w:cstheme="minorHAnsi"/>
          <w:sz w:val="22"/>
          <w:szCs w:val="22"/>
          <w:lang w:val="en-GB"/>
        </w:rPr>
        <w:t xml:space="preserve">but also recommending </w:t>
      </w:r>
      <w:r w:rsidR="003C6FBF" w:rsidRPr="00C85DCB">
        <w:rPr>
          <w:rFonts w:cstheme="minorHAnsi"/>
          <w:sz w:val="22"/>
          <w:szCs w:val="22"/>
          <w:lang w:val="en-GB"/>
        </w:rPr>
        <w:t>ways to improve human rights in practice</w:t>
      </w:r>
      <w:r w:rsidRPr="00C85DCB">
        <w:rPr>
          <w:rFonts w:cstheme="minorHAnsi"/>
          <w:sz w:val="22"/>
          <w:szCs w:val="22"/>
          <w:lang w:val="en-GB"/>
        </w:rPr>
        <w:t xml:space="preserve">. The role of the </w:t>
      </w:r>
      <w:r w:rsidRPr="00C85DCB">
        <w:rPr>
          <w:rFonts w:cstheme="minorHAnsi"/>
          <w:b/>
          <w:bCs/>
          <w:sz w:val="22"/>
          <w:szCs w:val="22"/>
          <w:lang w:val="en-GB"/>
        </w:rPr>
        <w:t>watchdog</w:t>
      </w:r>
      <w:r w:rsidRPr="00C85DCB">
        <w:rPr>
          <w:rFonts w:cstheme="minorHAnsi"/>
          <w:sz w:val="22"/>
          <w:szCs w:val="22"/>
          <w:lang w:val="en-GB"/>
        </w:rPr>
        <w:t xml:space="preserve"> consists in </w:t>
      </w:r>
      <w:r w:rsidR="00F27A8B" w:rsidRPr="00C85DCB">
        <w:rPr>
          <w:rFonts w:cstheme="minorHAnsi"/>
          <w:sz w:val="22"/>
          <w:szCs w:val="22"/>
          <w:lang w:val="en-GB"/>
        </w:rPr>
        <w:t xml:space="preserve">monitoring broadly and </w:t>
      </w:r>
      <w:r w:rsidRPr="00C85DCB">
        <w:rPr>
          <w:rFonts w:cstheme="minorHAnsi"/>
          <w:sz w:val="22"/>
          <w:szCs w:val="22"/>
          <w:lang w:val="en-GB"/>
        </w:rPr>
        <w:t>(sufficiently loud</w:t>
      </w:r>
      <w:r w:rsidR="00F27A8B" w:rsidRPr="00C85DCB">
        <w:rPr>
          <w:rFonts w:cstheme="minorHAnsi"/>
          <w:sz w:val="22"/>
          <w:szCs w:val="22"/>
          <w:lang w:val="en-GB"/>
        </w:rPr>
        <w:t>ly</w:t>
      </w:r>
      <w:r w:rsidRPr="00C85DCB">
        <w:rPr>
          <w:rFonts w:cstheme="minorHAnsi"/>
          <w:sz w:val="22"/>
          <w:szCs w:val="22"/>
          <w:lang w:val="en-GB"/>
        </w:rPr>
        <w:t xml:space="preserve">) drawing attention to existing shortcomings in the area of human rights and the rule of law. The role of </w:t>
      </w:r>
      <w:r w:rsidR="00832D13" w:rsidRPr="00C85DCB">
        <w:rPr>
          <w:rFonts w:cstheme="minorHAnsi"/>
          <w:sz w:val="22"/>
          <w:szCs w:val="22"/>
          <w:lang w:val="en-GB"/>
        </w:rPr>
        <w:t>the</w:t>
      </w:r>
      <w:r w:rsidRPr="00C85DCB">
        <w:rPr>
          <w:rFonts w:cstheme="minorHAnsi"/>
          <w:sz w:val="22"/>
          <w:szCs w:val="22"/>
          <w:lang w:val="en-GB"/>
        </w:rPr>
        <w:t xml:space="preserve"> </w:t>
      </w:r>
      <w:r w:rsidR="004B5B7E" w:rsidRPr="00C85DCB">
        <w:rPr>
          <w:rFonts w:cstheme="minorHAnsi"/>
          <w:b/>
          <w:bCs/>
          <w:sz w:val="22"/>
          <w:szCs w:val="22"/>
          <w:lang w:val="en-GB"/>
        </w:rPr>
        <w:t>bridge-builder</w:t>
      </w:r>
      <w:r w:rsidRPr="00C85DCB">
        <w:rPr>
          <w:rFonts w:cstheme="minorHAnsi"/>
          <w:sz w:val="22"/>
          <w:szCs w:val="22"/>
          <w:lang w:val="en-GB"/>
        </w:rPr>
        <w:t xml:space="preserve"> is about linking state authorities and civil society and providing related support in creating a platform for their broad interaction and cooperation</w:t>
      </w:r>
      <w:r w:rsidR="005833EF" w:rsidRPr="00C85DCB">
        <w:rPr>
          <w:rFonts w:cstheme="minorHAnsi"/>
          <w:sz w:val="22"/>
          <w:szCs w:val="22"/>
          <w:lang w:val="en-GB"/>
        </w:rPr>
        <w:t xml:space="preserve"> and to engage with the international monitoring mechanisms</w:t>
      </w:r>
      <w:r w:rsidRPr="00C85DCB">
        <w:rPr>
          <w:rFonts w:cstheme="minorHAnsi"/>
          <w:sz w:val="22"/>
          <w:szCs w:val="22"/>
          <w:lang w:val="en-GB"/>
        </w:rPr>
        <w:t xml:space="preserve">. The role of the </w:t>
      </w:r>
      <w:r w:rsidR="004B5B7E" w:rsidRPr="00C85DCB">
        <w:rPr>
          <w:rFonts w:cstheme="minorHAnsi"/>
          <w:b/>
          <w:bCs/>
          <w:sz w:val="22"/>
          <w:szCs w:val="22"/>
          <w:lang w:val="en-GB"/>
        </w:rPr>
        <w:t>educator</w:t>
      </w:r>
      <w:r w:rsidRPr="00C85DCB">
        <w:rPr>
          <w:rFonts w:cstheme="minorHAnsi"/>
          <w:sz w:val="22"/>
          <w:szCs w:val="22"/>
          <w:lang w:val="en-GB"/>
        </w:rPr>
        <w:t xml:space="preserve"> aims at disseminating </w:t>
      </w:r>
      <w:r w:rsidR="005833EF" w:rsidRPr="00C85DCB">
        <w:rPr>
          <w:rFonts w:cstheme="minorHAnsi"/>
          <w:sz w:val="22"/>
          <w:szCs w:val="22"/>
          <w:lang w:val="en-GB"/>
        </w:rPr>
        <w:t xml:space="preserve">information, raising </w:t>
      </w:r>
      <w:r w:rsidRPr="00C85DCB">
        <w:rPr>
          <w:rFonts w:cstheme="minorHAnsi"/>
          <w:sz w:val="22"/>
          <w:szCs w:val="22"/>
          <w:lang w:val="en-GB"/>
        </w:rPr>
        <w:t>general human rights awareness and participating in human rights education.</w:t>
      </w:r>
    </w:p>
    <w:p w14:paraId="33367400" w14:textId="11DC2341" w:rsidR="007A6AC6" w:rsidRPr="00C85DCB" w:rsidRDefault="007A6AC6" w:rsidP="00E51BE1">
      <w:pPr>
        <w:spacing w:after="160"/>
        <w:jc w:val="both"/>
        <w:rPr>
          <w:rFonts w:cstheme="minorHAnsi"/>
          <w:b/>
          <w:bCs/>
          <w:i/>
          <w:iCs/>
          <w:sz w:val="22"/>
          <w:szCs w:val="22"/>
          <w:lang w:val="en-GB"/>
        </w:rPr>
      </w:pPr>
      <w:r w:rsidRPr="00C85DCB">
        <w:rPr>
          <w:rFonts w:cstheme="minorHAnsi"/>
          <w:b/>
          <w:bCs/>
          <w:i/>
          <w:iCs/>
          <w:sz w:val="22"/>
          <w:szCs w:val="22"/>
          <w:lang w:val="en-GB"/>
        </w:rPr>
        <w:t>Ad 2</w:t>
      </w:r>
      <w:r w:rsidR="00E96904" w:rsidRPr="00C85DCB">
        <w:rPr>
          <w:rFonts w:cstheme="minorHAnsi"/>
          <w:b/>
          <w:bCs/>
          <w:i/>
          <w:iCs/>
          <w:sz w:val="22"/>
          <w:szCs w:val="22"/>
          <w:lang w:val="en-GB"/>
        </w:rPr>
        <w:t>)</w:t>
      </w:r>
      <w:r w:rsidRPr="00C85DCB">
        <w:rPr>
          <w:rFonts w:cstheme="minorHAnsi"/>
          <w:b/>
          <w:bCs/>
          <w:i/>
          <w:iCs/>
          <w:sz w:val="22"/>
          <w:szCs w:val="22"/>
          <w:lang w:val="en-GB"/>
        </w:rPr>
        <w:t xml:space="preserve">: </w:t>
      </w:r>
      <w:r w:rsidR="006D7E64" w:rsidRPr="00C85DCB">
        <w:rPr>
          <w:rFonts w:cstheme="minorHAnsi"/>
          <w:b/>
          <w:bCs/>
          <w:i/>
          <w:iCs/>
          <w:sz w:val="22"/>
          <w:szCs w:val="22"/>
          <w:lang w:val="en-GB"/>
        </w:rPr>
        <w:t>Criteria for p</w:t>
      </w:r>
      <w:r w:rsidRPr="00C85DCB">
        <w:rPr>
          <w:rFonts w:cstheme="minorHAnsi"/>
          <w:b/>
          <w:bCs/>
          <w:i/>
          <w:iCs/>
          <w:sz w:val="22"/>
          <w:szCs w:val="22"/>
          <w:lang w:val="en-GB"/>
        </w:rPr>
        <w:t>rioritisation of human rights issues</w:t>
      </w:r>
    </w:p>
    <w:p w14:paraId="4CCC75A4" w14:textId="1A31E877" w:rsidR="00954C5E" w:rsidRPr="00C85DCB" w:rsidRDefault="007A6AC6" w:rsidP="00E51BE1">
      <w:pPr>
        <w:spacing w:after="160"/>
        <w:jc w:val="both"/>
        <w:rPr>
          <w:rFonts w:cstheme="minorHAnsi"/>
          <w:sz w:val="22"/>
          <w:szCs w:val="22"/>
          <w:lang w:val="en-GB"/>
        </w:rPr>
      </w:pPr>
      <w:r w:rsidRPr="00C85DCB">
        <w:rPr>
          <w:rFonts w:cstheme="minorHAnsi"/>
          <w:sz w:val="22"/>
          <w:szCs w:val="22"/>
          <w:lang w:val="en-GB"/>
        </w:rPr>
        <w:t xml:space="preserve">It is </w:t>
      </w:r>
      <w:r w:rsidR="00C86A10" w:rsidRPr="00C85DCB">
        <w:rPr>
          <w:rFonts w:cstheme="minorHAnsi"/>
          <w:sz w:val="22"/>
          <w:szCs w:val="22"/>
          <w:lang w:val="en-GB"/>
        </w:rPr>
        <w:t xml:space="preserve">required that NHRIs have a </w:t>
      </w:r>
      <w:r w:rsidRPr="00C85DCB">
        <w:rPr>
          <w:rFonts w:cstheme="minorHAnsi"/>
          <w:sz w:val="22"/>
          <w:szCs w:val="22"/>
          <w:lang w:val="en-GB"/>
        </w:rPr>
        <w:t>broad mandate for the protection and promotion of human rights</w:t>
      </w:r>
      <w:r w:rsidR="00C86A10" w:rsidRPr="00C85DCB">
        <w:rPr>
          <w:rFonts w:cstheme="minorHAnsi"/>
          <w:sz w:val="22"/>
          <w:szCs w:val="22"/>
          <w:lang w:val="en-GB"/>
        </w:rPr>
        <w:t>.</w:t>
      </w:r>
      <w:r w:rsidR="00DA4A0D" w:rsidRPr="00C85DCB">
        <w:rPr>
          <w:rFonts w:cstheme="minorHAnsi"/>
          <w:sz w:val="22"/>
          <w:szCs w:val="22"/>
          <w:lang w:val="en-GB"/>
        </w:rPr>
        <w:t xml:space="preserve"> </w:t>
      </w:r>
      <w:r w:rsidR="00CF52B2" w:rsidRPr="00C85DCB">
        <w:rPr>
          <w:rFonts w:cstheme="minorHAnsi"/>
          <w:sz w:val="22"/>
          <w:szCs w:val="22"/>
          <w:lang w:val="en-GB"/>
        </w:rPr>
        <w:t xml:space="preserve">It </w:t>
      </w:r>
      <w:r w:rsidR="00954C5E" w:rsidRPr="00C85DCB">
        <w:rPr>
          <w:rFonts w:cstheme="minorHAnsi"/>
          <w:sz w:val="22"/>
          <w:szCs w:val="22"/>
          <w:lang w:val="en-GB"/>
        </w:rPr>
        <w:t xml:space="preserve">must be able to address any human rights challenge of its choosing. In practice it will </w:t>
      </w:r>
      <w:r w:rsidR="00DA4A0D" w:rsidRPr="00C85DCB">
        <w:rPr>
          <w:rFonts w:cstheme="minorHAnsi"/>
          <w:sz w:val="22"/>
          <w:szCs w:val="22"/>
          <w:lang w:val="en-GB"/>
        </w:rPr>
        <w:t xml:space="preserve">not be </w:t>
      </w:r>
      <w:r w:rsidRPr="00C85DCB">
        <w:rPr>
          <w:rFonts w:cstheme="minorHAnsi"/>
          <w:sz w:val="22"/>
          <w:szCs w:val="22"/>
          <w:lang w:val="en-GB"/>
        </w:rPr>
        <w:t xml:space="preserve">possible </w:t>
      </w:r>
      <w:r w:rsidR="00DA4A0D" w:rsidRPr="00C85DCB">
        <w:rPr>
          <w:rFonts w:cstheme="minorHAnsi"/>
          <w:sz w:val="22"/>
          <w:szCs w:val="22"/>
          <w:lang w:val="en-GB"/>
        </w:rPr>
        <w:t xml:space="preserve">for the NHRI </w:t>
      </w:r>
      <w:r w:rsidRPr="00C85DCB">
        <w:rPr>
          <w:rFonts w:cstheme="minorHAnsi"/>
          <w:sz w:val="22"/>
          <w:szCs w:val="22"/>
          <w:lang w:val="en-GB"/>
        </w:rPr>
        <w:t xml:space="preserve">to cover all the sub-aspects in each human rights area </w:t>
      </w:r>
      <w:r w:rsidR="00C86A10" w:rsidRPr="00C85DCB">
        <w:rPr>
          <w:rFonts w:cstheme="minorHAnsi"/>
          <w:sz w:val="22"/>
          <w:szCs w:val="22"/>
          <w:lang w:val="en-GB"/>
        </w:rPr>
        <w:t>at the same time</w:t>
      </w:r>
      <w:r w:rsidRPr="00C85DCB">
        <w:rPr>
          <w:rFonts w:cstheme="minorHAnsi"/>
          <w:sz w:val="22"/>
          <w:szCs w:val="22"/>
          <w:lang w:val="en-GB"/>
        </w:rPr>
        <w:t xml:space="preserve">. Hence </w:t>
      </w:r>
      <w:r w:rsidR="00954C5E" w:rsidRPr="00C85DCB">
        <w:rPr>
          <w:rFonts w:cstheme="minorHAnsi"/>
          <w:sz w:val="22"/>
          <w:szCs w:val="22"/>
          <w:lang w:val="en-GB"/>
        </w:rPr>
        <w:t xml:space="preserve">there is a </w:t>
      </w:r>
      <w:r w:rsidRPr="00C85DCB">
        <w:rPr>
          <w:rFonts w:cstheme="minorHAnsi"/>
          <w:sz w:val="22"/>
          <w:szCs w:val="22"/>
          <w:lang w:val="en-GB"/>
        </w:rPr>
        <w:t xml:space="preserve">clear need to prioritise </w:t>
      </w:r>
      <w:r w:rsidR="00CF52B2" w:rsidRPr="00C85DCB">
        <w:rPr>
          <w:rFonts w:cstheme="minorHAnsi"/>
          <w:sz w:val="22"/>
          <w:szCs w:val="22"/>
          <w:lang w:val="en-GB"/>
        </w:rPr>
        <w:t xml:space="preserve">which </w:t>
      </w:r>
      <w:r w:rsidRPr="00C85DCB">
        <w:rPr>
          <w:rFonts w:cstheme="minorHAnsi"/>
          <w:sz w:val="22"/>
          <w:szCs w:val="22"/>
          <w:lang w:val="en-GB"/>
        </w:rPr>
        <w:t xml:space="preserve">topics that will receive increased attention within </w:t>
      </w:r>
      <w:r w:rsidR="00CF52B2" w:rsidRPr="00C85DCB">
        <w:rPr>
          <w:rFonts w:cstheme="minorHAnsi"/>
          <w:sz w:val="22"/>
          <w:szCs w:val="22"/>
          <w:lang w:val="en-GB"/>
        </w:rPr>
        <w:t>a</w:t>
      </w:r>
      <w:r w:rsidRPr="00C85DCB">
        <w:rPr>
          <w:rFonts w:cstheme="minorHAnsi"/>
          <w:sz w:val="22"/>
          <w:szCs w:val="22"/>
          <w:lang w:val="en-GB"/>
        </w:rPr>
        <w:t xml:space="preserve"> timeframe.</w:t>
      </w:r>
    </w:p>
    <w:p w14:paraId="30AA91F6" w14:textId="08225915" w:rsidR="007A6AC6" w:rsidRPr="00C85DCB" w:rsidRDefault="006E7C26" w:rsidP="00E51BE1">
      <w:pPr>
        <w:spacing w:after="160"/>
        <w:jc w:val="both"/>
        <w:rPr>
          <w:rFonts w:cstheme="minorHAnsi"/>
          <w:sz w:val="22"/>
          <w:szCs w:val="22"/>
          <w:lang w:val="en-GB"/>
        </w:rPr>
      </w:pPr>
      <w:r w:rsidRPr="00C85DCB">
        <w:rPr>
          <w:rFonts w:cstheme="minorHAnsi"/>
          <w:sz w:val="22"/>
          <w:szCs w:val="22"/>
          <w:lang w:val="en-GB"/>
        </w:rPr>
        <w:t xml:space="preserve">The first step is to map human rights challenges. </w:t>
      </w:r>
      <w:r w:rsidR="007A6AC6" w:rsidRPr="00C85DCB">
        <w:rPr>
          <w:rFonts w:cstheme="minorHAnsi"/>
          <w:sz w:val="22"/>
          <w:szCs w:val="22"/>
          <w:lang w:val="en-GB"/>
        </w:rPr>
        <w:t>These may reflect the current dynamics of societal development and the need to respond to an emerging (undesirable) situation</w:t>
      </w:r>
      <w:r w:rsidR="00EB0CC7" w:rsidRPr="00C85DCB">
        <w:rPr>
          <w:rFonts w:cstheme="minorHAnsi"/>
          <w:sz w:val="22"/>
          <w:szCs w:val="22"/>
          <w:lang w:val="en-GB"/>
        </w:rPr>
        <w:t>,</w:t>
      </w:r>
      <w:r w:rsidR="007A6AC6" w:rsidRPr="00C85DCB">
        <w:rPr>
          <w:rFonts w:cstheme="minorHAnsi"/>
          <w:sz w:val="22"/>
          <w:szCs w:val="22"/>
          <w:lang w:val="en-GB"/>
        </w:rPr>
        <w:t xml:space="preserve"> or a systematic approach to a particular human rights </w:t>
      </w:r>
      <w:r w:rsidR="00832D13" w:rsidRPr="00C85DCB">
        <w:rPr>
          <w:rFonts w:cstheme="minorHAnsi"/>
          <w:sz w:val="22"/>
          <w:szCs w:val="22"/>
          <w:lang w:val="en-GB"/>
        </w:rPr>
        <w:t>issue</w:t>
      </w:r>
      <w:r w:rsidR="007A6AC6" w:rsidRPr="00C85DCB">
        <w:rPr>
          <w:rFonts w:cstheme="minorHAnsi"/>
          <w:sz w:val="22"/>
          <w:szCs w:val="22"/>
          <w:lang w:val="en-GB"/>
        </w:rPr>
        <w:t xml:space="preserve">. In the </w:t>
      </w:r>
      <w:r w:rsidR="00832D13" w:rsidRPr="00C85DCB">
        <w:rPr>
          <w:rFonts w:cstheme="minorHAnsi"/>
          <w:sz w:val="22"/>
          <w:szCs w:val="22"/>
          <w:lang w:val="en-GB"/>
        </w:rPr>
        <w:t>Czech</w:t>
      </w:r>
      <w:r w:rsidR="007A6AC6" w:rsidRPr="00C85DCB">
        <w:rPr>
          <w:rFonts w:cstheme="minorHAnsi"/>
          <w:sz w:val="22"/>
          <w:szCs w:val="22"/>
          <w:lang w:val="en-GB"/>
        </w:rPr>
        <w:t xml:space="preserve"> context, the NHRI </w:t>
      </w:r>
      <w:r w:rsidR="00ED3F35" w:rsidRPr="00C85DCB">
        <w:rPr>
          <w:rFonts w:cstheme="minorHAnsi"/>
          <w:sz w:val="22"/>
          <w:szCs w:val="22"/>
          <w:lang w:val="en-GB"/>
        </w:rPr>
        <w:t>w</w:t>
      </w:r>
      <w:r w:rsidR="007A6AC6" w:rsidRPr="00C85DCB">
        <w:rPr>
          <w:rFonts w:cstheme="minorHAnsi"/>
          <w:sz w:val="22"/>
          <w:szCs w:val="22"/>
          <w:lang w:val="en-GB"/>
        </w:rPr>
        <w:t>ould be an institution unknown to the majority of the population</w:t>
      </w:r>
      <w:r w:rsidR="00ED3F35" w:rsidRPr="00C85DCB">
        <w:rPr>
          <w:rFonts w:cstheme="minorHAnsi"/>
          <w:sz w:val="22"/>
          <w:szCs w:val="22"/>
          <w:lang w:val="en-GB"/>
        </w:rPr>
        <w:t xml:space="preserve"> even if established as a part of the Ombudsman’s Office. Thus, </w:t>
      </w:r>
      <w:r w:rsidR="007A6AC6" w:rsidRPr="00C85DCB">
        <w:rPr>
          <w:rFonts w:cstheme="minorHAnsi"/>
          <w:sz w:val="22"/>
          <w:szCs w:val="22"/>
          <w:lang w:val="en-GB"/>
        </w:rPr>
        <w:t xml:space="preserve">it may prove very appropriate to focus on </w:t>
      </w:r>
      <w:r w:rsidR="00ED3F35" w:rsidRPr="00C85DCB">
        <w:rPr>
          <w:rFonts w:cstheme="minorHAnsi"/>
          <w:sz w:val="22"/>
          <w:szCs w:val="22"/>
          <w:lang w:val="en-GB"/>
        </w:rPr>
        <w:t>well-known human rights issues</w:t>
      </w:r>
      <w:r w:rsidR="007A6AC6" w:rsidRPr="00C85DCB">
        <w:rPr>
          <w:rFonts w:cstheme="minorHAnsi"/>
          <w:sz w:val="22"/>
          <w:szCs w:val="22"/>
          <w:lang w:val="en-GB"/>
        </w:rPr>
        <w:t xml:space="preserve"> (e.g. hate speech, domestic violence, environment) at the beginning of its functioning</w:t>
      </w:r>
      <w:r w:rsidR="00EB0CC7" w:rsidRPr="00C85DCB">
        <w:rPr>
          <w:rFonts w:cstheme="minorHAnsi"/>
          <w:sz w:val="22"/>
          <w:szCs w:val="22"/>
          <w:lang w:val="en-GB"/>
        </w:rPr>
        <w:t>,</w:t>
      </w:r>
      <w:r w:rsidR="007A6AC6" w:rsidRPr="00C85DCB">
        <w:rPr>
          <w:rFonts w:cstheme="minorHAnsi"/>
          <w:sz w:val="22"/>
          <w:szCs w:val="22"/>
          <w:lang w:val="en-GB"/>
        </w:rPr>
        <w:t xml:space="preserve"> and only later on </w:t>
      </w:r>
      <w:r w:rsidR="00ED3F35" w:rsidRPr="00C85DCB">
        <w:rPr>
          <w:rFonts w:cstheme="minorHAnsi"/>
          <w:sz w:val="22"/>
          <w:szCs w:val="22"/>
          <w:lang w:val="en-GB"/>
        </w:rPr>
        <w:t xml:space="preserve">address </w:t>
      </w:r>
      <w:r w:rsidR="007A6AC6" w:rsidRPr="00C85DCB">
        <w:rPr>
          <w:rFonts w:cstheme="minorHAnsi"/>
          <w:sz w:val="22"/>
          <w:szCs w:val="22"/>
          <w:lang w:val="en-GB"/>
        </w:rPr>
        <w:t xml:space="preserve">more progressive </w:t>
      </w:r>
      <w:r w:rsidR="00ED3F35" w:rsidRPr="00C85DCB">
        <w:rPr>
          <w:rFonts w:cstheme="minorHAnsi"/>
          <w:sz w:val="22"/>
          <w:szCs w:val="22"/>
          <w:lang w:val="en-GB"/>
        </w:rPr>
        <w:t>issues</w:t>
      </w:r>
      <w:r w:rsidR="007A6AC6" w:rsidRPr="00C85DCB">
        <w:rPr>
          <w:rFonts w:cstheme="minorHAnsi"/>
          <w:sz w:val="22"/>
          <w:szCs w:val="22"/>
          <w:lang w:val="en-GB"/>
        </w:rPr>
        <w:t xml:space="preserve"> (e.g. issues of LGBTQIA+ persons).</w:t>
      </w:r>
    </w:p>
    <w:p w14:paraId="4B5C1145" w14:textId="6BCECD05" w:rsidR="00EB0CC7" w:rsidRPr="00C85DCB" w:rsidRDefault="007A6AC6" w:rsidP="00E51BE1">
      <w:pPr>
        <w:spacing w:after="160"/>
        <w:jc w:val="both"/>
        <w:rPr>
          <w:rFonts w:cstheme="minorHAnsi"/>
          <w:sz w:val="22"/>
          <w:szCs w:val="22"/>
          <w:lang w:val="en-GB"/>
        </w:rPr>
      </w:pPr>
      <w:r w:rsidRPr="00C85DCB">
        <w:rPr>
          <w:rFonts w:cstheme="minorHAnsi"/>
          <w:sz w:val="22"/>
          <w:szCs w:val="22"/>
          <w:lang w:val="en-GB"/>
        </w:rPr>
        <w:t xml:space="preserve">In its practical work, </w:t>
      </w:r>
      <w:r w:rsidR="00170202" w:rsidRPr="00C85DCB">
        <w:rPr>
          <w:rFonts w:cstheme="minorHAnsi"/>
          <w:sz w:val="22"/>
          <w:szCs w:val="22"/>
          <w:lang w:val="en-GB"/>
        </w:rPr>
        <w:t>Norway’s NHRI</w:t>
      </w:r>
      <w:r w:rsidR="00170202" w:rsidRPr="00C85DCB" w:rsidDel="00170202">
        <w:rPr>
          <w:rFonts w:cstheme="minorHAnsi"/>
          <w:sz w:val="22"/>
          <w:szCs w:val="22"/>
          <w:lang w:val="en-GB"/>
        </w:rPr>
        <w:t xml:space="preserve"> </w:t>
      </w:r>
      <w:r w:rsidRPr="00C85DCB">
        <w:rPr>
          <w:rFonts w:cstheme="minorHAnsi"/>
          <w:sz w:val="22"/>
          <w:szCs w:val="22"/>
          <w:lang w:val="en-GB"/>
        </w:rPr>
        <w:t xml:space="preserve">applies the following </w:t>
      </w:r>
      <w:r w:rsidRPr="00C85DCB">
        <w:rPr>
          <w:rFonts w:cstheme="minorHAnsi"/>
          <w:b/>
          <w:bCs/>
          <w:sz w:val="22"/>
          <w:szCs w:val="22"/>
          <w:lang w:val="en-GB"/>
        </w:rPr>
        <w:t xml:space="preserve">set of criteria for prioritising issues to </w:t>
      </w:r>
      <w:r w:rsidR="00B37874" w:rsidRPr="00C85DCB">
        <w:rPr>
          <w:rFonts w:cstheme="minorHAnsi"/>
          <w:b/>
          <w:bCs/>
          <w:sz w:val="22"/>
          <w:szCs w:val="22"/>
          <w:lang w:val="en-GB"/>
        </w:rPr>
        <w:t>pursue in depth</w:t>
      </w:r>
      <w:r w:rsidRPr="00C85DCB">
        <w:rPr>
          <w:rFonts w:cstheme="minorHAnsi"/>
          <w:sz w:val="22"/>
          <w:szCs w:val="22"/>
          <w:lang w:val="en-GB"/>
        </w:rPr>
        <w:t>, not only in the preparation of thematic reports, but cross-sectionally across all its activities; these criteria are cumulative in nature, so that a given issue is always assessed and prioritised on the basis of an evaluation of all the factors listed below, namely the four basic and four practical ones:</w:t>
      </w:r>
    </w:p>
    <w:p w14:paraId="46F5DDC0" w14:textId="0E2C0F85" w:rsidR="007A6AC6" w:rsidRPr="00C85DCB" w:rsidRDefault="007A6AC6" w:rsidP="00E51BE1">
      <w:pPr>
        <w:spacing w:after="160"/>
        <w:jc w:val="both"/>
        <w:rPr>
          <w:rFonts w:cstheme="minorHAnsi"/>
          <w:b/>
          <w:bCs/>
          <w:sz w:val="22"/>
          <w:szCs w:val="22"/>
          <w:lang w:val="en-GB"/>
        </w:rPr>
      </w:pPr>
      <w:r w:rsidRPr="00C85DCB">
        <w:rPr>
          <w:rFonts w:cstheme="minorHAnsi"/>
          <w:b/>
          <w:bCs/>
          <w:sz w:val="22"/>
          <w:szCs w:val="22"/>
          <w:lang w:val="en-GB"/>
        </w:rPr>
        <w:t>Basic criteria:</w:t>
      </w:r>
    </w:p>
    <w:p w14:paraId="6148FC4B" w14:textId="31F116CF" w:rsidR="007A6AC6" w:rsidRPr="00C85DCB" w:rsidRDefault="007A6AC6" w:rsidP="00E51BE1">
      <w:pPr>
        <w:pStyle w:val="Odstavecseseznamem"/>
        <w:numPr>
          <w:ilvl w:val="0"/>
          <w:numId w:val="5"/>
        </w:numPr>
        <w:spacing w:after="160"/>
        <w:jc w:val="both"/>
        <w:rPr>
          <w:rFonts w:cstheme="minorHAnsi"/>
          <w:sz w:val="22"/>
          <w:szCs w:val="22"/>
          <w:lang w:val="en-GB"/>
        </w:rPr>
      </w:pPr>
      <w:r w:rsidRPr="00C85DCB">
        <w:rPr>
          <w:rFonts w:cstheme="minorHAnsi"/>
          <w:b/>
          <w:bCs/>
          <w:sz w:val="22"/>
          <w:szCs w:val="22"/>
          <w:lang w:val="en-GB"/>
        </w:rPr>
        <w:t>Relevance to human rights</w:t>
      </w:r>
      <w:r w:rsidRPr="00C85DCB">
        <w:rPr>
          <w:rFonts w:cstheme="minorHAnsi"/>
          <w:sz w:val="22"/>
          <w:szCs w:val="22"/>
          <w:lang w:val="en-GB"/>
        </w:rPr>
        <w:t xml:space="preserve"> </w:t>
      </w:r>
      <w:r w:rsidR="00EB0CC7" w:rsidRPr="00C85DCB">
        <w:rPr>
          <w:rFonts w:cstheme="minorHAnsi"/>
          <w:sz w:val="22"/>
          <w:szCs w:val="22"/>
          <w:lang w:val="en-GB"/>
        </w:rPr>
        <w:t>–</w:t>
      </w:r>
      <w:r w:rsidRPr="00C85DCB">
        <w:rPr>
          <w:rFonts w:cstheme="minorHAnsi"/>
          <w:sz w:val="22"/>
          <w:szCs w:val="22"/>
          <w:lang w:val="en-GB"/>
        </w:rPr>
        <w:t xml:space="preserve"> the issue explicitly or implicitly falls within the human rights domain</w:t>
      </w:r>
    </w:p>
    <w:p w14:paraId="4803B884" w14:textId="6268B7BA" w:rsidR="007A6AC6" w:rsidRPr="00C85DCB" w:rsidRDefault="007A6AC6" w:rsidP="00E51BE1">
      <w:pPr>
        <w:pStyle w:val="Odstavecseseznamem"/>
        <w:numPr>
          <w:ilvl w:val="0"/>
          <w:numId w:val="5"/>
        </w:numPr>
        <w:spacing w:after="160"/>
        <w:jc w:val="both"/>
        <w:rPr>
          <w:rFonts w:cstheme="minorHAnsi"/>
          <w:sz w:val="22"/>
          <w:szCs w:val="22"/>
          <w:lang w:val="en-GB"/>
        </w:rPr>
      </w:pPr>
      <w:r w:rsidRPr="00C85DCB">
        <w:rPr>
          <w:rFonts w:cstheme="minorHAnsi"/>
          <w:b/>
          <w:bCs/>
          <w:sz w:val="22"/>
          <w:szCs w:val="22"/>
          <w:lang w:val="en-GB"/>
        </w:rPr>
        <w:t>Severity</w:t>
      </w:r>
      <w:r w:rsidRPr="00C85DCB">
        <w:rPr>
          <w:rFonts w:cstheme="minorHAnsi"/>
          <w:sz w:val="22"/>
          <w:szCs w:val="22"/>
          <w:lang w:val="en-GB"/>
        </w:rPr>
        <w:t xml:space="preserve"> </w:t>
      </w:r>
      <w:r w:rsidR="00EB0CC7" w:rsidRPr="00C85DCB">
        <w:rPr>
          <w:rFonts w:cstheme="minorHAnsi"/>
          <w:sz w:val="22"/>
          <w:szCs w:val="22"/>
          <w:lang w:val="en-GB"/>
        </w:rPr>
        <w:t>–</w:t>
      </w:r>
      <w:r w:rsidRPr="00C85DCB">
        <w:rPr>
          <w:rFonts w:cstheme="minorHAnsi"/>
          <w:sz w:val="22"/>
          <w:szCs w:val="22"/>
          <w:lang w:val="en-GB"/>
        </w:rPr>
        <w:t xml:space="preserve"> the problem is serious in view of the vulnerability of the victims, the underlying circumstances and the reasons for the situation</w:t>
      </w:r>
    </w:p>
    <w:p w14:paraId="51CA6FAD" w14:textId="2ADBEE29" w:rsidR="007A6AC6" w:rsidRPr="00C85DCB" w:rsidRDefault="007A6AC6" w:rsidP="00E51BE1">
      <w:pPr>
        <w:pStyle w:val="Odstavecseseznamem"/>
        <w:numPr>
          <w:ilvl w:val="0"/>
          <w:numId w:val="5"/>
        </w:numPr>
        <w:spacing w:after="160"/>
        <w:jc w:val="both"/>
        <w:rPr>
          <w:rFonts w:cstheme="minorHAnsi"/>
          <w:sz w:val="22"/>
          <w:szCs w:val="22"/>
          <w:lang w:val="en-GB"/>
        </w:rPr>
      </w:pPr>
      <w:r w:rsidRPr="00C85DCB">
        <w:rPr>
          <w:rFonts w:cstheme="minorHAnsi"/>
          <w:b/>
          <w:bCs/>
          <w:sz w:val="22"/>
          <w:szCs w:val="22"/>
          <w:lang w:val="en-GB"/>
        </w:rPr>
        <w:lastRenderedPageBreak/>
        <w:t>Extent</w:t>
      </w:r>
      <w:r w:rsidRPr="00C85DCB">
        <w:rPr>
          <w:rFonts w:cstheme="minorHAnsi"/>
          <w:sz w:val="22"/>
          <w:szCs w:val="22"/>
          <w:lang w:val="en-GB"/>
        </w:rPr>
        <w:t xml:space="preserve"> </w:t>
      </w:r>
      <w:r w:rsidR="00EB0CC7" w:rsidRPr="00C85DCB">
        <w:rPr>
          <w:rFonts w:cstheme="minorHAnsi"/>
          <w:sz w:val="22"/>
          <w:szCs w:val="22"/>
          <w:lang w:val="en-GB"/>
        </w:rPr>
        <w:t>–</w:t>
      </w:r>
      <w:r w:rsidRPr="00C85DCB">
        <w:rPr>
          <w:rFonts w:cstheme="minorHAnsi"/>
          <w:sz w:val="22"/>
          <w:szCs w:val="22"/>
          <w:lang w:val="en-GB"/>
        </w:rPr>
        <w:t xml:space="preserve"> the problem affects a large number of persons </w:t>
      </w:r>
      <w:r w:rsidR="00E26196" w:rsidRPr="00C85DCB">
        <w:rPr>
          <w:rFonts w:cstheme="minorHAnsi"/>
          <w:sz w:val="22"/>
          <w:szCs w:val="22"/>
          <w:lang w:val="en-GB"/>
        </w:rPr>
        <w:t xml:space="preserve">in general or </w:t>
      </w:r>
      <w:r w:rsidRPr="00C85DCB">
        <w:rPr>
          <w:rFonts w:cstheme="minorHAnsi"/>
          <w:sz w:val="22"/>
          <w:szCs w:val="22"/>
          <w:lang w:val="en-GB"/>
        </w:rPr>
        <w:t xml:space="preserve">within </w:t>
      </w:r>
      <w:r w:rsidR="00DB7741" w:rsidRPr="00C85DCB">
        <w:rPr>
          <w:rFonts w:cstheme="minorHAnsi"/>
          <w:sz w:val="22"/>
          <w:szCs w:val="22"/>
          <w:lang w:val="en-GB"/>
        </w:rPr>
        <w:t xml:space="preserve">a </w:t>
      </w:r>
      <w:r w:rsidRPr="00C85DCB">
        <w:rPr>
          <w:rFonts w:cstheme="minorHAnsi"/>
          <w:sz w:val="22"/>
          <w:szCs w:val="22"/>
          <w:lang w:val="en-GB"/>
        </w:rPr>
        <w:t>group</w:t>
      </w:r>
    </w:p>
    <w:p w14:paraId="1AA95C3E" w14:textId="36304C22" w:rsidR="00EB0CC7" w:rsidRPr="00B401FD" w:rsidRDefault="007A6AC6" w:rsidP="00E51BE1">
      <w:pPr>
        <w:pStyle w:val="Odstavecseseznamem"/>
        <w:numPr>
          <w:ilvl w:val="0"/>
          <w:numId w:val="5"/>
        </w:numPr>
        <w:spacing w:after="160"/>
        <w:jc w:val="both"/>
        <w:rPr>
          <w:rFonts w:cstheme="minorHAnsi"/>
          <w:sz w:val="22"/>
          <w:szCs w:val="22"/>
          <w:lang w:val="en-GB"/>
        </w:rPr>
      </w:pPr>
      <w:r w:rsidRPr="00C85DCB">
        <w:rPr>
          <w:rFonts w:cstheme="minorHAnsi"/>
          <w:b/>
          <w:bCs/>
          <w:sz w:val="22"/>
          <w:szCs w:val="22"/>
          <w:lang w:val="en-GB"/>
        </w:rPr>
        <w:t>Representativeness</w:t>
      </w:r>
      <w:r w:rsidRPr="00C85DCB">
        <w:rPr>
          <w:rFonts w:cstheme="minorHAnsi"/>
          <w:sz w:val="22"/>
          <w:szCs w:val="22"/>
          <w:lang w:val="en-GB"/>
        </w:rPr>
        <w:t xml:space="preserve"> </w:t>
      </w:r>
      <w:r w:rsidR="00EB0CC7" w:rsidRPr="00C85DCB">
        <w:rPr>
          <w:rFonts w:cstheme="minorHAnsi"/>
          <w:sz w:val="22"/>
          <w:szCs w:val="22"/>
          <w:lang w:val="en-GB"/>
        </w:rPr>
        <w:t>–</w:t>
      </w:r>
      <w:r w:rsidRPr="00C85DCB">
        <w:rPr>
          <w:rFonts w:cstheme="minorHAnsi"/>
          <w:sz w:val="22"/>
          <w:szCs w:val="22"/>
          <w:lang w:val="en-GB"/>
        </w:rPr>
        <w:t xml:space="preserve"> the selection of topics should reflect as far as possible the breadth of topics in the statutory mandate</w:t>
      </w:r>
      <w:r w:rsidR="00B37874" w:rsidRPr="00C85DCB">
        <w:rPr>
          <w:rFonts w:cstheme="minorHAnsi"/>
          <w:sz w:val="22"/>
          <w:szCs w:val="22"/>
          <w:lang w:val="en-GB"/>
        </w:rPr>
        <w:t>.</w:t>
      </w:r>
    </w:p>
    <w:p w14:paraId="380C3506" w14:textId="695FC8DB" w:rsidR="007A6AC6" w:rsidRPr="00C85DCB" w:rsidRDefault="007A6AC6" w:rsidP="00E51BE1">
      <w:pPr>
        <w:spacing w:after="160"/>
        <w:jc w:val="both"/>
        <w:rPr>
          <w:rFonts w:cstheme="minorHAnsi"/>
          <w:b/>
          <w:bCs/>
          <w:sz w:val="22"/>
          <w:szCs w:val="22"/>
          <w:lang w:val="en-GB"/>
        </w:rPr>
      </w:pPr>
      <w:r w:rsidRPr="00C85DCB">
        <w:rPr>
          <w:rFonts w:cstheme="minorHAnsi"/>
          <w:b/>
          <w:bCs/>
          <w:sz w:val="22"/>
          <w:szCs w:val="22"/>
          <w:lang w:val="en-GB"/>
        </w:rPr>
        <w:t>Practical criteria:</w:t>
      </w:r>
    </w:p>
    <w:p w14:paraId="475AE931" w14:textId="0CAD8063" w:rsidR="007A6AC6" w:rsidRPr="00C85DCB" w:rsidRDefault="007A6AC6" w:rsidP="00E51BE1">
      <w:pPr>
        <w:pStyle w:val="Odstavecseseznamem"/>
        <w:numPr>
          <w:ilvl w:val="0"/>
          <w:numId w:val="7"/>
        </w:numPr>
        <w:spacing w:after="160"/>
        <w:jc w:val="both"/>
        <w:rPr>
          <w:rFonts w:cstheme="minorHAnsi"/>
          <w:sz w:val="22"/>
          <w:szCs w:val="22"/>
          <w:lang w:val="en-GB"/>
        </w:rPr>
      </w:pPr>
      <w:r w:rsidRPr="00C85DCB">
        <w:rPr>
          <w:rFonts w:cstheme="minorHAnsi"/>
          <w:b/>
          <w:bCs/>
          <w:sz w:val="22"/>
          <w:szCs w:val="22"/>
          <w:lang w:val="en-GB"/>
        </w:rPr>
        <w:t>Timely relevance</w:t>
      </w:r>
      <w:r w:rsidRPr="00C85DCB">
        <w:rPr>
          <w:rFonts w:cstheme="minorHAnsi"/>
          <w:sz w:val="22"/>
          <w:szCs w:val="22"/>
          <w:lang w:val="en-GB"/>
        </w:rPr>
        <w:t xml:space="preserve"> </w:t>
      </w:r>
      <w:r w:rsidR="00EB0CC7" w:rsidRPr="00C85DCB">
        <w:rPr>
          <w:rFonts w:cstheme="minorHAnsi"/>
          <w:sz w:val="22"/>
          <w:szCs w:val="22"/>
          <w:lang w:val="en-GB"/>
        </w:rPr>
        <w:t>–</w:t>
      </w:r>
      <w:r w:rsidRPr="00C85DCB">
        <w:rPr>
          <w:rFonts w:cstheme="minorHAnsi"/>
          <w:sz w:val="22"/>
          <w:szCs w:val="22"/>
          <w:lang w:val="en-GB"/>
        </w:rPr>
        <w:t xml:space="preserve"> the topic is politically relevant and is the subject of a government initiative (creates a </w:t>
      </w:r>
      <w:r w:rsidR="00EB0CC7" w:rsidRPr="00C85DCB">
        <w:rPr>
          <w:rFonts w:cstheme="minorHAnsi"/>
          <w:sz w:val="22"/>
          <w:szCs w:val="22"/>
          <w:lang w:val="en-GB"/>
        </w:rPr>
        <w:t>“</w:t>
      </w:r>
      <w:r w:rsidRPr="00C85DCB">
        <w:rPr>
          <w:rFonts w:cstheme="minorHAnsi"/>
          <w:sz w:val="22"/>
          <w:szCs w:val="22"/>
          <w:lang w:val="en-GB"/>
        </w:rPr>
        <w:t>window of opportunity</w:t>
      </w:r>
      <w:r w:rsidR="00EB0CC7" w:rsidRPr="00C85DCB">
        <w:rPr>
          <w:rFonts w:cstheme="minorHAnsi"/>
          <w:sz w:val="22"/>
          <w:szCs w:val="22"/>
          <w:lang w:val="en-GB"/>
        </w:rPr>
        <w:t>”</w:t>
      </w:r>
      <w:r w:rsidRPr="00C85DCB">
        <w:rPr>
          <w:rFonts w:cstheme="minorHAnsi"/>
          <w:sz w:val="22"/>
          <w:szCs w:val="22"/>
          <w:lang w:val="en-GB"/>
        </w:rPr>
        <w:t>) that will increase the possibility of a breakthrough</w:t>
      </w:r>
    </w:p>
    <w:p w14:paraId="05B0D79E" w14:textId="5DBE2DA9" w:rsidR="007A6AC6" w:rsidRPr="00C85DCB" w:rsidRDefault="007A6AC6" w:rsidP="00E51BE1">
      <w:pPr>
        <w:pStyle w:val="Odstavecseseznamem"/>
        <w:numPr>
          <w:ilvl w:val="0"/>
          <w:numId w:val="7"/>
        </w:numPr>
        <w:spacing w:after="160"/>
        <w:jc w:val="both"/>
        <w:rPr>
          <w:rFonts w:cstheme="minorHAnsi"/>
          <w:sz w:val="22"/>
          <w:szCs w:val="22"/>
          <w:lang w:val="en-GB"/>
        </w:rPr>
      </w:pPr>
      <w:r w:rsidRPr="00C85DCB">
        <w:rPr>
          <w:rFonts w:cstheme="minorHAnsi"/>
          <w:b/>
          <w:bCs/>
          <w:sz w:val="22"/>
          <w:szCs w:val="22"/>
          <w:lang w:val="en-GB"/>
        </w:rPr>
        <w:t>Overlap with other actors</w:t>
      </w:r>
      <w:r w:rsidRPr="00C85DCB">
        <w:rPr>
          <w:rFonts w:cstheme="minorHAnsi"/>
          <w:sz w:val="22"/>
          <w:szCs w:val="22"/>
          <w:lang w:val="en-GB"/>
        </w:rPr>
        <w:t xml:space="preserve"> </w:t>
      </w:r>
      <w:r w:rsidR="00EB0CC7" w:rsidRPr="00C85DCB">
        <w:rPr>
          <w:rFonts w:cstheme="minorHAnsi"/>
          <w:sz w:val="22"/>
          <w:szCs w:val="22"/>
          <w:lang w:val="en-GB"/>
        </w:rPr>
        <w:t>–</w:t>
      </w:r>
      <w:r w:rsidRPr="00C85DCB">
        <w:rPr>
          <w:rFonts w:cstheme="minorHAnsi"/>
          <w:sz w:val="22"/>
          <w:szCs w:val="22"/>
          <w:lang w:val="en-GB"/>
        </w:rPr>
        <w:t xml:space="preserve"> if the issue is appropriately addressed by other actors, it should be assessed whether NHRI involvement will add value</w:t>
      </w:r>
    </w:p>
    <w:p w14:paraId="6C4C8191" w14:textId="351E7EE4" w:rsidR="007A6AC6" w:rsidRPr="00C85DCB" w:rsidRDefault="007A6AC6" w:rsidP="00E51BE1">
      <w:pPr>
        <w:pStyle w:val="Odstavecseseznamem"/>
        <w:numPr>
          <w:ilvl w:val="0"/>
          <w:numId w:val="7"/>
        </w:numPr>
        <w:spacing w:after="160"/>
        <w:jc w:val="both"/>
        <w:rPr>
          <w:rFonts w:cstheme="minorHAnsi"/>
          <w:sz w:val="22"/>
          <w:szCs w:val="22"/>
          <w:lang w:val="en-GB"/>
        </w:rPr>
      </w:pPr>
      <w:r w:rsidRPr="00C85DCB">
        <w:rPr>
          <w:rFonts w:cstheme="minorHAnsi"/>
          <w:b/>
          <w:bCs/>
          <w:sz w:val="22"/>
          <w:szCs w:val="22"/>
          <w:lang w:val="en-GB"/>
        </w:rPr>
        <w:t>External perception of NHRI</w:t>
      </w:r>
      <w:r w:rsidRPr="00C85DCB">
        <w:rPr>
          <w:rFonts w:cstheme="minorHAnsi"/>
          <w:sz w:val="22"/>
          <w:szCs w:val="22"/>
          <w:lang w:val="en-GB"/>
        </w:rPr>
        <w:t xml:space="preserve"> </w:t>
      </w:r>
      <w:r w:rsidR="00EB0CC7" w:rsidRPr="00C85DCB">
        <w:rPr>
          <w:rFonts w:cstheme="minorHAnsi"/>
          <w:sz w:val="22"/>
          <w:szCs w:val="22"/>
          <w:lang w:val="en-GB"/>
        </w:rPr>
        <w:t>–</w:t>
      </w:r>
      <w:r w:rsidRPr="00C85DCB">
        <w:rPr>
          <w:rFonts w:cstheme="minorHAnsi"/>
          <w:sz w:val="22"/>
          <w:szCs w:val="22"/>
          <w:lang w:val="en-GB"/>
        </w:rPr>
        <w:t xml:space="preserve"> can the issue be addressed and communicated in a way that supports and promotes the independence, legitimacy and integrity of the institution?</w:t>
      </w:r>
    </w:p>
    <w:p w14:paraId="10E95467" w14:textId="377052F0" w:rsidR="007A6AC6" w:rsidRPr="00B401FD" w:rsidRDefault="007A6AC6" w:rsidP="00E51BE1">
      <w:pPr>
        <w:pStyle w:val="Odstavecseseznamem"/>
        <w:numPr>
          <w:ilvl w:val="0"/>
          <w:numId w:val="7"/>
        </w:numPr>
        <w:spacing w:after="160"/>
        <w:jc w:val="both"/>
        <w:rPr>
          <w:rFonts w:cstheme="minorHAnsi"/>
          <w:sz w:val="22"/>
          <w:szCs w:val="22"/>
          <w:lang w:val="en-GB"/>
        </w:rPr>
      </w:pPr>
      <w:r w:rsidRPr="00C85DCB">
        <w:rPr>
          <w:rFonts w:cstheme="minorHAnsi"/>
          <w:b/>
          <w:bCs/>
          <w:sz w:val="22"/>
          <w:szCs w:val="22"/>
          <w:lang w:val="en-GB"/>
        </w:rPr>
        <w:t>Other practical considerations</w:t>
      </w:r>
      <w:r w:rsidRPr="00C85DCB">
        <w:rPr>
          <w:rFonts w:cstheme="minorHAnsi"/>
          <w:sz w:val="22"/>
          <w:szCs w:val="22"/>
          <w:lang w:val="en-GB"/>
        </w:rPr>
        <w:t xml:space="preserve"> </w:t>
      </w:r>
      <w:r w:rsidR="00EB0CC7" w:rsidRPr="00C85DCB">
        <w:rPr>
          <w:rFonts w:cstheme="minorHAnsi"/>
          <w:sz w:val="22"/>
          <w:szCs w:val="22"/>
          <w:lang w:val="en-GB"/>
        </w:rPr>
        <w:t>–</w:t>
      </w:r>
      <w:r w:rsidRPr="00C85DCB">
        <w:rPr>
          <w:rFonts w:cstheme="minorHAnsi"/>
          <w:sz w:val="22"/>
          <w:szCs w:val="22"/>
          <w:lang w:val="en-GB"/>
        </w:rPr>
        <w:t xml:space="preserve"> NHRI competencies, available resources, etc.</w:t>
      </w:r>
    </w:p>
    <w:p w14:paraId="6292D1B8" w14:textId="705730B8" w:rsidR="007A6AC6" w:rsidRPr="00C85DCB" w:rsidRDefault="007A6AC6" w:rsidP="00E51BE1">
      <w:pPr>
        <w:spacing w:after="160"/>
        <w:jc w:val="both"/>
        <w:rPr>
          <w:rFonts w:cstheme="minorHAnsi"/>
          <w:sz w:val="22"/>
          <w:szCs w:val="22"/>
          <w:lang w:val="en-GB"/>
        </w:rPr>
      </w:pPr>
      <w:r w:rsidRPr="00C85DCB">
        <w:rPr>
          <w:rFonts w:cstheme="minorHAnsi"/>
          <w:sz w:val="22"/>
          <w:szCs w:val="22"/>
          <w:lang w:val="en-GB"/>
        </w:rPr>
        <w:t xml:space="preserve">The relevance of the above criteria </w:t>
      </w:r>
      <w:r w:rsidR="00E26196" w:rsidRPr="00C85DCB">
        <w:rPr>
          <w:rFonts w:cstheme="minorHAnsi"/>
          <w:sz w:val="22"/>
          <w:szCs w:val="22"/>
          <w:lang w:val="en-GB"/>
        </w:rPr>
        <w:t>in</w:t>
      </w:r>
      <w:r w:rsidRPr="00C85DCB">
        <w:rPr>
          <w:rFonts w:cstheme="minorHAnsi"/>
          <w:sz w:val="22"/>
          <w:szCs w:val="22"/>
          <w:lang w:val="en-GB"/>
        </w:rPr>
        <w:t xml:space="preserve"> practice can be illustrated by the prioritised themes of </w:t>
      </w:r>
      <w:r w:rsidR="00170202" w:rsidRPr="00C85DCB">
        <w:rPr>
          <w:rFonts w:cstheme="minorHAnsi"/>
          <w:sz w:val="22"/>
          <w:szCs w:val="22"/>
          <w:lang w:val="en-GB"/>
        </w:rPr>
        <w:t>Norway’s NHRI</w:t>
      </w:r>
      <w:r w:rsidR="00170202" w:rsidRPr="00C85DCB" w:rsidDel="00170202">
        <w:rPr>
          <w:rFonts w:cstheme="minorHAnsi"/>
          <w:sz w:val="22"/>
          <w:szCs w:val="22"/>
          <w:lang w:val="en-GB"/>
        </w:rPr>
        <w:t xml:space="preserve"> </w:t>
      </w:r>
      <w:r w:rsidRPr="00C85DCB">
        <w:rPr>
          <w:rFonts w:cstheme="minorHAnsi"/>
          <w:sz w:val="22"/>
          <w:szCs w:val="22"/>
          <w:lang w:val="en-GB"/>
        </w:rPr>
        <w:t xml:space="preserve">for 2022, which were: vulnerable groups, minorities </w:t>
      </w:r>
      <w:r w:rsidR="00EB0CC7" w:rsidRPr="00C85DCB">
        <w:rPr>
          <w:rFonts w:cstheme="minorHAnsi"/>
          <w:sz w:val="22"/>
          <w:szCs w:val="22"/>
          <w:lang w:val="en-GB"/>
        </w:rPr>
        <w:t>–</w:t>
      </w:r>
      <w:r w:rsidRPr="00C85DCB">
        <w:rPr>
          <w:rFonts w:cstheme="minorHAnsi"/>
          <w:sz w:val="22"/>
          <w:szCs w:val="22"/>
          <w:lang w:val="en-GB"/>
        </w:rPr>
        <w:t xml:space="preserve"> </w:t>
      </w:r>
      <w:r w:rsidR="00E26196" w:rsidRPr="00C85DCB">
        <w:rPr>
          <w:rFonts w:cstheme="minorHAnsi"/>
          <w:sz w:val="22"/>
          <w:szCs w:val="22"/>
          <w:lang w:val="en-GB"/>
        </w:rPr>
        <w:t>older persons, persons with drug addiction, and</w:t>
      </w:r>
      <w:r w:rsidRPr="00C85DCB">
        <w:rPr>
          <w:rFonts w:cstheme="minorHAnsi"/>
          <w:sz w:val="22"/>
          <w:szCs w:val="22"/>
          <w:lang w:val="en-GB"/>
        </w:rPr>
        <w:t xml:space="preserve"> ethnic minorities (in the Norwegian context, especially indigenous peoples, the Sami), freedom of expression (in the context of protecting the right to privacy)</w:t>
      </w:r>
      <w:r w:rsidR="00D233FC" w:rsidRPr="00C85DCB">
        <w:rPr>
          <w:rFonts w:cstheme="minorHAnsi"/>
          <w:sz w:val="22"/>
          <w:szCs w:val="22"/>
          <w:lang w:val="en-GB"/>
        </w:rPr>
        <w:t xml:space="preserve"> and</w:t>
      </w:r>
      <w:r w:rsidRPr="00C85DCB">
        <w:rPr>
          <w:rFonts w:cstheme="minorHAnsi"/>
          <w:sz w:val="22"/>
          <w:szCs w:val="22"/>
          <w:lang w:val="en-GB"/>
        </w:rPr>
        <w:t xml:space="preserve"> climate change</w:t>
      </w:r>
      <w:r w:rsidR="00235D7C" w:rsidRPr="00C85DCB">
        <w:rPr>
          <w:rFonts w:cstheme="minorHAnsi"/>
          <w:sz w:val="22"/>
          <w:szCs w:val="22"/>
          <w:lang w:val="en-GB"/>
        </w:rPr>
        <w:t xml:space="preserve"> and human rights</w:t>
      </w:r>
      <w:r w:rsidRPr="00C85DCB">
        <w:rPr>
          <w:rFonts w:cstheme="minorHAnsi"/>
          <w:sz w:val="22"/>
          <w:szCs w:val="22"/>
          <w:lang w:val="en-GB"/>
        </w:rPr>
        <w:t>. Similarly, one can point to the prioritised themes of the Slovak NHRI (Slovak National Centre for Human Rights) for 2023: segregation of minorities, the situation in the context of the war conflict in Ukraine, implementation of recommendations from previous years.</w:t>
      </w:r>
    </w:p>
    <w:p w14:paraId="4C4B1C26" w14:textId="3D0C3BF2" w:rsidR="007A6AC6" w:rsidRPr="00C85DCB" w:rsidRDefault="007A6AC6" w:rsidP="00E51BE1">
      <w:pPr>
        <w:spacing w:after="160"/>
        <w:jc w:val="both"/>
        <w:rPr>
          <w:rFonts w:cstheme="minorHAnsi"/>
          <w:b/>
          <w:bCs/>
          <w:i/>
          <w:iCs/>
          <w:sz w:val="22"/>
          <w:szCs w:val="22"/>
          <w:lang w:val="en-GB"/>
        </w:rPr>
      </w:pPr>
      <w:r w:rsidRPr="00C85DCB">
        <w:rPr>
          <w:rFonts w:cstheme="minorHAnsi"/>
          <w:b/>
          <w:bCs/>
          <w:i/>
          <w:iCs/>
          <w:sz w:val="22"/>
          <w:szCs w:val="22"/>
          <w:lang w:val="en-GB"/>
        </w:rPr>
        <w:t>Ad 3</w:t>
      </w:r>
      <w:r w:rsidR="00E96904" w:rsidRPr="00C85DCB">
        <w:rPr>
          <w:rFonts w:cstheme="minorHAnsi"/>
          <w:b/>
          <w:bCs/>
          <w:i/>
          <w:iCs/>
          <w:sz w:val="22"/>
          <w:szCs w:val="22"/>
          <w:lang w:val="en-GB"/>
        </w:rPr>
        <w:t>)</w:t>
      </w:r>
      <w:r w:rsidRPr="00C85DCB">
        <w:rPr>
          <w:rFonts w:cstheme="minorHAnsi"/>
          <w:b/>
          <w:bCs/>
          <w:i/>
          <w:iCs/>
          <w:sz w:val="22"/>
          <w:szCs w:val="22"/>
          <w:lang w:val="en-GB"/>
        </w:rPr>
        <w:t xml:space="preserve">: </w:t>
      </w:r>
      <w:r w:rsidR="00D233FC" w:rsidRPr="00C85DCB">
        <w:rPr>
          <w:rFonts w:cstheme="minorHAnsi"/>
          <w:b/>
          <w:bCs/>
          <w:i/>
          <w:iCs/>
          <w:sz w:val="22"/>
          <w:szCs w:val="22"/>
          <w:lang w:val="en-GB"/>
        </w:rPr>
        <w:t>H</w:t>
      </w:r>
      <w:r w:rsidRPr="00C85DCB">
        <w:rPr>
          <w:rFonts w:cstheme="minorHAnsi"/>
          <w:b/>
          <w:bCs/>
          <w:i/>
          <w:iCs/>
          <w:sz w:val="22"/>
          <w:szCs w:val="22"/>
          <w:lang w:val="en-GB"/>
        </w:rPr>
        <w:t>uman rights awareness and education</w:t>
      </w:r>
    </w:p>
    <w:p w14:paraId="7883C128" w14:textId="482A4FA3" w:rsidR="007A6AC6" w:rsidRPr="00C85DCB" w:rsidRDefault="007A6AC6" w:rsidP="00E51BE1">
      <w:pPr>
        <w:spacing w:after="160"/>
        <w:jc w:val="both"/>
        <w:rPr>
          <w:rFonts w:cstheme="minorHAnsi"/>
          <w:sz w:val="22"/>
          <w:szCs w:val="22"/>
          <w:lang w:val="en-GB"/>
        </w:rPr>
      </w:pPr>
      <w:r w:rsidRPr="00C85DCB">
        <w:rPr>
          <w:rFonts w:cstheme="minorHAnsi"/>
          <w:sz w:val="22"/>
          <w:szCs w:val="22"/>
          <w:lang w:val="en-GB"/>
        </w:rPr>
        <w:t>In the afore</w:t>
      </w:r>
      <w:r w:rsidR="00EB0CC7" w:rsidRPr="00C85DCB">
        <w:rPr>
          <w:rFonts w:cstheme="minorHAnsi"/>
          <w:sz w:val="22"/>
          <w:szCs w:val="22"/>
          <w:lang w:val="en-GB"/>
        </w:rPr>
        <w:t>-</w:t>
      </w:r>
      <w:r w:rsidRPr="00C85DCB">
        <w:rPr>
          <w:rFonts w:cstheme="minorHAnsi"/>
          <w:sz w:val="22"/>
          <w:szCs w:val="22"/>
          <w:lang w:val="en-GB"/>
        </w:rPr>
        <w:t>mentioned role as a</w:t>
      </w:r>
      <w:r w:rsidR="00EB0CC7" w:rsidRPr="00C85DCB">
        <w:rPr>
          <w:rFonts w:cstheme="minorHAnsi"/>
          <w:sz w:val="22"/>
          <w:szCs w:val="22"/>
          <w:lang w:val="en-GB"/>
        </w:rPr>
        <w:t>n</w:t>
      </w:r>
      <w:r w:rsidRPr="00C85DCB">
        <w:rPr>
          <w:rFonts w:cstheme="minorHAnsi"/>
          <w:sz w:val="22"/>
          <w:szCs w:val="22"/>
          <w:lang w:val="en-GB"/>
        </w:rPr>
        <w:t xml:space="preserve"> </w:t>
      </w:r>
      <w:r w:rsidR="00EB0CC7" w:rsidRPr="00C85DCB">
        <w:rPr>
          <w:rFonts w:cstheme="minorHAnsi"/>
          <w:sz w:val="22"/>
          <w:szCs w:val="22"/>
          <w:lang w:val="en-GB"/>
        </w:rPr>
        <w:t>educator</w:t>
      </w:r>
      <w:r w:rsidRPr="00C85DCB">
        <w:rPr>
          <w:rFonts w:cstheme="minorHAnsi"/>
          <w:sz w:val="22"/>
          <w:szCs w:val="22"/>
          <w:lang w:val="en-GB"/>
        </w:rPr>
        <w:t xml:space="preserve">, the </w:t>
      </w:r>
      <w:r w:rsidR="005225B4" w:rsidRPr="00C85DCB">
        <w:rPr>
          <w:rFonts w:cstheme="minorHAnsi"/>
          <w:sz w:val="22"/>
          <w:szCs w:val="22"/>
          <w:lang w:val="en-GB"/>
        </w:rPr>
        <w:t xml:space="preserve">NHRI </w:t>
      </w:r>
      <w:r w:rsidR="003417DC" w:rsidRPr="00C85DCB">
        <w:rPr>
          <w:rFonts w:cstheme="minorHAnsi"/>
          <w:sz w:val="22"/>
          <w:szCs w:val="22"/>
          <w:lang w:val="en-GB"/>
        </w:rPr>
        <w:t xml:space="preserve">fulfils its mandate by </w:t>
      </w:r>
      <w:r w:rsidR="005225B4" w:rsidRPr="00C85DCB">
        <w:rPr>
          <w:rFonts w:cstheme="minorHAnsi"/>
          <w:sz w:val="22"/>
          <w:szCs w:val="22"/>
          <w:lang w:val="en-GB"/>
        </w:rPr>
        <w:t>develop</w:t>
      </w:r>
      <w:r w:rsidR="003417DC" w:rsidRPr="00C85DCB">
        <w:rPr>
          <w:rFonts w:cstheme="minorHAnsi"/>
          <w:sz w:val="22"/>
          <w:szCs w:val="22"/>
          <w:lang w:val="en-GB"/>
        </w:rPr>
        <w:t>ing</w:t>
      </w:r>
      <w:r w:rsidR="005225B4" w:rsidRPr="00C85DCB">
        <w:rPr>
          <w:rFonts w:cstheme="minorHAnsi"/>
          <w:sz w:val="22"/>
          <w:szCs w:val="22"/>
          <w:lang w:val="en-GB"/>
        </w:rPr>
        <w:t xml:space="preserve"> activities to promote human rights by fostering </w:t>
      </w:r>
      <w:r w:rsidRPr="00C85DCB">
        <w:rPr>
          <w:rFonts w:cstheme="minorHAnsi"/>
          <w:sz w:val="22"/>
          <w:szCs w:val="22"/>
          <w:lang w:val="en-GB"/>
        </w:rPr>
        <w:t xml:space="preserve">universal human rights awareness and </w:t>
      </w:r>
      <w:r w:rsidR="003417DC" w:rsidRPr="00C85DCB">
        <w:rPr>
          <w:rFonts w:cstheme="minorHAnsi"/>
          <w:sz w:val="22"/>
          <w:szCs w:val="22"/>
          <w:lang w:val="en-GB"/>
        </w:rPr>
        <w:t xml:space="preserve">broad </w:t>
      </w:r>
      <w:r w:rsidRPr="00C85DCB">
        <w:rPr>
          <w:rFonts w:cstheme="minorHAnsi"/>
          <w:sz w:val="22"/>
          <w:szCs w:val="22"/>
          <w:lang w:val="en-GB"/>
        </w:rPr>
        <w:t>coverage of human rights education</w:t>
      </w:r>
      <w:r w:rsidR="003417DC" w:rsidRPr="00C85DCB">
        <w:rPr>
          <w:rFonts w:cstheme="minorHAnsi"/>
          <w:sz w:val="22"/>
          <w:szCs w:val="22"/>
          <w:lang w:val="en-GB"/>
        </w:rPr>
        <w:t>. Knowing your rights is key to claiming your rights</w:t>
      </w:r>
      <w:r w:rsidRPr="00C85DCB">
        <w:rPr>
          <w:rFonts w:cstheme="minorHAnsi"/>
          <w:sz w:val="22"/>
          <w:szCs w:val="22"/>
          <w:lang w:val="en-GB"/>
        </w:rPr>
        <w:t xml:space="preserve">, </w:t>
      </w:r>
      <w:r w:rsidR="003417DC" w:rsidRPr="00C85DCB">
        <w:rPr>
          <w:rFonts w:cstheme="minorHAnsi"/>
          <w:sz w:val="22"/>
          <w:szCs w:val="22"/>
          <w:lang w:val="en-GB"/>
        </w:rPr>
        <w:t xml:space="preserve">which shows how promotion and </w:t>
      </w:r>
      <w:r w:rsidRPr="00C85DCB">
        <w:rPr>
          <w:rFonts w:cstheme="minorHAnsi"/>
          <w:sz w:val="22"/>
          <w:szCs w:val="22"/>
          <w:lang w:val="en-GB"/>
        </w:rPr>
        <w:t xml:space="preserve">protection go hand in hand. The educational materials developed should be both made available in online form to the public and distributed to domestic educational institutions. It is also advisable to establish closer cooperation with schools at all levels and </w:t>
      </w:r>
      <w:r w:rsidR="00732F11" w:rsidRPr="00C85DCB">
        <w:rPr>
          <w:rFonts w:cstheme="minorHAnsi"/>
          <w:sz w:val="22"/>
          <w:szCs w:val="22"/>
          <w:lang w:val="en-GB"/>
        </w:rPr>
        <w:t xml:space="preserve">with </w:t>
      </w:r>
      <w:r w:rsidRPr="00C85DCB">
        <w:rPr>
          <w:rFonts w:cstheme="minorHAnsi"/>
          <w:sz w:val="22"/>
          <w:szCs w:val="22"/>
          <w:lang w:val="en-GB"/>
        </w:rPr>
        <w:t xml:space="preserve">universities in this regard. In addition, active cooperation with university students (in law and related humanities disciplines) can be provided in the form of internships (both short-term and longer-term), which can </w:t>
      </w:r>
      <w:r w:rsidR="006D7E64" w:rsidRPr="00C85DCB">
        <w:rPr>
          <w:rFonts w:cstheme="minorHAnsi"/>
          <w:sz w:val="22"/>
          <w:szCs w:val="22"/>
          <w:lang w:val="en-GB"/>
        </w:rPr>
        <w:t>support in</w:t>
      </w:r>
      <w:r w:rsidRPr="00C85DCB">
        <w:rPr>
          <w:rFonts w:cstheme="minorHAnsi"/>
          <w:sz w:val="22"/>
          <w:szCs w:val="22"/>
          <w:lang w:val="en-GB"/>
        </w:rPr>
        <w:t xml:space="preserve"> areas of monitoring </w:t>
      </w:r>
      <w:r w:rsidR="006D7E64" w:rsidRPr="00C85DCB">
        <w:rPr>
          <w:rFonts w:cstheme="minorHAnsi"/>
          <w:sz w:val="22"/>
          <w:szCs w:val="22"/>
          <w:lang w:val="en-GB"/>
        </w:rPr>
        <w:t xml:space="preserve">national and </w:t>
      </w:r>
      <w:r w:rsidR="00732F11" w:rsidRPr="00C85DCB">
        <w:rPr>
          <w:rFonts w:cstheme="minorHAnsi"/>
          <w:sz w:val="22"/>
          <w:szCs w:val="22"/>
          <w:lang w:val="en-GB"/>
        </w:rPr>
        <w:t>international</w:t>
      </w:r>
      <w:r w:rsidRPr="00C85DCB">
        <w:rPr>
          <w:rFonts w:cstheme="minorHAnsi"/>
          <w:sz w:val="22"/>
          <w:szCs w:val="22"/>
          <w:lang w:val="en-GB"/>
        </w:rPr>
        <w:t xml:space="preserve"> sources, </w:t>
      </w:r>
      <w:r w:rsidR="006D7E64" w:rsidRPr="00C85DCB">
        <w:rPr>
          <w:rFonts w:cstheme="minorHAnsi"/>
          <w:sz w:val="22"/>
          <w:szCs w:val="22"/>
          <w:lang w:val="en-GB"/>
        </w:rPr>
        <w:t xml:space="preserve">conduct </w:t>
      </w:r>
      <w:r w:rsidRPr="00C85DCB">
        <w:rPr>
          <w:rFonts w:cstheme="minorHAnsi"/>
          <w:sz w:val="22"/>
          <w:szCs w:val="22"/>
          <w:lang w:val="en-GB"/>
        </w:rPr>
        <w:t>research, as well as other forms of cooperation according to current needs.</w:t>
      </w:r>
    </w:p>
    <w:p w14:paraId="1105017A" w14:textId="3B8B491D" w:rsidR="007A6AC6" w:rsidRPr="00C85DCB" w:rsidRDefault="007A6AC6" w:rsidP="00E51BE1">
      <w:pPr>
        <w:spacing w:after="160"/>
        <w:jc w:val="both"/>
        <w:rPr>
          <w:rFonts w:cstheme="minorHAnsi"/>
          <w:sz w:val="22"/>
          <w:szCs w:val="22"/>
          <w:lang w:val="en-GB"/>
        </w:rPr>
      </w:pPr>
      <w:r w:rsidRPr="00C85DCB">
        <w:rPr>
          <w:rFonts w:cstheme="minorHAnsi"/>
          <w:sz w:val="22"/>
          <w:szCs w:val="22"/>
          <w:lang w:val="en-GB"/>
        </w:rPr>
        <w:t xml:space="preserve">As a practical example of the fact that the </w:t>
      </w:r>
      <w:r w:rsidR="00EB0CC7" w:rsidRPr="00C85DCB">
        <w:rPr>
          <w:rFonts w:cstheme="minorHAnsi"/>
          <w:sz w:val="22"/>
          <w:szCs w:val="22"/>
          <w:lang w:val="en-GB"/>
        </w:rPr>
        <w:t>Office</w:t>
      </w:r>
      <w:r w:rsidRPr="00C85DCB">
        <w:rPr>
          <w:rFonts w:cstheme="minorHAnsi"/>
          <w:sz w:val="22"/>
          <w:szCs w:val="22"/>
          <w:lang w:val="en-GB"/>
        </w:rPr>
        <w:t xml:space="preserve"> is already producing concrete results in this area, we can cite the recent availability of the </w:t>
      </w:r>
      <w:r w:rsidRPr="00C85DCB">
        <w:rPr>
          <w:rFonts w:cstheme="minorHAnsi"/>
          <w:b/>
          <w:bCs/>
          <w:sz w:val="22"/>
          <w:szCs w:val="22"/>
          <w:lang w:val="en-GB"/>
        </w:rPr>
        <w:t>e-learning modules of the Fundamentals of Anti-Discrimination Law course</w:t>
      </w:r>
      <w:r w:rsidRPr="00C85DCB">
        <w:rPr>
          <w:rFonts w:cstheme="minorHAnsi"/>
          <w:sz w:val="22"/>
          <w:szCs w:val="22"/>
          <w:lang w:val="en-GB"/>
        </w:rPr>
        <w:t xml:space="preserve"> (see </w:t>
      </w:r>
      <w:hyperlink r:id="rId8" w:history="1">
        <w:r w:rsidRPr="00C85DCB">
          <w:rPr>
            <w:rStyle w:val="Hypertextovodkaz"/>
            <w:rFonts w:cstheme="minorHAnsi"/>
            <w:sz w:val="22"/>
            <w:szCs w:val="22"/>
            <w:lang w:val="en-GB"/>
          </w:rPr>
          <w:t>here</w:t>
        </w:r>
      </w:hyperlink>
      <w:r w:rsidRPr="00C85DCB">
        <w:rPr>
          <w:rFonts w:cstheme="minorHAnsi"/>
          <w:sz w:val="22"/>
          <w:szCs w:val="22"/>
          <w:lang w:val="en-GB"/>
        </w:rPr>
        <w:t xml:space="preserve">) </w:t>
      </w:r>
      <w:r w:rsidR="006D7E64" w:rsidRPr="00C85DCB">
        <w:rPr>
          <w:rFonts w:cstheme="minorHAnsi"/>
          <w:sz w:val="22"/>
          <w:szCs w:val="22"/>
          <w:lang w:val="en-GB"/>
        </w:rPr>
        <w:t>and</w:t>
      </w:r>
      <w:r w:rsidRPr="00C85DCB">
        <w:rPr>
          <w:rFonts w:cstheme="minorHAnsi"/>
          <w:sz w:val="22"/>
          <w:szCs w:val="22"/>
          <w:lang w:val="en-GB"/>
        </w:rPr>
        <w:t xml:space="preserve"> the publication of </w:t>
      </w:r>
      <w:r w:rsidRPr="00C85DCB">
        <w:rPr>
          <w:rFonts w:cstheme="minorHAnsi"/>
          <w:b/>
          <w:bCs/>
          <w:sz w:val="22"/>
          <w:szCs w:val="22"/>
          <w:lang w:val="en-GB"/>
        </w:rPr>
        <w:t>an illustrated version of the Convention on the Rights of the Child in a text understandable to children</w:t>
      </w:r>
      <w:r w:rsidRPr="00C85DCB">
        <w:rPr>
          <w:rFonts w:cstheme="minorHAnsi"/>
          <w:sz w:val="22"/>
          <w:szCs w:val="22"/>
          <w:lang w:val="en-GB"/>
        </w:rPr>
        <w:t xml:space="preserve"> (see </w:t>
      </w:r>
      <w:hyperlink r:id="rId9" w:history="1">
        <w:r w:rsidRPr="00C85DCB">
          <w:rPr>
            <w:rStyle w:val="Hypertextovodkaz"/>
            <w:rFonts w:cstheme="minorHAnsi"/>
            <w:sz w:val="22"/>
            <w:szCs w:val="22"/>
            <w:lang w:val="en-GB"/>
          </w:rPr>
          <w:t>here</w:t>
        </w:r>
      </w:hyperlink>
      <w:r w:rsidRPr="00C85DCB">
        <w:rPr>
          <w:rFonts w:cstheme="minorHAnsi"/>
          <w:sz w:val="22"/>
          <w:szCs w:val="22"/>
          <w:lang w:val="en-GB"/>
        </w:rPr>
        <w:t>).</w:t>
      </w:r>
    </w:p>
    <w:p w14:paraId="0567B642" w14:textId="711DF590" w:rsidR="007A6AC6" w:rsidRPr="00C85DCB" w:rsidRDefault="007A6AC6" w:rsidP="00E51BE1">
      <w:pPr>
        <w:spacing w:after="160"/>
        <w:jc w:val="both"/>
        <w:rPr>
          <w:rFonts w:cstheme="minorHAnsi"/>
          <w:b/>
          <w:bCs/>
          <w:i/>
          <w:iCs/>
          <w:sz w:val="22"/>
          <w:szCs w:val="22"/>
          <w:lang w:val="en-GB"/>
        </w:rPr>
      </w:pPr>
      <w:r w:rsidRPr="00C85DCB">
        <w:rPr>
          <w:rFonts w:cstheme="minorHAnsi"/>
          <w:b/>
          <w:bCs/>
          <w:i/>
          <w:iCs/>
          <w:sz w:val="22"/>
          <w:szCs w:val="22"/>
          <w:lang w:val="en-GB"/>
        </w:rPr>
        <w:t>Ad 4</w:t>
      </w:r>
      <w:r w:rsidR="00E96904" w:rsidRPr="00C85DCB">
        <w:rPr>
          <w:rFonts w:cstheme="minorHAnsi"/>
          <w:b/>
          <w:bCs/>
          <w:i/>
          <w:iCs/>
          <w:sz w:val="22"/>
          <w:szCs w:val="22"/>
          <w:lang w:val="en-GB"/>
        </w:rPr>
        <w:t>)</w:t>
      </w:r>
      <w:r w:rsidRPr="00C85DCB">
        <w:rPr>
          <w:rFonts w:cstheme="minorHAnsi"/>
          <w:b/>
          <w:bCs/>
          <w:i/>
          <w:iCs/>
          <w:sz w:val="22"/>
          <w:szCs w:val="22"/>
          <w:lang w:val="en-GB"/>
        </w:rPr>
        <w:t xml:space="preserve">: </w:t>
      </w:r>
      <w:r w:rsidR="006D7E64" w:rsidRPr="00C85DCB">
        <w:rPr>
          <w:rFonts w:cstheme="minorHAnsi"/>
          <w:b/>
          <w:bCs/>
          <w:i/>
          <w:iCs/>
          <w:sz w:val="22"/>
          <w:szCs w:val="22"/>
          <w:lang w:val="en-GB"/>
        </w:rPr>
        <w:t>Communication with the public through social networks</w:t>
      </w:r>
    </w:p>
    <w:p w14:paraId="22F8B523" w14:textId="4FAB7A39" w:rsidR="007A6AC6" w:rsidRPr="00C85DCB" w:rsidRDefault="007A6AC6" w:rsidP="00E51BE1">
      <w:pPr>
        <w:spacing w:after="160"/>
        <w:jc w:val="both"/>
        <w:rPr>
          <w:rFonts w:cstheme="minorHAnsi"/>
          <w:sz w:val="22"/>
          <w:szCs w:val="22"/>
          <w:lang w:val="en-GB"/>
        </w:rPr>
      </w:pPr>
      <w:r w:rsidRPr="00C85DCB">
        <w:rPr>
          <w:rFonts w:cstheme="minorHAnsi"/>
          <w:sz w:val="22"/>
          <w:szCs w:val="22"/>
          <w:lang w:val="en-GB"/>
        </w:rPr>
        <w:t xml:space="preserve">Communication with the general public is also directly related to the field of human rights education and the </w:t>
      </w:r>
      <w:r w:rsidR="006D7E64" w:rsidRPr="00C85DCB">
        <w:rPr>
          <w:rFonts w:cstheme="minorHAnsi"/>
          <w:sz w:val="22"/>
          <w:szCs w:val="22"/>
          <w:lang w:val="en-GB"/>
        </w:rPr>
        <w:t>need to raise</w:t>
      </w:r>
      <w:r w:rsidRPr="00C85DCB">
        <w:rPr>
          <w:rFonts w:cstheme="minorHAnsi"/>
          <w:sz w:val="22"/>
          <w:szCs w:val="22"/>
          <w:lang w:val="en-GB"/>
        </w:rPr>
        <w:t xml:space="preserve"> human rights </w:t>
      </w:r>
      <w:r w:rsidR="00EB0CC7" w:rsidRPr="00C85DCB">
        <w:rPr>
          <w:rFonts w:cstheme="minorHAnsi"/>
          <w:sz w:val="22"/>
          <w:szCs w:val="22"/>
          <w:lang w:val="en-GB"/>
        </w:rPr>
        <w:t>awareness</w:t>
      </w:r>
      <w:r w:rsidRPr="00C85DCB">
        <w:rPr>
          <w:rFonts w:cstheme="minorHAnsi"/>
          <w:sz w:val="22"/>
          <w:szCs w:val="22"/>
          <w:lang w:val="en-GB"/>
        </w:rPr>
        <w:t xml:space="preserve">, and now more than ever, especially through social networks, given the dynamics of the times. In this respect, the activities and outputs of </w:t>
      </w:r>
      <w:r w:rsidR="000837AB" w:rsidRPr="00C85DCB">
        <w:rPr>
          <w:rFonts w:cstheme="minorHAnsi"/>
          <w:sz w:val="22"/>
          <w:szCs w:val="22"/>
          <w:lang w:val="en-US"/>
        </w:rPr>
        <w:t>Norway’s NHRI</w:t>
      </w:r>
      <w:r w:rsidR="00C87C69" w:rsidRPr="00C85DCB">
        <w:rPr>
          <w:rFonts w:cstheme="minorHAnsi"/>
          <w:sz w:val="22"/>
          <w:szCs w:val="22"/>
          <w:lang w:val="en-GB"/>
        </w:rPr>
        <w:t>’s</w:t>
      </w:r>
      <w:r w:rsidRPr="00C85DCB">
        <w:rPr>
          <w:rFonts w:cstheme="minorHAnsi"/>
          <w:sz w:val="22"/>
          <w:szCs w:val="22"/>
          <w:lang w:val="en-GB"/>
        </w:rPr>
        <w:t xml:space="preserve"> media </w:t>
      </w:r>
      <w:r w:rsidR="00732F11" w:rsidRPr="00C85DCB">
        <w:rPr>
          <w:rFonts w:cstheme="minorHAnsi"/>
          <w:sz w:val="22"/>
          <w:szCs w:val="22"/>
          <w:lang w:val="en-GB"/>
        </w:rPr>
        <w:t xml:space="preserve">and PR </w:t>
      </w:r>
      <w:r w:rsidRPr="00C85DCB">
        <w:rPr>
          <w:rFonts w:cstheme="minorHAnsi"/>
          <w:sz w:val="22"/>
          <w:szCs w:val="22"/>
          <w:lang w:val="en-GB"/>
        </w:rPr>
        <w:t>team can be seen as a significant source of inspiration</w:t>
      </w:r>
      <w:r w:rsidR="00C87C69" w:rsidRPr="00C85DCB">
        <w:rPr>
          <w:rFonts w:cstheme="minorHAnsi"/>
          <w:sz w:val="22"/>
          <w:szCs w:val="22"/>
          <w:lang w:val="en-GB"/>
        </w:rPr>
        <w:t>. T</w:t>
      </w:r>
      <w:r w:rsidRPr="00C85DCB">
        <w:rPr>
          <w:rFonts w:cstheme="minorHAnsi"/>
          <w:sz w:val="22"/>
          <w:szCs w:val="22"/>
          <w:lang w:val="en-GB"/>
        </w:rPr>
        <w:t>he highly inventive and proactive approach presented (in the form of an overall very fresh style on the social platforms Facebook and Instagram) combines very appropriately the attractive and content-value component of the message. Which at the same time also contributes significantly to raising awareness not only about the field of human rights, their protection and promotion, but also about the (human rights) activities of the institution in general.</w:t>
      </w:r>
    </w:p>
    <w:p w14:paraId="1D53EEC5" w14:textId="1FE0984E" w:rsidR="007A6AC6" w:rsidRPr="00C85DCB" w:rsidRDefault="007A6AC6" w:rsidP="00E51BE1">
      <w:pPr>
        <w:spacing w:after="160"/>
        <w:jc w:val="both"/>
        <w:rPr>
          <w:rFonts w:cstheme="minorHAnsi"/>
          <w:sz w:val="22"/>
          <w:szCs w:val="22"/>
          <w:lang w:val="en-GB"/>
        </w:rPr>
      </w:pPr>
      <w:r w:rsidRPr="00C85DCB">
        <w:rPr>
          <w:rFonts w:cstheme="minorHAnsi"/>
          <w:sz w:val="22"/>
          <w:szCs w:val="22"/>
          <w:lang w:val="en-GB"/>
        </w:rPr>
        <w:t xml:space="preserve">This </w:t>
      </w:r>
      <w:r w:rsidR="00C85DCB" w:rsidRPr="00C85DCB">
        <w:rPr>
          <w:rFonts w:cstheme="minorHAnsi"/>
          <w:sz w:val="22"/>
          <w:szCs w:val="22"/>
          <w:lang w:val="en-GB"/>
        </w:rPr>
        <w:t>approach</w:t>
      </w:r>
      <w:r w:rsidRPr="00C85DCB">
        <w:rPr>
          <w:rFonts w:cstheme="minorHAnsi"/>
          <w:sz w:val="22"/>
          <w:szCs w:val="22"/>
          <w:lang w:val="en-GB"/>
        </w:rPr>
        <w:t xml:space="preserve">, which presupposes an accessible form of communication </w:t>
      </w:r>
      <w:r w:rsidR="00CA01A4" w:rsidRPr="00C85DCB">
        <w:rPr>
          <w:rFonts w:cstheme="minorHAnsi"/>
          <w:sz w:val="22"/>
          <w:szCs w:val="22"/>
          <w:lang w:val="en-GB"/>
        </w:rPr>
        <w:t>with the broader public</w:t>
      </w:r>
      <w:r w:rsidRPr="00C85DCB">
        <w:rPr>
          <w:rFonts w:cstheme="minorHAnsi"/>
          <w:sz w:val="22"/>
          <w:szCs w:val="22"/>
          <w:lang w:val="en-GB"/>
        </w:rPr>
        <w:t>, also reinforces the necessary authority</w:t>
      </w:r>
      <w:r w:rsidR="00CA01A4" w:rsidRPr="00C85DCB">
        <w:rPr>
          <w:rFonts w:cstheme="minorHAnsi"/>
          <w:sz w:val="22"/>
          <w:szCs w:val="22"/>
          <w:lang w:val="en-GB"/>
        </w:rPr>
        <w:t>, legitimacy</w:t>
      </w:r>
      <w:r w:rsidRPr="00C85DCB">
        <w:rPr>
          <w:rFonts w:cstheme="minorHAnsi"/>
          <w:sz w:val="22"/>
          <w:szCs w:val="22"/>
          <w:lang w:val="en-GB"/>
        </w:rPr>
        <w:t xml:space="preserve"> </w:t>
      </w:r>
      <w:r w:rsidR="00CA01A4" w:rsidRPr="00C85DCB">
        <w:rPr>
          <w:rFonts w:cstheme="minorHAnsi"/>
          <w:sz w:val="22"/>
          <w:szCs w:val="22"/>
          <w:lang w:val="en-GB"/>
        </w:rPr>
        <w:t xml:space="preserve">and transparency </w:t>
      </w:r>
      <w:r w:rsidRPr="00C85DCB">
        <w:rPr>
          <w:rFonts w:cstheme="minorHAnsi"/>
          <w:sz w:val="22"/>
          <w:szCs w:val="22"/>
          <w:lang w:val="en-GB"/>
        </w:rPr>
        <w:t xml:space="preserve">that any NHRI must inevitably possess </w:t>
      </w:r>
      <w:r w:rsidRPr="00C85DCB">
        <w:rPr>
          <w:rFonts w:cstheme="minorHAnsi"/>
          <w:sz w:val="22"/>
          <w:szCs w:val="22"/>
          <w:lang w:val="en-GB"/>
        </w:rPr>
        <w:lastRenderedPageBreak/>
        <w:t xml:space="preserve">in relation to the public. </w:t>
      </w:r>
      <w:r w:rsidRPr="00C85DCB">
        <w:rPr>
          <w:rFonts w:cstheme="minorHAnsi"/>
          <w:b/>
          <w:bCs/>
          <w:sz w:val="22"/>
          <w:szCs w:val="22"/>
          <w:lang w:val="en-GB"/>
        </w:rPr>
        <w:t>Without trust</w:t>
      </w:r>
      <w:r w:rsidR="00CA01A4" w:rsidRPr="00C85DCB">
        <w:rPr>
          <w:rFonts w:cstheme="minorHAnsi"/>
          <w:b/>
          <w:bCs/>
          <w:sz w:val="22"/>
          <w:szCs w:val="22"/>
          <w:lang w:val="en-GB"/>
        </w:rPr>
        <w:t xml:space="preserve"> in its independence</w:t>
      </w:r>
      <w:r w:rsidR="001E0996" w:rsidRPr="00C85DCB">
        <w:rPr>
          <w:rFonts w:cstheme="minorHAnsi"/>
          <w:b/>
          <w:bCs/>
          <w:sz w:val="22"/>
          <w:szCs w:val="22"/>
          <w:lang w:val="en-GB"/>
        </w:rPr>
        <w:t>,</w:t>
      </w:r>
      <w:r w:rsidRPr="00C85DCB">
        <w:rPr>
          <w:rFonts w:cstheme="minorHAnsi"/>
          <w:b/>
          <w:bCs/>
          <w:sz w:val="22"/>
          <w:szCs w:val="22"/>
          <w:lang w:val="en-GB"/>
        </w:rPr>
        <w:t xml:space="preserve"> it is </w:t>
      </w:r>
      <w:r w:rsidR="00CA01A4" w:rsidRPr="00C85DCB">
        <w:rPr>
          <w:rFonts w:cstheme="minorHAnsi"/>
          <w:b/>
          <w:bCs/>
          <w:sz w:val="22"/>
          <w:szCs w:val="22"/>
          <w:lang w:val="en-GB"/>
        </w:rPr>
        <w:t xml:space="preserve">difficult </w:t>
      </w:r>
      <w:r w:rsidRPr="00C85DCB">
        <w:rPr>
          <w:rFonts w:cstheme="minorHAnsi"/>
          <w:b/>
          <w:bCs/>
          <w:sz w:val="22"/>
          <w:szCs w:val="22"/>
          <w:lang w:val="en-GB"/>
        </w:rPr>
        <w:t xml:space="preserve">to imagine </w:t>
      </w:r>
      <w:r w:rsidR="00CA01A4" w:rsidRPr="00C85DCB">
        <w:rPr>
          <w:rFonts w:cstheme="minorHAnsi"/>
          <w:b/>
          <w:bCs/>
          <w:sz w:val="22"/>
          <w:szCs w:val="22"/>
          <w:lang w:val="en-GB"/>
        </w:rPr>
        <w:t>a well-</w:t>
      </w:r>
      <w:r w:rsidRPr="00C85DCB">
        <w:rPr>
          <w:rFonts w:cstheme="minorHAnsi"/>
          <w:b/>
          <w:bCs/>
          <w:sz w:val="22"/>
          <w:szCs w:val="22"/>
          <w:lang w:val="en-GB"/>
        </w:rPr>
        <w:t>functioning NHRI.</w:t>
      </w:r>
    </w:p>
    <w:p w14:paraId="5E19C025" w14:textId="028CACD9" w:rsidR="007A6AC6" w:rsidRPr="00C85DCB" w:rsidRDefault="007A6AC6" w:rsidP="00E51BE1">
      <w:pPr>
        <w:spacing w:after="160"/>
        <w:jc w:val="both"/>
        <w:rPr>
          <w:rFonts w:cstheme="minorHAnsi"/>
          <w:b/>
          <w:bCs/>
          <w:i/>
          <w:iCs/>
          <w:sz w:val="22"/>
          <w:szCs w:val="22"/>
          <w:lang w:val="en-GB"/>
        </w:rPr>
      </w:pPr>
      <w:r w:rsidRPr="00C85DCB">
        <w:rPr>
          <w:rFonts w:cstheme="minorHAnsi"/>
          <w:b/>
          <w:bCs/>
          <w:i/>
          <w:iCs/>
          <w:sz w:val="22"/>
          <w:szCs w:val="22"/>
          <w:lang w:val="en-GB"/>
        </w:rPr>
        <w:t>Ad 5</w:t>
      </w:r>
      <w:r w:rsidR="00E96904" w:rsidRPr="00C85DCB">
        <w:rPr>
          <w:rFonts w:cstheme="minorHAnsi"/>
          <w:b/>
          <w:bCs/>
          <w:i/>
          <w:iCs/>
          <w:sz w:val="22"/>
          <w:szCs w:val="22"/>
          <w:lang w:val="en-GB"/>
        </w:rPr>
        <w:t>)</w:t>
      </w:r>
      <w:r w:rsidRPr="00C85DCB">
        <w:rPr>
          <w:rFonts w:cstheme="minorHAnsi"/>
          <w:b/>
          <w:bCs/>
          <w:i/>
          <w:iCs/>
          <w:sz w:val="22"/>
          <w:szCs w:val="22"/>
          <w:lang w:val="en-GB"/>
        </w:rPr>
        <w:t>: Comprehensive human rights monitoring</w:t>
      </w:r>
      <w:r w:rsidR="00F74559" w:rsidRPr="00C85DCB">
        <w:rPr>
          <w:rFonts w:cstheme="minorHAnsi"/>
          <w:b/>
          <w:bCs/>
          <w:i/>
          <w:iCs/>
          <w:sz w:val="22"/>
          <w:szCs w:val="22"/>
          <w:lang w:val="en-GB"/>
        </w:rPr>
        <w:t xml:space="preserve"> </w:t>
      </w:r>
      <w:r w:rsidR="00876A25" w:rsidRPr="00C85DCB">
        <w:rPr>
          <w:rFonts w:cstheme="minorHAnsi"/>
          <w:b/>
          <w:bCs/>
          <w:i/>
          <w:iCs/>
          <w:sz w:val="22"/>
          <w:szCs w:val="22"/>
          <w:lang w:val="en-GB"/>
        </w:rPr>
        <w:t>o</w:t>
      </w:r>
      <w:r w:rsidR="00A81CEE" w:rsidRPr="00C85DCB">
        <w:rPr>
          <w:rFonts w:cstheme="minorHAnsi"/>
          <w:b/>
          <w:bCs/>
          <w:i/>
          <w:iCs/>
          <w:sz w:val="22"/>
          <w:szCs w:val="22"/>
          <w:lang w:val="en-GB"/>
        </w:rPr>
        <w:t>f international r</w:t>
      </w:r>
      <w:r w:rsidR="00410892" w:rsidRPr="00C85DCB">
        <w:rPr>
          <w:rFonts w:cstheme="minorHAnsi"/>
          <w:b/>
          <w:bCs/>
          <w:i/>
          <w:iCs/>
          <w:sz w:val="22"/>
          <w:szCs w:val="22"/>
          <w:lang w:val="en-GB"/>
        </w:rPr>
        <w:t>ecommendations</w:t>
      </w:r>
      <w:r w:rsidR="00633C85" w:rsidRPr="00C85DCB">
        <w:rPr>
          <w:rFonts w:cstheme="minorHAnsi"/>
          <w:b/>
          <w:bCs/>
          <w:i/>
          <w:iCs/>
          <w:sz w:val="22"/>
          <w:szCs w:val="22"/>
          <w:lang w:val="en-GB"/>
        </w:rPr>
        <w:t xml:space="preserve">  </w:t>
      </w:r>
    </w:p>
    <w:p w14:paraId="5F6CBEFF" w14:textId="7888582F" w:rsidR="00CD58D7" w:rsidRPr="00C85DCB" w:rsidRDefault="001D4400" w:rsidP="00E51BE1">
      <w:pPr>
        <w:spacing w:after="160"/>
        <w:jc w:val="both"/>
        <w:rPr>
          <w:rFonts w:cstheme="minorHAnsi"/>
          <w:sz w:val="22"/>
          <w:szCs w:val="22"/>
          <w:lang w:val="en-GB"/>
        </w:rPr>
      </w:pPr>
      <w:r w:rsidRPr="00C85DCB">
        <w:rPr>
          <w:rFonts w:cstheme="minorHAnsi"/>
          <w:sz w:val="22"/>
          <w:szCs w:val="22"/>
          <w:lang w:val="en-GB"/>
        </w:rPr>
        <w:t>The broad human rights mandate of an NHRI requires comprehensive monitoring of the human rights situation. This</w:t>
      </w:r>
      <w:r w:rsidR="005175B0" w:rsidRPr="00C85DCB">
        <w:rPr>
          <w:rFonts w:cstheme="minorHAnsi"/>
          <w:sz w:val="22"/>
          <w:szCs w:val="22"/>
          <w:lang w:val="en-GB"/>
        </w:rPr>
        <w:t xml:space="preserve"> entails systematically </w:t>
      </w:r>
      <w:r w:rsidRPr="00C85DCB">
        <w:rPr>
          <w:rFonts w:cstheme="minorHAnsi"/>
          <w:sz w:val="22"/>
          <w:szCs w:val="22"/>
          <w:lang w:val="en-GB"/>
        </w:rPr>
        <w:t xml:space="preserve">gathering </w:t>
      </w:r>
      <w:r w:rsidR="005175B0" w:rsidRPr="00C85DCB">
        <w:rPr>
          <w:rFonts w:cstheme="minorHAnsi"/>
          <w:sz w:val="22"/>
          <w:szCs w:val="22"/>
          <w:lang w:val="en-GB"/>
        </w:rPr>
        <w:t>in</w:t>
      </w:r>
      <w:r w:rsidRPr="00C85DCB">
        <w:rPr>
          <w:rFonts w:cstheme="minorHAnsi"/>
          <w:sz w:val="22"/>
          <w:szCs w:val="22"/>
          <w:lang w:val="en-GB"/>
        </w:rPr>
        <w:t xml:space="preserve">formation and </w:t>
      </w:r>
      <w:r w:rsidR="005175B0" w:rsidRPr="00C85DCB">
        <w:rPr>
          <w:rFonts w:cstheme="minorHAnsi"/>
          <w:sz w:val="22"/>
          <w:szCs w:val="22"/>
          <w:lang w:val="en-GB"/>
        </w:rPr>
        <w:t>advocating based o</w:t>
      </w:r>
      <w:r w:rsidR="00E637F0" w:rsidRPr="00C85DCB">
        <w:rPr>
          <w:rFonts w:cstheme="minorHAnsi"/>
          <w:sz w:val="22"/>
          <w:szCs w:val="22"/>
          <w:lang w:val="en-GB"/>
        </w:rPr>
        <w:t>n</w:t>
      </w:r>
      <w:r w:rsidR="005175B0" w:rsidRPr="00C85DCB">
        <w:rPr>
          <w:rFonts w:cstheme="minorHAnsi"/>
          <w:sz w:val="22"/>
          <w:szCs w:val="22"/>
          <w:lang w:val="en-GB"/>
        </w:rPr>
        <w:t xml:space="preserve"> the facts</w:t>
      </w:r>
      <w:r w:rsidR="00410892" w:rsidRPr="00C85DCB">
        <w:rPr>
          <w:rFonts w:cstheme="minorHAnsi"/>
          <w:sz w:val="22"/>
          <w:szCs w:val="22"/>
          <w:lang w:val="en-GB"/>
        </w:rPr>
        <w:t xml:space="preserve"> which </w:t>
      </w:r>
      <w:r w:rsidR="005175B0" w:rsidRPr="00C85DCB">
        <w:rPr>
          <w:rFonts w:cstheme="minorHAnsi"/>
          <w:sz w:val="22"/>
          <w:szCs w:val="22"/>
          <w:lang w:val="en-GB"/>
        </w:rPr>
        <w:t>can be done in various ways.</w:t>
      </w:r>
      <w:r w:rsidRPr="00C85DCB">
        <w:rPr>
          <w:rFonts w:cstheme="minorHAnsi"/>
          <w:sz w:val="22"/>
          <w:szCs w:val="22"/>
          <w:lang w:val="en-GB"/>
        </w:rPr>
        <w:t xml:space="preserve"> </w:t>
      </w:r>
      <w:r w:rsidR="00C034A3" w:rsidRPr="00C85DCB">
        <w:rPr>
          <w:rFonts w:cstheme="minorHAnsi"/>
          <w:sz w:val="22"/>
          <w:szCs w:val="22"/>
          <w:lang w:val="en-GB"/>
        </w:rPr>
        <w:t xml:space="preserve">One model used by </w:t>
      </w:r>
      <w:r w:rsidR="00027015" w:rsidRPr="00C85DCB">
        <w:rPr>
          <w:rFonts w:cstheme="minorHAnsi"/>
          <w:sz w:val="22"/>
          <w:szCs w:val="22"/>
          <w:lang w:val="en-US"/>
        </w:rPr>
        <w:t>Norway’s NHRI</w:t>
      </w:r>
      <w:r w:rsidR="00027015" w:rsidRPr="00C85DCB" w:rsidDel="00027015">
        <w:rPr>
          <w:rFonts w:cstheme="minorHAnsi"/>
          <w:sz w:val="22"/>
          <w:szCs w:val="22"/>
          <w:lang w:val="en-GB"/>
        </w:rPr>
        <w:t xml:space="preserve"> </w:t>
      </w:r>
      <w:r w:rsidR="00C034A3" w:rsidRPr="00C85DCB">
        <w:rPr>
          <w:rFonts w:cstheme="minorHAnsi"/>
          <w:sz w:val="22"/>
          <w:szCs w:val="22"/>
          <w:lang w:val="en-GB"/>
        </w:rPr>
        <w:t xml:space="preserve">which can inspire </w:t>
      </w:r>
      <w:r w:rsidR="004813BB" w:rsidRPr="00C85DCB">
        <w:rPr>
          <w:rFonts w:cstheme="minorHAnsi"/>
          <w:sz w:val="22"/>
          <w:szCs w:val="22"/>
          <w:lang w:val="en-GB"/>
        </w:rPr>
        <w:t xml:space="preserve">and be transferred to </w:t>
      </w:r>
      <w:r w:rsidR="00C034A3" w:rsidRPr="00C85DCB">
        <w:rPr>
          <w:rFonts w:cstheme="minorHAnsi"/>
          <w:sz w:val="22"/>
          <w:szCs w:val="22"/>
          <w:lang w:val="en-GB"/>
        </w:rPr>
        <w:t xml:space="preserve">the Office, is </w:t>
      </w:r>
      <w:r w:rsidR="007A6AC6" w:rsidRPr="00C85DCB">
        <w:rPr>
          <w:rFonts w:cstheme="minorHAnsi"/>
          <w:b/>
          <w:bCs/>
          <w:sz w:val="22"/>
          <w:szCs w:val="22"/>
          <w:lang w:val="en-GB"/>
        </w:rPr>
        <w:t xml:space="preserve">systematic </w:t>
      </w:r>
      <w:r w:rsidR="00C034A3" w:rsidRPr="00C85DCB">
        <w:rPr>
          <w:rFonts w:cstheme="minorHAnsi"/>
          <w:b/>
          <w:bCs/>
          <w:sz w:val="22"/>
          <w:szCs w:val="22"/>
          <w:lang w:val="en-GB"/>
        </w:rPr>
        <w:t xml:space="preserve">engagement with </w:t>
      </w:r>
      <w:r w:rsidR="007A6AC6" w:rsidRPr="00C85DCB">
        <w:rPr>
          <w:rFonts w:cstheme="minorHAnsi"/>
          <w:b/>
          <w:bCs/>
          <w:sz w:val="22"/>
          <w:szCs w:val="22"/>
          <w:lang w:val="en-GB"/>
        </w:rPr>
        <w:t xml:space="preserve">international human rights </w:t>
      </w:r>
      <w:r w:rsidR="004813BB" w:rsidRPr="00C85DCB">
        <w:rPr>
          <w:rFonts w:cstheme="minorHAnsi"/>
          <w:b/>
          <w:bCs/>
          <w:sz w:val="22"/>
          <w:szCs w:val="22"/>
          <w:lang w:val="en-GB"/>
        </w:rPr>
        <w:t xml:space="preserve">monitoring </w:t>
      </w:r>
      <w:r w:rsidR="00C034A3" w:rsidRPr="00C85DCB">
        <w:rPr>
          <w:rFonts w:cstheme="minorHAnsi"/>
          <w:b/>
          <w:bCs/>
          <w:sz w:val="22"/>
          <w:szCs w:val="22"/>
          <w:lang w:val="en-GB"/>
        </w:rPr>
        <w:t>mechanisms</w:t>
      </w:r>
      <w:r w:rsidR="004813BB" w:rsidRPr="00C85DCB">
        <w:rPr>
          <w:rFonts w:cstheme="minorHAnsi"/>
          <w:b/>
          <w:bCs/>
          <w:sz w:val="22"/>
          <w:szCs w:val="22"/>
          <w:lang w:val="en-GB"/>
        </w:rPr>
        <w:t xml:space="preserve"> – </w:t>
      </w:r>
      <w:r w:rsidR="008723BB" w:rsidRPr="00C85DCB">
        <w:rPr>
          <w:rFonts w:cstheme="minorHAnsi"/>
          <w:b/>
          <w:bCs/>
          <w:sz w:val="22"/>
          <w:szCs w:val="22"/>
          <w:lang w:val="en-GB"/>
        </w:rPr>
        <w:t xml:space="preserve">first by reporting </w:t>
      </w:r>
      <w:r w:rsidR="004813BB" w:rsidRPr="00C85DCB">
        <w:rPr>
          <w:rFonts w:cstheme="minorHAnsi"/>
          <w:b/>
          <w:bCs/>
          <w:sz w:val="22"/>
          <w:szCs w:val="22"/>
          <w:lang w:val="en-GB"/>
        </w:rPr>
        <w:t>to secure relevant recommendations</w:t>
      </w:r>
      <w:r w:rsidR="008723BB" w:rsidRPr="00C85DCB">
        <w:rPr>
          <w:rFonts w:cstheme="minorHAnsi"/>
          <w:b/>
          <w:bCs/>
          <w:sz w:val="22"/>
          <w:szCs w:val="22"/>
          <w:lang w:val="en-GB"/>
        </w:rPr>
        <w:t>, then to monitor the implementation of these recommendations.</w:t>
      </w:r>
      <w:r w:rsidR="008723BB" w:rsidRPr="00C85DCB" w:rsidDel="004813BB">
        <w:rPr>
          <w:rFonts w:cstheme="minorHAnsi"/>
          <w:b/>
          <w:bCs/>
          <w:sz w:val="22"/>
          <w:szCs w:val="22"/>
          <w:lang w:val="en-GB"/>
        </w:rPr>
        <w:t xml:space="preserve"> </w:t>
      </w:r>
      <w:r w:rsidR="007A6AC6" w:rsidRPr="00C85DCB">
        <w:rPr>
          <w:rFonts w:cstheme="minorHAnsi"/>
          <w:sz w:val="22"/>
          <w:szCs w:val="22"/>
          <w:lang w:val="en-GB"/>
        </w:rPr>
        <w:t xml:space="preserve">Regular and comprehensive </w:t>
      </w:r>
      <w:r w:rsidR="007A6AC6" w:rsidRPr="00C85DCB">
        <w:rPr>
          <w:rFonts w:cstheme="minorHAnsi"/>
          <w:b/>
          <w:bCs/>
          <w:sz w:val="22"/>
          <w:szCs w:val="22"/>
          <w:lang w:val="en-GB"/>
        </w:rPr>
        <w:t>shadow reporting</w:t>
      </w:r>
      <w:r w:rsidR="007A6AC6" w:rsidRPr="00C85DCB">
        <w:rPr>
          <w:rFonts w:cstheme="minorHAnsi"/>
          <w:sz w:val="22"/>
          <w:szCs w:val="22"/>
          <w:lang w:val="en-GB"/>
        </w:rPr>
        <w:t xml:space="preserve"> is one of the key aspects of the above-mentioned role of the NHRI as a watchdog</w:t>
      </w:r>
      <w:r w:rsidR="004813BB" w:rsidRPr="00C85DCB">
        <w:rPr>
          <w:rFonts w:cstheme="minorHAnsi"/>
          <w:sz w:val="22"/>
          <w:szCs w:val="22"/>
          <w:lang w:val="en-GB"/>
        </w:rPr>
        <w:t xml:space="preserve"> by raising issues of concern to the international level</w:t>
      </w:r>
      <w:r w:rsidR="007A6AC6" w:rsidRPr="00C85DCB">
        <w:rPr>
          <w:rFonts w:cstheme="minorHAnsi"/>
          <w:sz w:val="22"/>
          <w:szCs w:val="22"/>
          <w:lang w:val="en-GB"/>
        </w:rPr>
        <w:t xml:space="preserve">. </w:t>
      </w:r>
      <w:r w:rsidR="00CA1D9F" w:rsidRPr="00C85DCB">
        <w:rPr>
          <w:rFonts w:cstheme="minorHAnsi"/>
          <w:sz w:val="22"/>
          <w:szCs w:val="22"/>
          <w:lang w:val="en-GB"/>
        </w:rPr>
        <w:t xml:space="preserve">Supporting and facilitating civil society in their international engagement also fulfils the </w:t>
      </w:r>
      <w:r w:rsidR="00CD58D7" w:rsidRPr="00C85DCB">
        <w:rPr>
          <w:rFonts w:cstheme="minorHAnsi"/>
          <w:sz w:val="22"/>
          <w:szCs w:val="22"/>
          <w:lang w:val="en-GB"/>
        </w:rPr>
        <w:t xml:space="preserve">function as </w:t>
      </w:r>
      <w:r w:rsidR="00C20517" w:rsidRPr="00C85DCB">
        <w:rPr>
          <w:rFonts w:cstheme="minorHAnsi"/>
          <w:sz w:val="22"/>
          <w:szCs w:val="22"/>
          <w:lang w:val="en-GB"/>
        </w:rPr>
        <w:t>a bridge-</w:t>
      </w:r>
      <w:r w:rsidR="00CA1D9F" w:rsidRPr="00C85DCB">
        <w:rPr>
          <w:rFonts w:cstheme="minorHAnsi"/>
          <w:sz w:val="22"/>
          <w:szCs w:val="22"/>
          <w:lang w:val="en-GB"/>
        </w:rPr>
        <w:t>bu</w:t>
      </w:r>
      <w:r w:rsidR="00CD58D7" w:rsidRPr="00C85DCB">
        <w:rPr>
          <w:rFonts w:cstheme="minorHAnsi"/>
          <w:sz w:val="22"/>
          <w:szCs w:val="22"/>
          <w:lang w:val="en-GB"/>
        </w:rPr>
        <w:t>i</w:t>
      </w:r>
      <w:r w:rsidR="00CA1D9F" w:rsidRPr="00C85DCB">
        <w:rPr>
          <w:rFonts w:cstheme="minorHAnsi"/>
          <w:sz w:val="22"/>
          <w:szCs w:val="22"/>
          <w:lang w:val="en-GB"/>
        </w:rPr>
        <w:t>lder</w:t>
      </w:r>
      <w:r w:rsidR="00CD58D7" w:rsidRPr="00C85DCB">
        <w:rPr>
          <w:rFonts w:cstheme="minorHAnsi"/>
          <w:sz w:val="22"/>
          <w:szCs w:val="22"/>
          <w:lang w:val="en-GB"/>
        </w:rPr>
        <w:t>.</w:t>
      </w:r>
    </w:p>
    <w:p w14:paraId="42BCC28C" w14:textId="58682246" w:rsidR="007A6AC6" w:rsidRPr="00C85DCB" w:rsidRDefault="00881BD0" w:rsidP="00E51BE1">
      <w:pPr>
        <w:spacing w:after="160"/>
        <w:jc w:val="both"/>
        <w:rPr>
          <w:rFonts w:cstheme="minorHAnsi"/>
          <w:sz w:val="22"/>
          <w:szCs w:val="22"/>
          <w:lang w:val="en-GB"/>
        </w:rPr>
      </w:pPr>
      <w:r w:rsidRPr="00C85DCB">
        <w:rPr>
          <w:rFonts w:cstheme="minorHAnsi"/>
          <w:sz w:val="22"/>
          <w:szCs w:val="22"/>
          <w:lang w:val="en-GB"/>
        </w:rPr>
        <w:t>Compiling recommendations from a</w:t>
      </w:r>
      <w:r w:rsidR="00CD58D7" w:rsidRPr="00C85DCB">
        <w:rPr>
          <w:rFonts w:cstheme="minorHAnsi"/>
          <w:sz w:val="22"/>
          <w:szCs w:val="22"/>
          <w:lang w:val="en-GB"/>
        </w:rPr>
        <w:t xml:space="preserve"> representative selection of international </w:t>
      </w:r>
      <w:r w:rsidRPr="00C85DCB">
        <w:rPr>
          <w:rFonts w:cstheme="minorHAnsi"/>
          <w:sz w:val="22"/>
          <w:szCs w:val="22"/>
          <w:lang w:val="en-GB"/>
        </w:rPr>
        <w:t>treaty bodies</w:t>
      </w:r>
      <w:r w:rsidR="00F74559" w:rsidRPr="00C85DCB">
        <w:rPr>
          <w:rFonts w:cstheme="minorHAnsi"/>
          <w:sz w:val="22"/>
          <w:szCs w:val="22"/>
          <w:lang w:val="en-GB"/>
        </w:rPr>
        <w:t xml:space="preserve"> and organising them t</w:t>
      </w:r>
      <w:r w:rsidRPr="00C85DCB">
        <w:rPr>
          <w:rFonts w:cstheme="minorHAnsi"/>
          <w:sz w:val="22"/>
          <w:szCs w:val="22"/>
          <w:lang w:val="en-GB"/>
        </w:rPr>
        <w:t>hematically</w:t>
      </w:r>
      <w:r w:rsidR="00F74559" w:rsidRPr="00C85DCB">
        <w:rPr>
          <w:rFonts w:cstheme="minorHAnsi"/>
          <w:sz w:val="22"/>
          <w:szCs w:val="22"/>
          <w:lang w:val="en-GB"/>
        </w:rPr>
        <w:t xml:space="preserve"> </w:t>
      </w:r>
      <w:r w:rsidRPr="00C85DCB">
        <w:rPr>
          <w:rFonts w:cstheme="minorHAnsi"/>
          <w:sz w:val="22"/>
          <w:szCs w:val="22"/>
          <w:lang w:val="en-GB"/>
        </w:rPr>
        <w:t>will provide a solid starting point fo</w:t>
      </w:r>
      <w:r w:rsidR="00F74559" w:rsidRPr="00C85DCB">
        <w:rPr>
          <w:rFonts w:cstheme="minorHAnsi"/>
          <w:sz w:val="22"/>
          <w:szCs w:val="22"/>
          <w:lang w:val="en-GB"/>
        </w:rPr>
        <w:t xml:space="preserve">r comprehensive human rights monitoring. </w:t>
      </w:r>
      <w:r w:rsidR="00027015" w:rsidRPr="00C85DCB">
        <w:rPr>
          <w:rFonts w:cstheme="minorHAnsi"/>
          <w:sz w:val="22"/>
          <w:szCs w:val="22"/>
          <w:lang w:val="en-US"/>
        </w:rPr>
        <w:t>Norway’s NHRI</w:t>
      </w:r>
      <w:r w:rsidR="00027015" w:rsidRPr="00C85DCB" w:rsidDel="00027015">
        <w:rPr>
          <w:rFonts w:cstheme="minorHAnsi"/>
          <w:sz w:val="22"/>
          <w:szCs w:val="22"/>
          <w:lang w:val="en-GB"/>
        </w:rPr>
        <w:t xml:space="preserve"> </w:t>
      </w:r>
      <w:r w:rsidRPr="00C85DCB">
        <w:rPr>
          <w:rFonts w:cstheme="minorHAnsi"/>
          <w:sz w:val="22"/>
          <w:szCs w:val="22"/>
          <w:lang w:val="en-GB"/>
        </w:rPr>
        <w:t xml:space="preserve">has </w:t>
      </w:r>
      <w:r w:rsidR="008F51F2" w:rsidRPr="00C85DCB">
        <w:rPr>
          <w:rFonts w:cstheme="minorHAnsi"/>
          <w:sz w:val="22"/>
          <w:szCs w:val="22"/>
          <w:lang w:val="en-GB"/>
        </w:rPr>
        <w:t xml:space="preserve">taken </w:t>
      </w:r>
      <w:r w:rsidRPr="00C85DCB">
        <w:rPr>
          <w:rFonts w:cstheme="minorHAnsi"/>
          <w:sz w:val="22"/>
          <w:szCs w:val="22"/>
          <w:lang w:val="en-GB"/>
        </w:rPr>
        <w:t>the core UN human rights treaty bodies</w:t>
      </w:r>
      <w:r w:rsidR="00CD58D7" w:rsidRPr="00C85DCB">
        <w:rPr>
          <w:rFonts w:cstheme="minorHAnsi"/>
          <w:sz w:val="22"/>
          <w:szCs w:val="22"/>
          <w:lang w:val="en-GB"/>
        </w:rPr>
        <w:t xml:space="preserve"> </w:t>
      </w:r>
      <w:r w:rsidRPr="00C85DCB">
        <w:rPr>
          <w:rFonts w:cstheme="minorHAnsi"/>
          <w:sz w:val="22"/>
          <w:szCs w:val="22"/>
          <w:lang w:val="en-GB"/>
        </w:rPr>
        <w:t>ratified by Norway</w:t>
      </w:r>
      <w:r w:rsidR="008F51F2" w:rsidRPr="00C85DCB">
        <w:rPr>
          <w:rFonts w:cstheme="minorHAnsi"/>
          <w:sz w:val="22"/>
          <w:szCs w:val="22"/>
          <w:lang w:val="en-GB"/>
        </w:rPr>
        <w:t xml:space="preserve"> as their starting point.</w:t>
      </w:r>
      <w:r w:rsidR="00F163EA" w:rsidRPr="00C85DCB">
        <w:rPr>
          <w:rFonts w:cstheme="minorHAnsi"/>
          <w:sz w:val="22"/>
          <w:szCs w:val="22"/>
          <w:lang w:val="en-GB"/>
        </w:rPr>
        <w:t xml:space="preserve"> The Compilation published in 2020 is now available in </w:t>
      </w:r>
      <w:r w:rsidR="00A81CEE" w:rsidRPr="00C85DCB">
        <w:rPr>
          <w:rFonts w:cstheme="minorHAnsi"/>
          <w:sz w:val="22"/>
          <w:szCs w:val="22"/>
          <w:lang w:val="en-GB"/>
        </w:rPr>
        <w:t xml:space="preserve">Norway’s NHRI’s Human Rights Tracker (see </w:t>
      </w:r>
      <w:hyperlink r:id="rId10" w:history="1">
        <w:r w:rsidR="00A81CEE" w:rsidRPr="00C85DCB">
          <w:rPr>
            <w:rStyle w:val="Hypertextovodkaz"/>
            <w:rFonts w:cstheme="minorHAnsi"/>
            <w:sz w:val="22"/>
            <w:szCs w:val="22"/>
            <w:lang w:val="en-GB"/>
          </w:rPr>
          <w:t>here</w:t>
        </w:r>
      </w:hyperlink>
      <w:r w:rsidR="00A81CEE" w:rsidRPr="00C85DCB">
        <w:rPr>
          <w:rFonts w:cstheme="minorHAnsi"/>
          <w:sz w:val="22"/>
          <w:szCs w:val="22"/>
          <w:lang w:val="en-GB"/>
        </w:rPr>
        <w:t xml:space="preserve">). </w:t>
      </w:r>
      <w:r w:rsidR="00027015" w:rsidRPr="00C85DCB">
        <w:rPr>
          <w:rFonts w:cstheme="minorHAnsi"/>
          <w:sz w:val="22"/>
          <w:szCs w:val="22"/>
          <w:lang w:val="en-US"/>
        </w:rPr>
        <w:t>Norway’s NHRI</w:t>
      </w:r>
      <w:r w:rsidR="00A81CEE" w:rsidRPr="00C85DCB">
        <w:rPr>
          <w:rFonts w:cstheme="minorHAnsi"/>
          <w:sz w:val="22"/>
          <w:szCs w:val="22"/>
          <w:lang w:val="en-US"/>
        </w:rPr>
        <w:t xml:space="preserve"> </w:t>
      </w:r>
      <w:r w:rsidR="00F163EA" w:rsidRPr="00C85DCB">
        <w:rPr>
          <w:rFonts w:cstheme="minorHAnsi"/>
          <w:sz w:val="22"/>
          <w:szCs w:val="22"/>
          <w:lang w:val="en-GB"/>
        </w:rPr>
        <w:t xml:space="preserve">has also </w:t>
      </w:r>
      <w:r w:rsidR="008F51F2" w:rsidRPr="00C85DCB">
        <w:rPr>
          <w:rFonts w:cstheme="minorHAnsi"/>
          <w:sz w:val="22"/>
          <w:szCs w:val="22"/>
          <w:lang w:val="en-GB"/>
        </w:rPr>
        <w:t xml:space="preserve">developed some practical tools in support of this approach that the Office could </w:t>
      </w:r>
      <w:r w:rsidR="00F163EA" w:rsidRPr="00C85DCB">
        <w:rPr>
          <w:rFonts w:cstheme="minorHAnsi"/>
          <w:sz w:val="22"/>
          <w:szCs w:val="22"/>
          <w:lang w:val="en-GB"/>
        </w:rPr>
        <w:t xml:space="preserve">easily </w:t>
      </w:r>
      <w:r w:rsidR="008F51F2" w:rsidRPr="00C85DCB">
        <w:rPr>
          <w:rFonts w:cstheme="minorHAnsi"/>
          <w:sz w:val="22"/>
          <w:szCs w:val="22"/>
          <w:lang w:val="en-GB"/>
        </w:rPr>
        <w:t>transfer to the Czech context</w:t>
      </w:r>
      <w:r w:rsidR="00F74559" w:rsidRPr="00C85DCB">
        <w:rPr>
          <w:rFonts w:cstheme="minorHAnsi"/>
          <w:sz w:val="22"/>
          <w:szCs w:val="22"/>
          <w:lang w:val="en-GB"/>
        </w:rPr>
        <w:t xml:space="preserve">. </w:t>
      </w:r>
    </w:p>
    <w:p w14:paraId="68C445EA" w14:textId="6B1D3C4E" w:rsidR="00E96904" w:rsidRPr="00C85DCB" w:rsidRDefault="007A6AC6" w:rsidP="00E51BE1">
      <w:pPr>
        <w:spacing w:after="160"/>
        <w:jc w:val="both"/>
        <w:rPr>
          <w:rFonts w:cstheme="minorHAnsi"/>
          <w:sz w:val="22"/>
          <w:szCs w:val="22"/>
          <w:lang w:val="en-GB"/>
        </w:rPr>
      </w:pPr>
      <w:r w:rsidRPr="00C85DCB">
        <w:rPr>
          <w:rFonts w:cstheme="minorHAnsi"/>
          <w:sz w:val="22"/>
          <w:szCs w:val="22"/>
          <w:lang w:val="en-GB"/>
        </w:rPr>
        <w:t>The</w:t>
      </w:r>
      <w:r w:rsidR="008C58EB" w:rsidRPr="00C85DCB">
        <w:rPr>
          <w:rFonts w:cstheme="minorHAnsi"/>
          <w:sz w:val="22"/>
          <w:szCs w:val="22"/>
          <w:lang w:val="en-GB"/>
        </w:rPr>
        <w:t xml:space="preserve">re are many </w:t>
      </w:r>
      <w:r w:rsidR="000E2FCB" w:rsidRPr="00C85DCB">
        <w:rPr>
          <w:rFonts w:cstheme="minorHAnsi"/>
          <w:sz w:val="22"/>
          <w:szCs w:val="22"/>
          <w:lang w:val="en-GB"/>
        </w:rPr>
        <w:t xml:space="preserve">international </w:t>
      </w:r>
      <w:r w:rsidR="008C58EB" w:rsidRPr="00C85DCB">
        <w:rPr>
          <w:rFonts w:cstheme="minorHAnsi"/>
          <w:sz w:val="22"/>
          <w:szCs w:val="22"/>
          <w:lang w:val="en-GB"/>
        </w:rPr>
        <w:t xml:space="preserve">human rights treaties and non-binding instruments </w:t>
      </w:r>
      <w:r w:rsidRPr="00C85DCB">
        <w:rPr>
          <w:rFonts w:cstheme="minorHAnsi"/>
          <w:sz w:val="22"/>
          <w:szCs w:val="22"/>
          <w:lang w:val="en-GB"/>
        </w:rPr>
        <w:t xml:space="preserve">that can be monitored </w:t>
      </w:r>
      <w:r w:rsidR="008C58EB" w:rsidRPr="00C85DCB">
        <w:rPr>
          <w:rFonts w:cstheme="minorHAnsi"/>
          <w:sz w:val="22"/>
          <w:szCs w:val="22"/>
          <w:lang w:val="en-GB"/>
        </w:rPr>
        <w:t>a</w:t>
      </w:r>
      <w:r w:rsidRPr="00C85DCB">
        <w:rPr>
          <w:rFonts w:cstheme="minorHAnsi"/>
          <w:sz w:val="22"/>
          <w:szCs w:val="22"/>
          <w:lang w:val="en-GB"/>
        </w:rPr>
        <w:t xml:space="preserve">s illustrated </w:t>
      </w:r>
      <w:r w:rsidR="008C58EB" w:rsidRPr="00C85DCB">
        <w:rPr>
          <w:rFonts w:cstheme="minorHAnsi"/>
          <w:sz w:val="22"/>
          <w:szCs w:val="22"/>
          <w:lang w:val="en-GB"/>
        </w:rPr>
        <w:t>attached</w:t>
      </w:r>
      <w:r w:rsidR="00166DD0" w:rsidRPr="00C85DCB">
        <w:rPr>
          <w:rFonts w:cstheme="minorHAnsi"/>
          <w:sz w:val="22"/>
          <w:szCs w:val="22"/>
          <w:lang w:val="en-GB"/>
        </w:rPr>
        <w:t>, but there is extensive overlap in terms of themes when the variou</w:t>
      </w:r>
      <w:r w:rsidR="00A81CEE" w:rsidRPr="00C85DCB">
        <w:rPr>
          <w:rFonts w:cstheme="minorHAnsi"/>
          <w:sz w:val="22"/>
          <w:szCs w:val="22"/>
          <w:lang w:val="en-GB"/>
        </w:rPr>
        <w:t>s recommendations are compiled.</w:t>
      </w:r>
    </w:p>
    <w:p w14:paraId="3B453D79" w14:textId="560B114D" w:rsidR="007A6AC6" w:rsidRPr="00C85DCB" w:rsidRDefault="007A6AC6" w:rsidP="00E51BE1">
      <w:pPr>
        <w:spacing w:after="160"/>
        <w:jc w:val="both"/>
        <w:rPr>
          <w:rFonts w:cstheme="minorHAnsi"/>
          <w:b/>
          <w:bCs/>
          <w:sz w:val="22"/>
          <w:szCs w:val="22"/>
          <w:lang w:val="en-GB"/>
        </w:rPr>
      </w:pPr>
      <w:r w:rsidRPr="00C85DCB">
        <w:rPr>
          <w:rFonts w:cstheme="minorHAnsi"/>
          <w:b/>
          <w:bCs/>
          <w:sz w:val="22"/>
          <w:szCs w:val="22"/>
          <w:lang w:val="en-GB"/>
        </w:rPr>
        <w:t xml:space="preserve">Assuming that </w:t>
      </w:r>
      <w:r w:rsidR="00E96904" w:rsidRPr="00C85DCB">
        <w:rPr>
          <w:rFonts w:cstheme="minorHAnsi"/>
          <w:b/>
          <w:bCs/>
          <w:sz w:val="22"/>
          <w:szCs w:val="22"/>
          <w:lang w:val="en-GB"/>
        </w:rPr>
        <w:t>an</w:t>
      </w:r>
      <w:r w:rsidRPr="00C85DCB">
        <w:rPr>
          <w:rFonts w:cstheme="minorHAnsi"/>
          <w:b/>
          <w:bCs/>
          <w:sz w:val="22"/>
          <w:szCs w:val="22"/>
          <w:lang w:val="en-GB"/>
        </w:rPr>
        <w:t xml:space="preserve"> NHRI will be legislatively anchored in the </w:t>
      </w:r>
      <w:r w:rsidR="00DA015E" w:rsidRPr="00C85DCB">
        <w:rPr>
          <w:rFonts w:cstheme="minorHAnsi"/>
          <w:b/>
          <w:bCs/>
          <w:sz w:val="22"/>
          <w:szCs w:val="22"/>
          <w:lang w:val="en-GB"/>
        </w:rPr>
        <w:t>Czech Republic</w:t>
      </w:r>
      <w:r w:rsidRPr="00C85DCB">
        <w:rPr>
          <w:rFonts w:cstheme="minorHAnsi"/>
          <w:b/>
          <w:bCs/>
          <w:sz w:val="22"/>
          <w:szCs w:val="22"/>
          <w:lang w:val="en-GB"/>
        </w:rPr>
        <w:t xml:space="preserve"> and that a correspondingly broad mandate for the protection and promotion of human rights will be entrusted to the </w:t>
      </w:r>
      <w:r w:rsidR="00E96904" w:rsidRPr="00C85DCB">
        <w:rPr>
          <w:rFonts w:cstheme="minorHAnsi"/>
          <w:b/>
          <w:bCs/>
          <w:sz w:val="22"/>
          <w:szCs w:val="22"/>
          <w:lang w:val="en-GB"/>
        </w:rPr>
        <w:t xml:space="preserve">Czech </w:t>
      </w:r>
      <w:r w:rsidR="00DA015E" w:rsidRPr="00C85DCB">
        <w:rPr>
          <w:rFonts w:cstheme="minorHAnsi"/>
          <w:b/>
          <w:bCs/>
          <w:sz w:val="22"/>
          <w:szCs w:val="22"/>
          <w:lang w:val="en-GB"/>
        </w:rPr>
        <w:t>o</w:t>
      </w:r>
      <w:r w:rsidRPr="00C85DCB">
        <w:rPr>
          <w:rFonts w:cstheme="minorHAnsi"/>
          <w:b/>
          <w:bCs/>
          <w:sz w:val="22"/>
          <w:szCs w:val="22"/>
          <w:lang w:val="en-GB"/>
        </w:rPr>
        <w:t xml:space="preserve">mbudsman </w:t>
      </w:r>
      <w:r w:rsidR="00DA015E" w:rsidRPr="00C85DCB">
        <w:rPr>
          <w:rFonts w:cstheme="minorHAnsi"/>
          <w:b/>
          <w:bCs/>
          <w:sz w:val="22"/>
          <w:szCs w:val="22"/>
          <w:lang w:val="en-GB"/>
        </w:rPr>
        <w:t>i</w:t>
      </w:r>
      <w:r w:rsidRPr="00C85DCB">
        <w:rPr>
          <w:rFonts w:cstheme="minorHAnsi"/>
          <w:b/>
          <w:bCs/>
          <w:sz w:val="22"/>
          <w:szCs w:val="22"/>
          <w:lang w:val="en-GB"/>
        </w:rPr>
        <w:t>nstitution (</w:t>
      </w:r>
      <w:r w:rsidR="00DA015E" w:rsidRPr="00C85DCB">
        <w:rPr>
          <w:rFonts w:cstheme="minorHAnsi"/>
          <w:b/>
          <w:bCs/>
          <w:sz w:val="22"/>
          <w:szCs w:val="22"/>
          <w:lang w:val="en-GB"/>
        </w:rPr>
        <w:t>Office of the Public Defender of Rights</w:t>
      </w:r>
      <w:r w:rsidRPr="00C85DCB">
        <w:rPr>
          <w:rFonts w:cstheme="minorHAnsi"/>
          <w:b/>
          <w:bCs/>
          <w:sz w:val="22"/>
          <w:szCs w:val="22"/>
          <w:lang w:val="en-GB"/>
        </w:rPr>
        <w:t xml:space="preserve">), the valuable practical experience gained from the activities of the </w:t>
      </w:r>
      <w:r w:rsidR="00A81CEE" w:rsidRPr="00C85DCB">
        <w:rPr>
          <w:rFonts w:cstheme="minorHAnsi"/>
          <w:b/>
          <w:bCs/>
          <w:sz w:val="22"/>
          <w:szCs w:val="22"/>
          <w:lang w:val="en-GB"/>
        </w:rPr>
        <w:t>Norway’s NHRI</w:t>
      </w:r>
      <w:r w:rsidRPr="00C85DCB">
        <w:rPr>
          <w:rFonts w:cstheme="minorHAnsi"/>
          <w:b/>
          <w:bCs/>
          <w:sz w:val="22"/>
          <w:szCs w:val="22"/>
          <w:lang w:val="en-GB"/>
        </w:rPr>
        <w:t xml:space="preserve"> may be of considerable help in achieving effective functioning and exercising </w:t>
      </w:r>
      <w:r w:rsidR="000E2FCB" w:rsidRPr="00C85DCB">
        <w:rPr>
          <w:rFonts w:cstheme="minorHAnsi"/>
          <w:b/>
          <w:bCs/>
          <w:sz w:val="22"/>
          <w:szCs w:val="22"/>
          <w:lang w:val="en-GB"/>
        </w:rPr>
        <w:t xml:space="preserve">of </w:t>
      </w:r>
      <w:r w:rsidRPr="00C85DCB">
        <w:rPr>
          <w:rFonts w:cstheme="minorHAnsi"/>
          <w:b/>
          <w:bCs/>
          <w:sz w:val="22"/>
          <w:szCs w:val="22"/>
          <w:lang w:val="en-GB"/>
        </w:rPr>
        <w:t xml:space="preserve">the new competences. </w:t>
      </w:r>
      <w:r w:rsidR="00E47283" w:rsidRPr="00C85DCB">
        <w:rPr>
          <w:rFonts w:cstheme="minorHAnsi"/>
          <w:b/>
          <w:bCs/>
          <w:sz w:val="22"/>
          <w:szCs w:val="22"/>
          <w:lang w:val="en-GB"/>
        </w:rPr>
        <w:t>The broad human rights mandate, the various roles and</w:t>
      </w:r>
      <w:r w:rsidRPr="00C85DCB">
        <w:rPr>
          <w:rFonts w:cstheme="minorHAnsi"/>
          <w:b/>
          <w:bCs/>
          <w:sz w:val="22"/>
          <w:szCs w:val="22"/>
          <w:lang w:val="en-GB"/>
        </w:rPr>
        <w:t xml:space="preserve"> </w:t>
      </w:r>
      <w:r w:rsidR="00E47283" w:rsidRPr="00C85DCB">
        <w:rPr>
          <w:rFonts w:cstheme="minorHAnsi"/>
          <w:b/>
          <w:bCs/>
          <w:sz w:val="22"/>
          <w:szCs w:val="22"/>
          <w:lang w:val="en-GB"/>
        </w:rPr>
        <w:t xml:space="preserve">the </w:t>
      </w:r>
      <w:r w:rsidR="00617D46" w:rsidRPr="00C85DCB">
        <w:rPr>
          <w:rFonts w:cstheme="minorHAnsi"/>
          <w:b/>
          <w:bCs/>
          <w:sz w:val="22"/>
          <w:szCs w:val="22"/>
          <w:lang w:val="en-GB"/>
        </w:rPr>
        <w:t xml:space="preserve">many instruments </w:t>
      </w:r>
      <w:r w:rsidR="008E3C49" w:rsidRPr="00C85DCB">
        <w:rPr>
          <w:rFonts w:cstheme="minorHAnsi"/>
          <w:b/>
          <w:bCs/>
          <w:sz w:val="22"/>
          <w:szCs w:val="22"/>
          <w:lang w:val="en-GB"/>
        </w:rPr>
        <w:t>to be monitored</w:t>
      </w:r>
      <w:r w:rsidR="00E47283" w:rsidRPr="00C85DCB">
        <w:rPr>
          <w:rFonts w:cstheme="minorHAnsi"/>
          <w:b/>
          <w:bCs/>
          <w:sz w:val="22"/>
          <w:szCs w:val="22"/>
          <w:lang w:val="en-GB"/>
        </w:rPr>
        <w:t xml:space="preserve"> </w:t>
      </w:r>
      <w:r w:rsidR="00617D46" w:rsidRPr="00C85DCB">
        <w:rPr>
          <w:rFonts w:cstheme="minorHAnsi"/>
          <w:b/>
          <w:bCs/>
          <w:sz w:val="22"/>
          <w:szCs w:val="22"/>
          <w:lang w:val="en-GB"/>
        </w:rPr>
        <w:t xml:space="preserve">are </w:t>
      </w:r>
      <w:r w:rsidR="008136E9" w:rsidRPr="00C85DCB">
        <w:rPr>
          <w:rFonts w:cstheme="minorHAnsi"/>
          <w:b/>
          <w:bCs/>
          <w:sz w:val="22"/>
          <w:szCs w:val="22"/>
          <w:lang w:val="en-GB"/>
        </w:rPr>
        <w:t>a tall order</w:t>
      </w:r>
      <w:r w:rsidRPr="00C85DCB">
        <w:rPr>
          <w:rFonts w:cstheme="minorHAnsi"/>
          <w:b/>
          <w:bCs/>
          <w:sz w:val="22"/>
          <w:szCs w:val="22"/>
          <w:lang w:val="en-GB"/>
        </w:rPr>
        <w:t xml:space="preserve">, </w:t>
      </w:r>
      <w:r w:rsidR="008136E9" w:rsidRPr="00C85DCB">
        <w:rPr>
          <w:rFonts w:cstheme="minorHAnsi"/>
          <w:b/>
          <w:bCs/>
          <w:sz w:val="22"/>
          <w:szCs w:val="22"/>
          <w:lang w:val="en-GB"/>
        </w:rPr>
        <w:t xml:space="preserve">but </w:t>
      </w:r>
      <w:r w:rsidR="00617D46" w:rsidRPr="00C85DCB">
        <w:rPr>
          <w:rFonts w:cstheme="minorHAnsi"/>
          <w:b/>
          <w:bCs/>
          <w:sz w:val="22"/>
          <w:szCs w:val="22"/>
          <w:lang w:val="en-GB"/>
        </w:rPr>
        <w:t>we are prepared to take the first steps</w:t>
      </w:r>
      <w:r w:rsidRPr="00C85DCB">
        <w:rPr>
          <w:rFonts w:cstheme="minorHAnsi"/>
          <w:b/>
          <w:bCs/>
          <w:sz w:val="22"/>
          <w:szCs w:val="22"/>
          <w:lang w:val="en-GB"/>
        </w:rPr>
        <w:t xml:space="preserve"> from which the subsequent activities of the </w:t>
      </w:r>
      <w:r w:rsidR="00DA015E" w:rsidRPr="00C85DCB">
        <w:rPr>
          <w:rFonts w:cstheme="minorHAnsi"/>
          <w:b/>
          <w:bCs/>
          <w:sz w:val="22"/>
          <w:szCs w:val="22"/>
          <w:lang w:val="en-GB"/>
        </w:rPr>
        <w:t>Ombudsman’s Office</w:t>
      </w:r>
      <w:r w:rsidRPr="00C85DCB">
        <w:rPr>
          <w:rFonts w:cstheme="minorHAnsi"/>
          <w:b/>
          <w:bCs/>
          <w:sz w:val="22"/>
          <w:szCs w:val="22"/>
          <w:lang w:val="en-GB"/>
        </w:rPr>
        <w:t xml:space="preserve"> as the Czech NHRI can be shaped and further developed.</w:t>
      </w:r>
    </w:p>
    <w:p w14:paraId="207FB9DC" w14:textId="656EF98F" w:rsidR="00027015" w:rsidRPr="00C85DCB" w:rsidRDefault="00027015" w:rsidP="00E51BE1">
      <w:pPr>
        <w:spacing w:after="160"/>
        <w:jc w:val="both"/>
        <w:rPr>
          <w:rFonts w:cstheme="minorHAnsi"/>
          <w:b/>
          <w:bCs/>
          <w:sz w:val="22"/>
          <w:szCs w:val="22"/>
          <w:lang w:val="en-GB"/>
        </w:rPr>
      </w:pPr>
    </w:p>
    <w:p w14:paraId="6D68D43D" w14:textId="69A31A93" w:rsidR="00027015" w:rsidRPr="00C85DCB" w:rsidRDefault="00027015" w:rsidP="00E51BE1">
      <w:pPr>
        <w:spacing w:after="160"/>
        <w:rPr>
          <w:rFonts w:cstheme="minorHAnsi"/>
          <w:b/>
          <w:bCs/>
          <w:sz w:val="22"/>
          <w:szCs w:val="22"/>
          <w:lang w:val="en-GB"/>
        </w:rPr>
      </w:pPr>
      <w:r w:rsidRPr="00C85DCB">
        <w:rPr>
          <w:rFonts w:cstheme="minorHAnsi"/>
          <w:b/>
          <w:bCs/>
          <w:sz w:val="22"/>
          <w:szCs w:val="22"/>
          <w:lang w:val="en-GB"/>
        </w:rPr>
        <w:br w:type="page"/>
      </w:r>
    </w:p>
    <w:p w14:paraId="18B05DB4" w14:textId="6785AAE1" w:rsidR="00027015" w:rsidRPr="00B401FD" w:rsidRDefault="00027015" w:rsidP="00E51BE1">
      <w:pPr>
        <w:spacing w:after="160"/>
        <w:jc w:val="both"/>
        <w:rPr>
          <w:rFonts w:cstheme="minorHAnsi"/>
          <w:b/>
          <w:bCs/>
          <w:szCs w:val="22"/>
          <w:u w:val="single"/>
          <w:lang w:val="en-GB"/>
        </w:rPr>
      </w:pPr>
      <w:r w:rsidRPr="00B401FD">
        <w:rPr>
          <w:rFonts w:cstheme="minorHAnsi"/>
          <w:b/>
          <w:bCs/>
          <w:szCs w:val="22"/>
          <w:u w:val="single"/>
          <w:lang w:val="en-GB"/>
        </w:rPr>
        <w:t>Annex</w:t>
      </w:r>
    </w:p>
    <w:p w14:paraId="6B916CA0" w14:textId="44DEC9A3" w:rsidR="00027015" w:rsidRPr="00804BB5" w:rsidRDefault="00027015" w:rsidP="00E51BE1">
      <w:pPr>
        <w:spacing w:after="160"/>
        <w:jc w:val="both"/>
        <w:rPr>
          <w:rFonts w:cstheme="minorHAnsi"/>
          <w:b/>
          <w:bCs/>
          <w:sz w:val="22"/>
          <w:szCs w:val="22"/>
          <w:lang w:val="en-GB"/>
        </w:rPr>
      </w:pPr>
      <w:r w:rsidRPr="00804BB5">
        <w:rPr>
          <w:rFonts w:cstheme="minorHAnsi"/>
          <w:sz w:val="22"/>
          <w:szCs w:val="22"/>
          <w:lang w:val="en-GB"/>
        </w:rPr>
        <w:t>Overview of international human rights instruments (treaties), created depending on the ratification of the relevant co</w:t>
      </w:r>
      <w:r w:rsidR="00A81CEE" w:rsidRPr="00804BB5">
        <w:rPr>
          <w:rFonts w:cstheme="minorHAnsi"/>
          <w:sz w:val="22"/>
          <w:szCs w:val="22"/>
          <w:lang w:val="en-GB"/>
        </w:rPr>
        <w:t>nventions by the Czech Republic</w:t>
      </w:r>
      <w:r w:rsidR="00E47984" w:rsidRPr="00804BB5">
        <w:rPr>
          <w:rFonts w:cstheme="minorHAnsi"/>
          <w:sz w:val="22"/>
          <w:szCs w:val="22"/>
          <w:lang w:val="en-GB"/>
        </w:rPr>
        <w:t>, supplemented by the number of publication in the respective Collection (of Acts, or of International Treaties, respectively)</w:t>
      </w:r>
    </w:p>
    <w:p w14:paraId="23B0DBFF" w14:textId="77777777" w:rsidR="00027015" w:rsidRPr="00804BB5" w:rsidRDefault="00027015" w:rsidP="00E51BE1">
      <w:pPr>
        <w:spacing w:after="160"/>
        <w:jc w:val="both"/>
        <w:rPr>
          <w:rFonts w:cstheme="minorHAnsi"/>
          <w:b/>
          <w:bCs/>
          <w:sz w:val="22"/>
          <w:szCs w:val="20"/>
          <w:lang w:val="en-GB"/>
        </w:rPr>
      </w:pPr>
      <w:r w:rsidRPr="00804BB5">
        <w:rPr>
          <w:rFonts w:cstheme="minorHAnsi"/>
          <w:b/>
          <w:bCs/>
          <w:sz w:val="22"/>
          <w:szCs w:val="20"/>
          <w:lang w:val="en-GB"/>
        </w:rPr>
        <w:t>At the (universal) UN level, these are the following conventions:</w:t>
      </w:r>
    </w:p>
    <w:p w14:paraId="52F4919D" w14:textId="61E84942" w:rsidR="00027015" w:rsidRPr="00804BB5" w:rsidRDefault="00027015" w:rsidP="00E51BE1">
      <w:pPr>
        <w:pStyle w:val="Odstavecseseznamem"/>
        <w:numPr>
          <w:ilvl w:val="0"/>
          <w:numId w:val="9"/>
        </w:numPr>
        <w:spacing w:after="160"/>
        <w:jc w:val="both"/>
        <w:rPr>
          <w:rFonts w:cstheme="minorHAnsi"/>
          <w:sz w:val="22"/>
          <w:szCs w:val="20"/>
          <w:lang w:val="en-GB"/>
        </w:rPr>
      </w:pPr>
      <w:r w:rsidRPr="00804BB5">
        <w:rPr>
          <w:rFonts w:cstheme="minorHAnsi"/>
          <w:sz w:val="22"/>
          <w:szCs w:val="20"/>
          <w:lang w:val="en-GB"/>
        </w:rPr>
        <w:t>International Convention on the Elimination of All Forms of Racial Discrimination (</w:t>
      </w:r>
      <w:r w:rsidRPr="00804BB5">
        <w:rPr>
          <w:rFonts w:cstheme="minorHAnsi"/>
          <w:b/>
          <w:sz w:val="22"/>
          <w:szCs w:val="20"/>
          <w:lang w:val="en-GB"/>
        </w:rPr>
        <w:t>ICERD</w:t>
      </w:r>
      <w:r w:rsidR="00E47984" w:rsidRPr="00804BB5">
        <w:rPr>
          <w:rFonts w:cstheme="minorHAnsi"/>
          <w:sz w:val="22"/>
          <w:szCs w:val="20"/>
          <w:lang w:val="en-GB"/>
        </w:rPr>
        <w:t>, No. 95/1974 Coll.)</w:t>
      </w:r>
      <w:r w:rsidRPr="00804BB5">
        <w:rPr>
          <w:rFonts w:cstheme="minorHAnsi"/>
          <w:sz w:val="22"/>
          <w:szCs w:val="20"/>
          <w:lang w:val="en-GB"/>
        </w:rPr>
        <w:t>;</w:t>
      </w:r>
    </w:p>
    <w:p w14:paraId="0B8314EC" w14:textId="4BEF6DC3" w:rsidR="00027015" w:rsidRPr="00804BB5" w:rsidRDefault="00027015" w:rsidP="00E51BE1">
      <w:pPr>
        <w:pStyle w:val="Odstavecseseznamem"/>
        <w:numPr>
          <w:ilvl w:val="0"/>
          <w:numId w:val="9"/>
        </w:numPr>
        <w:spacing w:after="160"/>
        <w:jc w:val="both"/>
        <w:rPr>
          <w:rFonts w:cstheme="minorHAnsi"/>
          <w:sz w:val="22"/>
          <w:szCs w:val="20"/>
          <w:lang w:val="en-GB"/>
        </w:rPr>
      </w:pPr>
      <w:r w:rsidRPr="00804BB5">
        <w:rPr>
          <w:rFonts w:cstheme="minorHAnsi"/>
          <w:sz w:val="22"/>
          <w:szCs w:val="20"/>
          <w:lang w:val="en-GB"/>
        </w:rPr>
        <w:t>International Covenant on Civil and Political Rights (</w:t>
      </w:r>
      <w:r w:rsidRPr="00804BB5">
        <w:rPr>
          <w:rFonts w:cstheme="minorHAnsi"/>
          <w:b/>
          <w:sz w:val="22"/>
          <w:szCs w:val="20"/>
          <w:lang w:val="en-GB"/>
        </w:rPr>
        <w:t>ICCPR</w:t>
      </w:r>
      <w:r w:rsidR="00E47984" w:rsidRPr="00804BB5">
        <w:rPr>
          <w:rFonts w:cstheme="minorHAnsi"/>
          <w:sz w:val="22"/>
          <w:szCs w:val="20"/>
          <w:lang w:val="en-GB"/>
        </w:rPr>
        <w:t>, No. 120/1976 Coll.)</w:t>
      </w:r>
      <w:r w:rsidRPr="00804BB5">
        <w:rPr>
          <w:rFonts w:cstheme="minorHAnsi"/>
          <w:sz w:val="22"/>
          <w:szCs w:val="20"/>
          <w:lang w:val="en-GB"/>
        </w:rPr>
        <w:t>;</w:t>
      </w:r>
    </w:p>
    <w:p w14:paraId="3EC64FE4" w14:textId="4210CD30" w:rsidR="00027015" w:rsidRPr="00804BB5" w:rsidRDefault="00027015" w:rsidP="00E51BE1">
      <w:pPr>
        <w:pStyle w:val="Odstavecseseznamem"/>
        <w:numPr>
          <w:ilvl w:val="0"/>
          <w:numId w:val="9"/>
        </w:numPr>
        <w:spacing w:after="160"/>
        <w:jc w:val="both"/>
        <w:rPr>
          <w:rFonts w:cstheme="minorHAnsi"/>
          <w:sz w:val="22"/>
          <w:szCs w:val="20"/>
          <w:lang w:val="en-GB"/>
        </w:rPr>
      </w:pPr>
      <w:r w:rsidRPr="00804BB5">
        <w:rPr>
          <w:rFonts w:cstheme="minorHAnsi"/>
          <w:sz w:val="22"/>
          <w:szCs w:val="20"/>
          <w:lang w:val="en-GB"/>
        </w:rPr>
        <w:t>International Covenant on Economic, Social and Cultural Righ</w:t>
      </w:r>
      <w:r w:rsidR="00E47984" w:rsidRPr="00804BB5">
        <w:rPr>
          <w:rFonts w:cstheme="minorHAnsi"/>
          <w:sz w:val="22"/>
          <w:szCs w:val="20"/>
          <w:lang w:val="en-GB"/>
        </w:rPr>
        <w:t>ts (</w:t>
      </w:r>
      <w:r w:rsidR="00E47984" w:rsidRPr="00804BB5">
        <w:rPr>
          <w:rFonts w:cstheme="minorHAnsi"/>
          <w:b/>
          <w:sz w:val="22"/>
          <w:szCs w:val="20"/>
          <w:lang w:val="en-GB"/>
        </w:rPr>
        <w:t>ICESCR</w:t>
      </w:r>
      <w:r w:rsidR="00E47984" w:rsidRPr="00804BB5">
        <w:rPr>
          <w:rFonts w:cstheme="minorHAnsi"/>
          <w:sz w:val="22"/>
          <w:szCs w:val="20"/>
          <w:lang w:val="en-GB"/>
        </w:rPr>
        <w:t>, No. 120/1976 Coll.)</w:t>
      </w:r>
      <w:r w:rsidRPr="00804BB5">
        <w:rPr>
          <w:rFonts w:cstheme="minorHAnsi"/>
          <w:sz w:val="22"/>
          <w:szCs w:val="20"/>
          <w:lang w:val="en-GB"/>
        </w:rPr>
        <w:t>;</w:t>
      </w:r>
    </w:p>
    <w:p w14:paraId="58F3B378" w14:textId="5FCAA6CB" w:rsidR="00027015" w:rsidRPr="00804BB5" w:rsidRDefault="00027015" w:rsidP="00E51BE1">
      <w:pPr>
        <w:pStyle w:val="Odstavecseseznamem"/>
        <w:numPr>
          <w:ilvl w:val="0"/>
          <w:numId w:val="9"/>
        </w:numPr>
        <w:spacing w:after="160"/>
        <w:jc w:val="both"/>
        <w:rPr>
          <w:rFonts w:cstheme="minorHAnsi"/>
          <w:sz w:val="22"/>
          <w:szCs w:val="20"/>
          <w:lang w:val="en-GB"/>
        </w:rPr>
      </w:pPr>
      <w:r w:rsidRPr="00804BB5">
        <w:rPr>
          <w:rFonts w:cstheme="minorHAnsi"/>
          <w:sz w:val="22"/>
          <w:szCs w:val="20"/>
          <w:lang w:val="en-GB"/>
        </w:rPr>
        <w:t>Convention on the Elimination of All Forms of Discrimination against Women (</w:t>
      </w:r>
      <w:r w:rsidRPr="00804BB5">
        <w:rPr>
          <w:rFonts w:cstheme="minorHAnsi"/>
          <w:b/>
          <w:sz w:val="22"/>
          <w:szCs w:val="20"/>
          <w:lang w:val="en-GB"/>
        </w:rPr>
        <w:t>CEDAW</w:t>
      </w:r>
      <w:r w:rsidR="00E47984" w:rsidRPr="00804BB5">
        <w:rPr>
          <w:rFonts w:cstheme="minorHAnsi"/>
          <w:sz w:val="22"/>
          <w:szCs w:val="20"/>
          <w:lang w:val="en-GB"/>
        </w:rPr>
        <w:t>, No. 62/1987 Coll.)</w:t>
      </w:r>
      <w:r w:rsidRPr="00804BB5">
        <w:rPr>
          <w:rFonts w:cstheme="minorHAnsi"/>
          <w:sz w:val="22"/>
          <w:szCs w:val="20"/>
          <w:lang w:val="en-GB"/>
        </w:rPr>
        <w:t>;</w:t>
      </w:r>
    </w:p>
    <w:p w14:paraId="1838F40A" w14:textId="6E9CC343" w:rsidR="00027015" w:rsidRPr="00804BB5" w:rsidRDefault="00027015" w:rsidP="00E51BE1">
      <w:pPr>
        <w:pStyle w:val="Odstavecseseznamem"/>
        <w:numPr>
          <w:ilvl w:val="0"/>
          <w:numId w:val="9"/>
        </w:numPr>
        <w:spacing w:after="160"/>
        <w:jc w:val="both"/>
        <w:rPr>
          <w:rFonts w:cstheme="minorHAnsi"/>
          <w:sz w:val="22"/>
          <w:szCs w:val="20"/>
          <w:lang w:val="en-GB"/>
        </w:rPr>
      </w:pPr>
      <w:r w:rsidRPr="00804BB5">
        <w:rPr>
          <w:rFonts w:cstheme="minorHAnsi"/>
          <w:sz w:val="22"/>
          <w:szCs w:val="20"/>
          <w:lang w:val="en-GB"/>
        </w:rPr>
        <w:t>Convention against Torture and Other Cruel, Inhuman or Degrading Treatment or Punishment (</w:t>
      </w:r>
      <w:r w:rsidRPr="00804BB5">
        <w:rPr>
          <w:rFonts w:cstheme="minorHAnsi"/>
          <w:b/>
          <w:sz w:val="22"/>
          <w:szCs w:val="20"/>
          <w:lang w:val="en-GB"/>
        </w:rPr>
        <w:t>CAT</w:t>
      </w:r>
      <w:r w:rsidR="00E47984" w:rsidRPr="00804BB5">
        <w:rPr>
          <w:rFonts w:cstheme="minorHAnsi"/>
          <w:sz w:val="22"/>
          <w:szCs w:val="20"/>
          <w:lang w:val="en-GB"/>
        </w:rPr>
        <w:t>, No. 143/1988 Coll.)</w:t>
      </w:r>
      <w:r w:rsidRPr="00804BB5">
        <w:rPr>
          <w:rFonts w:cstheme="minorHAnsi"/>
          <w:sz w:val="22"/>
          <w:szCs w:val="20"/>
          <w:lang w:val="en-GB"/>
        </w:rPr>
        <w:t>;</w:t>
      </w:r>
    </w:p>
    <w:p w14:paraId="5BF6D742" w14:textId="6E6BDE1D" w:rsidR="00027015" w:rsidRPr="00804BB5" w:rsidRDefault="00027015" w:rsidP="00E51BE1">
      <w:pPr>
        <w:pStyle w:val="Odstavecseseznamem"/>
        <w:numPr>
          <w:ilvl w:val="0"/>
          <w:numId w:val="9"/>
        </w:numPr>
        <w:spacing w:after="160"/>
        <w:jc w:val="both"/>
        <w:rPr>
          <w:rFonts w:cstheme="minorHAnsi"/>
          <w:sz w:val="22"/>
          <w:szCs w:val="20"/>
          <w:lang w:val="en-GB"/>
        </w:rPr>
      </w:pPr>
      <w:r w:rsidRPr="00804BB5">
        <w:rPr>
          <w:rFonts w:cstheme="minorHAnsi"/>
          <w:sz w:val="22"/>
          <w:szCs w:val="20"/>
          <w:lang w:val="en-GB"/>
        </w:rPr>
        <w:t>Convention on the Rights of the Child (</w:t>
      </w:r>
      <w:r w:rsidRPr="00804BB5">
        <w:rPr>
          <w:rFonts w:cstheme="minorHAnsi"/>
          <w:b/>
          <w:sz w:val="22"/>
          <w:szCs w:val="20"/>
          <w:lang w:val="en-GB"/>
        </w:rPr>
        <w:t>CRC</w:t>
      </w:r>
      <w:r w:rsidR="00E47984" w:rsidRPr="00804BB5">
        <w:rPr>
          <w:rFonts w:cstheme="minorHAnsi"/>
          <w:sz w:val="22"/>
          <w:szCs w:val="20"/>
          <w:lang w:val="en-GB"/>
        </w:rPr>
        <w:t>, No. 104/1991 Coll.)</w:t>
      </w:r>
      <w:r w:rsidRPr="00804BB5">
        <w:rPr>
          <w:rFonts w:cstheme="minorHAnsi"/>
          <w:sz w:val="22"/>
          <w:szCs w:val="20"/>
          <w:lang w:val="en-GB"/>
        </w:rPr>
        <w:t>;</w:t>
      </w:r>
    </w:p>
    <w:p w14:paraId="27ACDE96" w14:textId="731F5C51" w:rsidR="00027015" w:rsidRPr="00804BB5" w:rsidRDefault="00027015" w:rsidP="00E51BE1">
      <w:pPr>
        <w:pStyle w:val="Odstavecseseznamem"/>
        <w:numPr>
          <w:ilvl w:val="0"/>
          <w:numId w:val="9"/>
        </w:numPr>
        <w:spacing w:after="160"/>
        <w:jc w:val="both"/>
        <w:rPr>
          <w:rFonts w:cstheme="minorHAnsi"/>
          <w:sz w:val="22"/>
          <w:szCs w:val="20"/>
          <w:lang w:val="en-GB"/>
        </w:rPr>
      </w:pPr>
      <w:r w:rsidRPr="00804BB5">
        <w:rPr>
          <w:rFonts w:cstheme="minorHAnsi"/>
          <w:sz w:val="22"/>
          <w:szCs w:val="20"/>
          <w:lang w:val="en-GB"/>
        </w:rPr>
        <w:t>Convention on the Rights of Persons with Disabilities (</w:t>
      </w:r>
      <w:r w:rsidRPr="00804BB5">
        <w:rPr>
          <w:rFonts w:cstheme="minorHAnsi"/>
          <w:b/>
          <w:sz w:val="22"/>
          <w:szCs w:val="20"/>
          <w:lang w:val="en-GB"/>
        </w:rPr>
        <w:t>CRPD</w:t>
      </w:r>
      <w:r w:rsidRPr="00804BB5">
        <w:rPr>
          <w:rFonts w:cstheme="minorHAnsi"/>
          <w:sz w:val="22"/>
          <w:szCs w:val="20"/>
          <w:lang w:val="en-GB"/>
        </w:rPr>
        <w:t>, No. 10/2010 C</w:t>
      </w:r>
      <w:r w:rsidR="00E47984" w:rsidRPr="00804BB5">
        <w:rPr>
          <w:rFonts w:cstheme="minorHAnsi"/>
          <w:sz w:val="22"/>
          <w:szCs w:val="20"/>
          <w:lang w:val="en-GB"/>
        </w:rPr>
        <w:t>oll. of International Treaties)</w:t>
      </w:r>
      <w:r w:rsidRPr="00804BB5">
        <w:rPr>
          <w:rFonts w:cstheme="minorHAnsi"/>
          <w:sz w:val="22"/>
          <w:szCs w:val="20"/>
          <w:lang w:val="en-GB"/>
        </w:rPr>
        <w:t>;</w:t>
      </w:r>
    </w:p>
    <w:p w14:paraId="1CB9EF8E" w14:textId="5DD2DF9A" w:rsidR="00027015" w:rsidRPr="00804BB5" w:rsidRDefault="00027015" w:rsidP="00E51BE1">
      <w:pPr>
        <w:pStyle w:val="Odstavecseseznamem"/>
        <w:numPr>
          <w:ilvl w:val="0"/>
          <w:numId w:val="9"/>
        </w:numPr>
        <w:spacing w:after="160"/>
        <w:jc w:val="both"/>
        <w:rPr>
          <w:rFonts w:cstheme="minorHAnsi"/>
          <w:sz w:val="22"/>
          <w:szCs w:val="20"/>
          <w:lang w:val="en-GB"/>
        </w:rPr>
      </w:pPr>
      <w:r w:rsidRPr="00804BB5">
        <w:rPr>
          <w:rFonts w:cstheme="minorHAnsi"/>
          <w:sz w:val="22"/>
          <w:szCs w:val="20"/>
          <w:lang w:val="en-GB"/>
        </w:rPr>
        <w:t>International Convention for the Protection of All Persons from Enforced Disappearance (</w:t>
      </w:r>
      <w:r w:rsidR="00A81CEE" w:rsidRPr="00804BB5">
        <w:rPr>
          <w:rFonts w:cstheme="minorHAnsi"/>
          <w:b/>
          <w:sz w:val="22"/>
          <w:szCs w:val="20"/>
          <w:lang w:val="en-GB"/>
        </w:rPr>
        <w:t>CP</w:t>
      </w:r>
      <w:r w:rsidRPr="00804BB5">
        <w:rPr>
          <w:rFonts w:cstheme="minorHAnsi"/>
          <w:b/>
          <w:sz w:val="22"/>
          <w:szCs w:val="20"/>
          <w:lang w:val="en-GB"/>
        </w:rPr>
        <w:t>ED</w:t>
      </w:r>
      <w:r w:rsidRPr="00804BB5">
        <w:rPr>
          <w:rFonts w:cstheme="minorHAnsi"/>
          <w:sz w:val="22"/>
          <w:szCs w:val="20"/>
          <w:lang w:val="en-GB"/>
        </w:rPr>
        <w:t>, No. 13/2017 C</w:t>
      </w:r>
      <w:r w:rsidR="00E47984" w:rsidRPr="00804BB5">
        <w:rPr>
          <w:rFonts w:cstheme="minorHAnsi"/>
          <w:sz w:val="22"/>
          <w:szCs w:val="20"/>
          <w:lang w:val="en-GB"/>
        </w:rPr>
        <w:t>oll. of International Treaties)</w:t>
      </w:r>
      <w:r w:rsidRPr="00804BB5">
        <w:rPr>
          <w:rFonts w:cstheme="minorHAnsi"/>
          <w:sz w:val="22"/>
          <w:szCs w:val="20"/>
          <w:lang w:val="en-GB"/>
        </w:rPr>
        <w:t>.</w:t>
      </w:r>
    </w:p>
    <w:p w14:paraId="2427DF4C" w14:textId="77777777" w:rsidR="00027015" w:rsidRPr="00804BB5" w:rsidRDefault="00027015" w:rsidP="00E51BE1">
      <w:pPr>
        <w:spacing w:after="160"/>
        <w:jc w:val="both"/>
        <w:rPr>
          <w:rFonts w:cstheme="minorHAnsi"/>
          <w:b/>
          <w:bCs/>
          <w:sz w:val="22"/>
          <w:szCs w:val="20"/>
          <w:lang w:val="en-GB"/>
        </w:rPr>
      </w:pPr>
      <w:r w:rsidRPr="00804BB5">
        <w:rPr>
          <w:rFonts w:cstheme="minorHAnsi"/>
          <w:b/>
          <w:bCs/>
          <w:sz w:val="22"/>
          <w:szCs w:val="20"/>
          <w:lang w:val="en-GB"/>
        </w:rPr>
        <w:t>At the (regional) Council of Europe level, the following conventions are concerned:</w:t>
      </w:r>
    </w:p>
    <w:p w14:paraId="28AE2FBE" w14:textId="16A213C8" w:rsidR="00027015" w:rsidRPr="00804BB5" w:rsidRDefault="00027015" w:rsidP="00E51BE1">
      <w:pPr>
        <w:pStyle w:val="Odstavecseseznamem"/>
        <w:numPr>
          <w:ilvl w:val="0"/>
          <w:numId w:val="10"/>
        </w:numPr>
        <w:spacing w:after="160"/>
        <w:jc w:val="both"/>
        <w:rPr>
          <w:rFonts w:cstheme="minorHAnsi"/>
          <w:sz w:val="22"/>
          <w:szCs w:val="20"/>
          <w:lang w:val="en-GB"/>
        </w:rPr>
      </w:pPr>
      <w:r w:rsidRPr="00804BB5">
        <w:rPr>
          <w:rFonts w:cstheme="minorHAnsi"/>
          <w:sz w:val="22"/>
          <w:szCs w:val="20"/>
          <w:lang w:val="en-GB"/>
        </w:rPr>
        <w:t>European Convention for the Prevention of Torture and Inhuman or Degrading Treatment or</w:t>
      </w:r>
      <w:r w:rsidR="00E47984" w:rsidRPr="00804BB5">
        <w:rPr>
          <w:rFonts w:cstheme="minorHAnsi"/>
          <w:sz w:val="22"/>
          <w:szCs w:val="20"/>
          <w:lang w:val="en-GB"/>
        </w:rPr>
        <w:t xml:space="preserve"> Punishment (</w:t>
      </w:r>
      <w:r w:rsidR="00E47984" w:rsidRPr="00804BB5">
        <w:rPr>
          <w:rFonts w:cstheme="minorHAnsi"/>
          <w:b/>
          <w:sz w:val="22"/>
          <w:szCs w:val="20"/>
          <w:lang w:val="en-GB"/>
        </w:rPr>
        <w:t>ECPT</w:t>
      </w:r>
      <w:r w:rsidR="00E47984" w:rsidRPr="00804BB5">
        <w:rPr>
          <w:rFonts w:cstheme="minorHAnsi"/>
          <w:sz w:val="22"/>
          <w:szCs w:val="20"/>
          <w:lang w:val="en-GB"/>
        </w:rPr>
        <w:t>, No. 9/1996 Coll.)</w:t>
      </w:r>
      <w:r w:rsidRPr="00804BB5">
        <w:rPr>
          <w:rFonts w:cstheme="minorHAnsi"/>
          <w:sz w:val="22"/>
          <w:szCs w:val="20"/>
          <w:lang w:val="en-GB"/>
        </w:rPr>
        <w:t>;</w:t>
      </w:r>
    </w:p>
    <w:p w14:paraId="3D6A4A4A" w14:textId="2E31D8A0" w:rsidR="00027015" w:rsidRPr="00804BB5" w:rsidRDefault="00027015" w:rsidP="00E51BE1">
      <w:pPr>
        <w:pStyle w:val="Odstavecseseznamem"/>
        <w:numPr>
          <w:ilvl w:val="0"/>
          <w:numId w:val="10"/>
        </w:numPr>
        <w:spacing w:after="160"/>
        <w:jc w:val="both"/>
        <w:rPr>
          <w:rFonts w:cstheme="minorHAnsi"/>
          <w:sz w:val="22"/>
          <w:szCs w:val="20"/>
          <w:lang w:val="en-GB"/>
        </w:rPr>
      </w:pPr>
      <w:r w:rsidRPr="00804BB5">
        <w:rPr>
          <w:rFonts w:cstheme="minorHAnsi"/>
          <w:sz w:val="22"/>
          <w:szCs w:val="20"/>
          <w:lang w:val="en-GB"/>
        </w:rPr>
        <w:t xml:space="preserve">Framework Convention for the Protection of National </w:t>
      </w:r>
      <w:r w:rsidR="00E47984" w:rsidRPr="00804BB5">
        <w:rPr>
          <w:rFonts w:cstheme="minorHAnsi"/>
          <w:sz w:val="22"/>
          <w:szCs w:val="20"/>
          <w:lang w:val="en-GB"/>
        </w:rPr>
        <w:t>Minorities (</w:t>
      </w:r>
      <w:r w:rsidR="00E47984" w:rsidRPr="00804BB5">
        <w:rPr>
          <w:rFonts w:cstheme="minorHAnsi"/>
          <w:b/>
          <w:sz w:val="22"/>
          <w:szCs w:val="20"/>
          <w:lang w:val="en-GB"/>
        </w:rPr>
        <w:t>FCNM</w:t>
      </w:r>
      <w:r w:rsidR="00E47984" w:rsidRPr="00804BB5">
        <w:rPr>
          <w:rFonts w:cstheme="minorHAnsi"/>
          <w:sz w:val="22"/>
          <w:szCs w:val="20"/>
          <w:lang w:val="en-GB"/>
        </w:rPr>
        <w:t>, No. 96/1998 Coll.);</w:t>
      </w:r>
    </w:p>
    <w:p w14:paraId="31B0D08D" w14:textId="1D24D68D" w:rsidR="00027015" w:rsidRPr="00804BB5" w:rsidRDefault="00027015" w:rsidP="00E51BE1">
      <w:pPr>
        <w:pStyle w:val="Odstavecseseznamem"/>
        <w:numPr>
          <w:ilvl w:val="0"/>
          <w:numId w:val="10"/>
        </w:numPr>
        <w:spacing w:after="160"/>
        <w:jc w:val="both"/>
        <w:rPr>
          <w:rFonts w:cstheme="minorHAnsi"/>
          <w:sz w:val="22"/>
          <w:szCs w:val="20"/>
          <w:lang w:val="en-GB"/>
        </w:rPr>
      </w:pPr>
      <w:r w:rsidRPr="00804BB5">
        <w:rPr>
          <w:rFonts w:cstheme="minorHAnsi"/>
          <w:sz w:val="22"/>
          <w:szCs w:val="20"/>
          <w:lang w:val="en-GB"/>
        </w:rPr>
        <w:t>The European Social Charter (</w:t>
      </w:r>
      <w:r w:rsidR="00E47984" w:rsidRPr="00804BB5">
        <w:rPr>
          <w:rFonts w:cstheme="minorHAnsi"/>
          <w:b/>
          <w:sz w:val="22"/>
          <w:szCs w:val="20"/>
          <w:lang w:val="en-GB"/>
        </w:rPr>
        <w:t>ESC</w:t>
      </w:r>
      <w:r w:rsidR="00E47984" w:rsidRPr="00804BB5">
        <w:rPr>
          <w:rFonts w:cstheme="minorHAnsi"/>
          <w:sz w:val="22"/>
          <w:szCs w:val="20"/>
          <w:lang w:val="en-GB"/>
        </w:rPr>
        <w:t xml:space="preserve">, </w:t>
      </w:r>
      <w:r w:rsidRPr="00804BB5">
        <w:rPr>
          <w:rFonts w:cstheme="minorHAnsi"/>
          <w:sz w:val="22"/>
          <w:szCs w:val="20"/>
          <w:lang w:val="en-GB"/>
        </w:rPr>
        <w:t>No. 14/2000 Coll. of International Treaties</w:t>
      </w:r>
      <w:r w:rsidR="00E47984" w:rsidRPr="00804BB5">
        <w:rPr>
          <w:rFonts w:cstheme="minorHAnsi"/>
          <w:sz w:val="22"/>
          <w:szCs w:val="20"/>
          <w:lang w:val="en-GB"/>
        </w:rPr>
        <w:t>)</w:t>
      </w:r>
      <w:r w:rsidRPr="00804BB5">
        <w:rPr>
          <w:rFonts w:cstheme="minorHAnsi"/>
          <w:sz w:val="22"/>
          <w:szCs w:val="20"/>
          <w:lang w:val="en-GB"/>
        </w:rPr>
        <w:t>;</w:t>
      </w:r>
    </w:p>
    <w:p w14:paraId="673D78A1" w14:textId="3ABE3C35" w:rsidR="00027015" w:rsidRPr="00804BB5" w:rsidRDefault="00027015" w:rsidP="00E51BE1">
      <w:pPr>
        <w:pStyle w:val="Odstavecseseznamem"/>
        <w:numPr>
          <w:ilvl w:val="0"/>
          <w:numId w:val="10"/>
        </w:numPr>
        <w:spacing w:after="160"/>
        <w:jc w:val="both"/>
        <w:rPr>
          <w:rFonts w:cstheme="minorHAnsi"/>
          <w:sz w:val="22"/>
          <w:szCs w:val="20"/>
          <w:lang w:val="en-GB"/>
        </w:rPr>
      </w:pPr>
      <w:r w:rsidRPr="00804BB5">
        <w:rPr>
          <w:rFonts w:cstheme="minorHAnsi"/>
          <w:sz w:val="22"/>
          <w:szCs w:val="20"/>
          <w:lang w:val="en-GB"/>
        </w:rPr>
        <w:t>European Charter for</w:t>
      </w:r>
      <w:r w:rsidR="00E47984" w:rsidRPr="00804BB5">
        <w:rPr>
          <w:rFonts w:cstheme="minorHAnsi"/>
          <w:sz w:val="22"/>
          <w:szCs w:val="20"/>
          <w:lang w:val="en-GB"/>
        </w:rPr>
        <w:t xml:space="preserve"> Regional or Minority Languages (</w:t>
      </w:r>
      <w:r w:rsidR="00E47984" w:rsidRPr="00804BB5">
        <w:rPr>
          <w:rFonts w:cstheme="minorHAnsi"/>
          <w:b/>
          <w:sz w:val="22"/>
          <w:szCs w:val="20"/>
          <w:lang w:val="en-GB"/>
        </w:rPr>
        <w:t>ECRML</w:t>
      </w:r>
      <w:r w:rsidR="00E47984" w:rsidRPr="00804BB5">
        <w:rPr>
          <w:rFonts w:cstheme="minorHAnsi"/>
          <w:sz w:val="22"/>
          <w:szCs w:val="20"/>
          <w:lang w:val="en-GB"/>
        </w:rPr>
        <w:t>)</w:t>
      </w:r>
      <w:r w:rsidRPr="00804BB5">
        <w:rPr>
          <w:rFonts w:cstheme="minorHAnsi"/>
          <w:sz w:val="22"/>
          <w:szCs w:val="20"/>
          <w:lang w:val="en-GB"/>
        </w:rPr>
        <w:t>;</w:t>
      </w:r>
    </w:p>
    <w:p w14:paraId="6E17CB55" w14:textId="133B91BB" w:rsidR="00027015" w:rsidRPr="00804BB5" w:rsidRDefault="00027015" w:rsidP="00E51BE1">
      <w:pPr>
        <w:pStyle w:val="Odstavecseseznamem"/>
        <w:numPr>
          <w:ilvl w:val="0"/>
          <w:numId w:val="10"/>
        </w:numPr>
        <w:spacing w:after="160"/>
        <w:jc w:val="both"/>
        <w:rPr>
          <w:rFonts w:cstheme="minorHAnsi"/>
          <w:sz w:val="22"/>
          <w:szCs w:val="20"/>
          <w:lang w:val="en-GB"/>
        </w:rPr>
      </w:pPr>
      <w:r w:rsidRPr="00804BB5">
        <w:rPr>
          <w:rFonts w:cstheme="minorHAnsi"/>
          <w:sz w:val="22"/>
          <w:szCs w:val="20"/>
          <w:lang w:val="en-GB"/>
        </w:rPr>
        <w:t>Council of Europe Convention on Action against Trafficking in Human Beings (</w:t>
      </w:r>
      <w:r w:rsidR="00E47984" w:rsidRPr="00804BB5">
        <w:rPr>
          <w:rFonts w:cstheme="minorHAnsi"/>
          <w:b/>
          <w:sz w:val="22"/>
          <w:szCs w:val="20"/>
          <w:lang w:val="en-GB"/>
        </w:rPr>
        <w:t>CATHB</w:t>
      </w:r>
      <w:r w:rsidR="00E47984" w:rsidRPr="00804BB5">
        <w:rPr>
          <w:rFonts w:cstheme="minorHAnsi"/>
          <w:sz w:val="22"/>
          <w:szCs w:val="20"/>
          <w:lang w:val="en-GB"/>
        </w:rPr>
        <w:t xml:space="preserve">, </w:t>
      </w:r>
      <w:r w:rsidRPr="00804BB5">
        <w:rPr>
          <w:rFonts w:cstheme="minorHAnsi"/>
          <w:sz w:val="22"/>
          <w:szCs w:val="20"/>
          <w:lang w:val="en-GB"/>
        </w:rPr>
        <w:t>No. 33/2017 C</w:t>
      </w:r>
      <w:r w:rsidR="00E47984" w:rsidRPr="00804BB5">
        <w:rPr>
          <w:rFonts w:cstheme="minorHAnsi"/>
          <w:sz w:val="22"/>
          <w:szCs w:val="20"/>
          <w:lang w:val="en-GB"/>
        </w:rPr>
        <w:t>oll. of International Treaties)</w:t>
      </w:r>
      <w:r w:rsidRPr="00804BB5">
        <w:rPr>
          <w:rFonts w:cstheme="minorHAnsi"/>
          <w:sz w:val="22"/>
          <w:szCs w:val="20"/>
          <w:lang w:val="en-GB"/>
        </w:rPr>
        <w:t>.</w:t>
      </w:r>
    </w:p>
    <w:p w14:paraId="21E06109" w14:textId="77777777" w:rsidR="00027015" w:rsidRPr="00804BB5" w:rsidRDefault="00027015" w:rsidP="00E51BE1">
      <w:pPr>
        <w:spacing w:after="160"/>
        <w:jc w:val="both"/>
        <w:rPr>
          <w:rFonts w:cstheme="minorHAnsi"/>
          <w:sz w:val="22"/>
          <w:szCs w:val="20"/>
          <w:lang w:val="en-GB"/>
        </w:rPr>
      </w:pPr>
      <w:r w:rsidRPr="00804BB5">
        <w:rPr>
          <w:rFonts w:cstheme="minorHAnsi"/>
          <w:sz w:val="22"/>
          <w:szCs w:val="20"/>
          <w:lang w:val="en-GB"/>
        </w:rPr>
        <w:t>The above list can be supplemented by two areas (one each from the universal and regional level) set aside, for which no specific commitments are foreseen on the basis of the ratification of the relevant convention by the state concerned, since monitoring is already implied by the membership in the relevant international organization:</w:t>
      </w:r>
    </w:p>
    <w:p w14:paraId="37F75223" w14:textId="77777777" w:rsidR="00027015" w:rsidRPr="00804BB5" w:rsidRDefault="00027015" w:rsidP="00E51BE1">
      <w:pPr>
        <w:pStyle w:val="Odstavecseseznamem"/>
        <w:numPr>
          <w:ilvl w:val="0"/>
          <w:numId w:val="11"/>
        </w:numPr>
        <w:spacing w:after="160"/>
        <w:jc w:val="both"/>
        <w:rPr>
          <w:rFonts w:cstheme="minorHAnsi"/>
          <w:sz w:val="22"/>
          <w:szCs w:val="20"/>
          <w:lang w:val="en-GB"/>
        </w:rPr>
      </w:pPr>
      <w:r w:rsidRPr="00804BB5">
        <w:rPr>
          <w:rFonts w:cstheme="minorHAnsi"/>
          <w:sz w:val="22"/>
          <w:szCs w:val="20"/>
          <w:lang w:val="en-GB"/>
        </w:rPr>
        <w:t>Universal Periodic Review (</w:t>
      </w:r>
      <w:r w:rsidRPr="00804BB5">
        <w:rPr>
          <w:rFonts w:cstheme="minorHAnsi"/>
          <w:b/>
          <w:sz w:val="22"/>
          <w:szCs w:val="20"/>
          <w:lang w:val="en-GB"/>
        </w:rPr>
        <w:t>UPR</w:t>
      </w:r>
      <w:r w:rsidRPr="00804BB5">
        <w:rPr>
          <w:rFonts w:cstheme="minorHAnsi"/>
          <w:sz w:val="22"/>
          <w:szCs w:val="20"/>
          <w:lang w:val="en-GB"/>
        </w:rPr>
        <w:t>), whose monitoring cycle takes place before the UN Human Rights Council (</w:t>
      </w:r>
      <w:r w:rsidRPr="00804BB5">
        <w:rPr>
          <w:rFonts w:cstheme="minorHAnsi"/>
          <w:b/>
          <w:sz w:val="22"/>
          <w:szCs w:val="20"/>
          <w:lang w:val="en-GB"/>
        </w:rPr>
        <w:t>HRC</w:t>
      </w:r>
      <w:r w:rsidRPr="00804BB5">
        <w:rPr>
          <w:rFonts w:cstheme="minorHAnsi"/>
          <w:sz w:val="22"/>
          <w:szCs w:val="20"/>
          <w:lang w:val="en-GB"/>
        </w:rPr>
        <w:t>) – this process (unlike the procedures before the UN treaty bodies) is both political and universal in nature (resulting from membership in the UN itself);</w:t>
      </w:r>
    </w:p>
    <w:p w14:paraId="2616E793" w14:textId="77777777" w:rsidR="00027015" w:rsidRPr="00804BB5" w:rsidRDefault="00027015" w:rsidP="00E51BE1">
      <w:pPr>
        <w:pStyle w:val="Odstavecseseznamem"/>
        <w:numPr>
          <w:ilvl w:val="0"/>
          <w:numId w:val="11"/>
        </w:numPr>
        <w:spacing w:after="160"/>
        <w:jc w:val="both"/>
        <w:rPr>
          <w:rFonts w:cstheme="minorHAnsi"/>
          <w:sz w:val="22"/>
          <w:szCs w:val="20"/>
          <w:lang w:val="en-GB"/>
        </w:rPr>
      </w:pPr>
      <w:r w:rsidRPr="00804BB5">
        <w:rPr>
          <w:rFonts w:cstheme="minorHAnsi"/>
          <w:sz w:val="22"/>
          <w:szCs w:val="20"/>
          <w:lang w:val="en-GB"/>
        </w:rPr>
        <w:t>the monitoring activities of the European Commission against Racism and Intolerance (</w:t>
      </w:r>
      <w:r w:rsidRPr="00804BB5">
        <w:rPr>
          <w:rFonts w:cstheme="minorHAnsi"/>
          <w:b/>
          <w:sz w:val="22"/>
          <w:szCs w:val="20"/>
          <w:lang w:val="en-GB"/>
        </w:rPr>
        <w:t>ECRI</w:t>
      </w:r>
      <w:r w:rsidRPr="00804BB5">
        <w:rPr>
          <w:rFonts w:cstheme="minorHAnsi"/>
          <w:sz w:val="22"/>
          <w:szCs w:val="20"/>
          <w:lang w:val="en-GB"/>
        </w:rPr>
        <w:t>), which aims to combat racism, xenophobia, anti-Semitism and intolerance at a pan-European level and from a human rights perspective – likewise, this process is a consequence of membership in the Council of Europe itself.</w:t>
      </w:r>
    </w:p>
    <w:p w14:paraId="47871156" w14:textId="2C8D65CC" w:rsidR="00027015" w:rsidRPr="00C85DCB" w:rsidRDefault="00027015" w:rsidP="00E51BE1">
      <w:pPr>
        <w:spacing w:after="160"/>
        <w:jc w:val="both"/>
        <w:rPr>
          <w:rFonts w:cstheme="minorHAnsi"/>
          <w:b/>
          <w:bCs/>
          <w:sz w:val="22"/>
          <w:szCs w:val="22"/>
          <w:lang w:val="en-GB"/>
        </w:rPr>
      </w:pPr>
    </w:p>
    <w:sectPr w:rsidR="00027015" w:rsidRPr="00C85DCB" w:rsidSect="00B401FD">
      <w:footerReference w:type="default" r:id="rId11"/>
      <w:headerReference w:type="first" r:id="rId12"/>
      <w:footerReference w:type="first" r:id="rId13"/>
      <w:pgSz w:w="11900" w:h="16840"/>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C4D0C" w16cex:dateUtc="2023-12-07T12:54:00Z"/>
  <w16cex:commentExtensible w16cex:durableId="291C6342" w16cex:dateUtc="2023-12-0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BEC987" w16cid:durableId="291C4D0C"/>
  <w16cid:commentId w16cid:paraId="7448B5B6" w16cid:durableId="291C634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19485" w14:textId="77777777" w:rsidR="006E6EA5" w:rsidRDefault="006E6EA5" w:rsidP="004B5B7E">
      <w:r>
        <w:separator/>
      </w:r>
    </w:p>
  </w:endnote>
  <w:endnote w:type="continuationSeparator" w:id="0">
    <w:p w14:paraId="674A0CA5" w14:textId="77777777" w:rsidR="006E6EA5" w:rsidRDefault="006E6EA5" w:rsidP="004B5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22797"/>
      <w:docPartObj>
        <w:docPartGallery w:val="Page Numbers (Bottom of Page)"/>
        <w:docPartUnique/>
      </w:docPartObj>
    </w:sdtPr>
    <w:sdtEndPr>
      <w:rPr>
        <w:sz w:val="22"/>
      </w:rPr>
    </w:sdtEndPr>
    <w:sdtContent>
      <w:p w14:paraId="501713FE" w14:textId="7017698F" w:rsidR="00760FE5" w:rsidRPr="00B401FD" w:rsidRDefault="00760FE5">
        <w:pPr>
          <w:pStyle w:val="Zpat"/>
          <w:jc w:val="right"/>
          <w:rPr>
            <w:sz w:val="22"/>
          </w:rPr>
        </w:pPr>
        <w:r w:rsidRPr="00B401FD">
          <w:rPr>
            <w:sz w:val="22"/>
          </w:rPr>
          <w:fldChar w:fldCharType="begin"/>
        </w:r>
        <w:r w:rsidRPr="00B401FD">
          <w:rPr>
            <w:sz w:val="22"/>
          </w:rPr>
          <w:instrText>PAGE   \* MERGEFORMAT</w:instrText>
        </w:r>
        <w:r w:rsidRPr="00B401FD">
          <w:rPr>
            <w:sz w:val="22"/>
          </w:rPr>
          <w:fldChar w:fldCharType="separate"/>
        </w:r>
        <w:r w:rsidR="00FA4E70">
          <w:rPr>
            <w:noProof/>
            <w:sz w:val="22"/>
          </w:rPr>
          <w:t>2</w:t>
        </w:r>
        <w:r w:rsidRPr="00B401FD">
          <w:rPr>
            <w:sz w:val="22"/>
          </w:rPr>
          <w:fldChar w:fldCharType="end"/>
        </w:r>
      </w:p>
    </w:sdtContent>
  </w:sdt>
  <w:p w14:paraId="1C1F838B" w14:textId="77777777" w:rsidR="00A81CEE" w:rsidRDefault="00A81CEE">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507791"/>
      <w:docPartObj>
        <w:docPartGallery w:val="Page Numbers (Bottom of Page)"/>
        <w:docPartUnique/>
      </w:docPartObj>
    </w:sdtPr>
    <w:sdtEndPr>
      <w:rPr>
        <w:sz w:val="22"/>
      </w:rPr>
    </w:sdtEndPr>
    <w:sdtContent>
      <w:p w14:paraId="2494EC4D" w14:textId="7132D107" w:rsidR="00B401FD" w:rsidRPr="00B401FD" w:rsidRDefault="00B401FD">
        <w:pPr>
          <w:pStyle w:val="Zpat"/>
          <w:jc w:val="right"/>
          <w:rPr>
            <w:sz w:val="22"/>
          </w:rPr>
        </w:pPr>
        <w:r w:rsidRPr="00B401FD">
          <w:rPr>
            <w:sz w:val="22"/>
          </w:rPr>
          <w:fldChar w:fldCharType="begin"/>
        </w:r>
        <w:r w:rsidRPr="00B401FD">
          <w:rPr>
            <w:sz w:val="22"/>
          </w:rPr>
          <w:instrText>PAGE   \* MERGEFORMAT</w:instrText>
        </w:r>
        <w:r w:rsidRPr="00B401FD">
          <w:rPr>
            <w:sz w:val="22"/>
          </w:rPr>
          <w:fldChar w:fldCharType="separate"/>
        </w:r>
        <w:r w:rsidR="00FA4E70">
          <w:rPr>
            <w:noProof/>
            <w:sz w:val="22"/>
          </w:rPr>
          <w:t>1</w:t>
        </w:r>
        <w:r w:rsidRPr="00B401FD">
          <w:rPr>
            <w:sz w:val="22"/>
          </w:rPr>
          <w:fldChar w:fldCharType="end"/>
        </w:r>
      </w:p>
    </w:sdtContent>
  </w:sdt>
  <w:p w14:paraId="4815E257" w14:textId="77777777" w:rsidR="00B401FD" w:rsidRDefault="00B401F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116BA" w14:textId="77777777" w:rsidR="006E6EA5" w:rsidRDefault="006E6EA5" w:rsidP="004B5B7E">
      <w:r>
        <w:separator/>
      </w:r>
    </w:p>
  </w:footnote>
  <w:footnote w:type="continuationSeparator" w:id="0">
    <w:p w14:paraId="1AA03446" w14:textId="77777777" w:rsidR="006E6EA5" w:rsidRDefault="006E6EA5" w:rsidP="004B5B7E">
      <w:r>
        <w:continuationSeparator/>
      </w:r>
    </w:p>
  </w:footnote>
  <w:footnote w:id="1">
    <w:p w14:paraId="65AA2844" w14:textId="77777777" w:rsidR="000837AB" w:rsidRPr="00B401FD" w:rsidRDefault="000837AB" w:rsidP="00B401FD">
      <w:pPr>
        <w:pStyle w:val="Textpoznpodarou"/>
        <w:jc w:val="both"/>
        <w:rPr>
          <w:sz w:val="18"/>
          <w:lang w:val="en-GB"/>
        </w:rPr>
      </w:pPr>
      <w:r w:rsidRPr="00B401FD">
        <w:rPr>
          <w:rStyle w:val="Znakapoznpodarou"/>
          <w:sz w:val="18"/>
          <w:lang w:val="en-GB"/>
        </w:rPr>
        <w:footnoteRef/>
      </w:r>
      <w:r w:rsidRPr="00B401FD">
        <w:rPr>
          <w:sz w:val="18"/>
          <w:lang w:val="en-GB"/>
        </w:rPr>
        <w:t xml:space="preserve"> The article was prepared as part of the project Strengthening the Ombudsman's Activities in the Protection of Human Rights (Towards the Establishment of a National Human Rights Institution in the Czech Republic), project number: LP-PDP3-001. This project is funded by the EEA and Norway Grants 2014–2021 and the state budget of the Czech Republic.</w:t>
      </w:r>
    </w:p>
  </w:footnote>
  <w:footnote w:id="2">
    <w:p w14:paraId="1CBC0FBA" w14:textId="2AD5DC73" w:rsidR="000837AB" w:rsidRPr="00B401FD" w:rsidRDefault="000837AB" w:rsidP="00B401FD">
      <w:pPr>
        <w:pStyle w:val="Textpoznpodarou"/>
        <w:jc w:val="both"/>
        <w:rPr>
          <w:sz w:val="18"/>
          <w:lang w:val="en-GB"/>
        </w:rPr>
      </w:pPr>
      <w:r w:rsidRPr="00B401FD">
        <w:rPr>
          <w:rStyle w:val="Znakapoznpodarou"/>
          <w:sz w:val="18"/>
          <w:lang w:val="en-GB"/>
        </w:rPr>
        <w:footnoteRef/>
      </w:r>
      <w:r w:rsidRPr="00B401FD">
        <w:rPr>
          <w:sz w:val="18"/>
          <w:lang w:val="en-GB"/>
        </w:rPr>
        <w:t xml:space="preserve"> Principles relating to the Status of National Institutions (The Paris Principles) – UN General Assembly Resolution A/RES/48/134, adopted on 20 December 1993. Available e.g. </w:t>
      </w:r>
      <w:hyperlink r:id="rId1" w:history="1">
        <w:r w:rsidRPr="00B401FD">
          <w:rPr>
            <w:rStyle w:val="Hypertextovodkaz"/>
            <w:sz w:val="18"/>
            <w:lang w:val="en-GB"/>
          </w:rPr>
          <w:t>here</w:t>
        </w:r>
      </w:hyperlink>
      <w:r w:rsidRPr="00B401FD">
        <w:rPr>
          <w:sz w:val="18"/>
          <w:lang w:val="en-GB"/>
        </w:rPr>
        <w:t>.</w:t>
      </w:r>
    </w:p>
  </w:footnote>
  <w:footnote w:id="3">
    <w:p w14:paraId="3CB38B1A" w14:textId="01A39C81" w:rsidR="000837AB" w:rsidRPr="00B401FD" w:rsidRDefault="000837AB" w:rsidP="00B401FD">
      <w:pPr>
        <w:pStyle w:val="Textpoznpodarou"/>
        <w:jc w:val="both"/>
        <w:rPr>
          <w:sz w:val="18"/>
        </w:rPr>
      </w:pPr>
      <w:r w:rsidRPr="00B401FD">
        <w:rPr>
          <w:rStyle w:val="Znakapoznpodarou"/>
          <w:sz w:val="18"/>
        </w:rPr>
        <w:footnoteRef/>
      </w:r>
      <w:r w:rsidRPr="00B401FD">
        <w:rPr>
          <w:sz w:val="18"/>
        </w:rPr>
        <w:t xml:space="preserve"> </w:t>
      </w:r>
      <w:r w:rsidRPr="00B401FD">
        <w:rPr>
          <w:sz w:val="18"/>
          <w:lang w:val="en-US"/>
        </w:rPr>
        <w:t>Norway’s NHRI’s effort to summarize the Paris Principles in user-friendly terms.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0376B" w14:textId="50C43A37" w:rsidR="00B401FD" w:rsidRDefault="00B401FD">
    <w:pPr>
      <w:pStyle w:val="Zhlav"/>
    </w:pPr>
    <w:r w:rsidRPr="000C6131">
      <w:rPr>
        <w:noProof/>
        <w:lang w:eastAsia="cs-CZ"/>
      </w:rPr>
      <w:drawing>
        <wp:anchor distT="0" distB="0" distL="114300" distR="114300" simplePos="0" relativeHeight="251659264" behindDoc="0" locked="0" layoutInCell="1" allowOverlap="1" wp14:anchorId="01A7648C" wp14:editId="5BCA4663">
          <wp:simplePos x="0" y="0"/>
          <wp:positionH relativeFrom="margin">
            <wp:align>right</wp:align>
          </wp:positionH>
          <wp:positionV relativeFrom="paragraph">
            <wp:posOffset>43180</wp:posOffset>
          </wp:positionV>
          <wp:extent cx="2551270" cy="583369"/>
          <wp:effectExtent l="0" t="0" r="1905" b="7620"/>
          <wp:wrapNone/>
          <wp:docPr id="4" name="Obrázek 4" descr="S:\Sektretariát VOP a ZVOP\VIZUÁLNÍ STYL (loga, šablony)\Logo\1) Ombudsman\anglické verze\ombudsman_logo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ktretariát VOP a ZVOP\VIZUÁLNÍ STYL (loga, šablony)\Logo\1) Ombudsman\anglické verze\ombudsman_logo_E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51270" cy="5833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cs-CZ"/>
      </w:rPr>
      <w:drawing>
        <wp:inline distT="0" distB="0" distL="0" distR="0" wp14:anchorId="7E3E831C" wp14:editId="54AA8176">
          <wp:extent cx="553842" cy="626745"/>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7010" cy="6303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5462"/>
    <w:multiLevelType w:val="hybridMultilevel"/>
    <w:tmpl w:val="D53630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CF391B"/>
    <w:multiLevelType w:val="hybridMultilevel"/>
    <w:tmpl w:val="CE88D13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FD263B6"/>
    <w:multiLevelType w:val="hybridMultilevel"/>
    <w:tmpl w:val="8572D90A"/>
    <w:lvl w:ilvl="0" w:tplc="BEC0524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17A79B8"/>
    <w:multiLevelType w:val="hybridMultilevel"/>
    <w:tmpl w:val="9822C20C"/>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684275B"/>
    <w:multiLevelType w:val="hybridMultilevel"/>
    <w:tmpl w:val="49E423A2"/>
    <w:lvl w:ilvl="0" w:tplc="04050013">
      <w:start w:val="1"/>
      <w:numFmt w:val="upperRoman"/>
      <w:lvlText w:val="%1."/>
      <w:lvlJc w:val="right"/>
      <w:pPr>
        <w:ind w:left="720" w:hanging="360"/>
      </w:pPr>
    </w:lvl>
    <w:lvl w:ilvl="1" w:tplc="49EAF8D0">
      <w:start w:val="4"/>
      <w:numFmt w:val="bullet"/>
      <w:lvlText w:val="-"/>
      <w:lvlJc w:val="left"/>
      <w:pPr>
        <w:ind w:left="1440" w:hanging="360"/>
      </w:pPr>
      <w:rPr>
        <w:rFonts w:ascii="Calibri" w:eastAsiaTheme="minorHAnsi" w:hAnsi="Calibri" w:cs="Calibri"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E895B25"/>
    <w:multiLevelType w:val="hybridMultilevel"/>
    <w:tmpl w:val="1FFEAA9E"/>
    <w:lvl w:ilvl="0" w:tplc="23DC32C6">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01535F5"/>
    <w:multiLevelType w:val="hybridMultilevel"/>
    <w:tmpl w:val="6CF8C5E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EEE25F1"/>
    <w:multiLevelType w:val="hybridMultilevel"/>
    <w:tmpl w:val="BA2A5ED6"/>
    <w:lvl w:ilvl="0" w:tplc="EBC44202">
      <w:start w:val="5"/>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B8E036E"/>
    <w:multiLevelType w:val="hybridMultilevel"/>
    <w:tmpl w:val="7B3057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8B0589D"/>
    <w:multiLevelType w:val="hybridMultilevel"/>
    <w:tmpl w:val="878C99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AA60C65"/>
    <w:multiLevelType w:val="hybridMultilevel"/>
    <w:tmpl w:val="6186AB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7"/>
  </w:num>
  <w:num w:numId="5">
    <w:abstractNumId w:val="4"/>
  </w:num>
  <w:num w:numId="6">
    <w:abstractNumId w:val="2"/>
  </w:num>
  <w:num w:numId="7">
    <w:abstractNumId w:val="3"/>
  </w:num>
  <w:num w:numId="8">
    <w:abstractNumId w:val="5"/>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AC6"/>
    <w:rsid w:val="00010D02"/>
    <w:rsid w:val="00017624"/>
    <w:rsid w:val="00017ED7"/>
    <w:rsid w:val="00027015"/>
    <w:rsid w:val="00027726"/>
    <w:rsid w:val="00027A9C"/>
    <w:rsid w:val="000837AB"/>
    <w:rsid w:val="00087B41"/>
    <w:rsid w:val="00093ED0"/>
    <w:rsid w:val="000A5961"/>
    <w:rsid w:val="000E2FCB"/>
    <w:rsid w:val="00101544"/>
    <w:rsid w:val="00136CB3"/>
    <w:rsid w:val="00166DD0"/>
    <w:rsid w:val="00170202"/>
    <w:rsid w:val="001D4400"/>
    <w:rsid w:val="001D5BA8"/>
    <w:rsid w:val="001E0996"/>
    <w:rsid w:val="001E5F24"/>
    <w:rsid w:val="00204156"/>
    <w:rsid w:val="00235D7C"/>
    <w:rsid w:val="00235F29"/>
    <w:rsid w:val="00240FF8"/>
    <w:rsid w:val="00243983"/>
    <w:rsid w:val="002A1102"/>
    <w:rsid w:val="002B6CF8"/>
    <w:rsid w:val="002C6753"/>
    <w:rsid w:val="0030697D"/>
    <w:rsid w:val="003417DC"/>
    <w:rsid w:val="003C6FBF"/>
    <w:rsid w:val="003D33F3"/>
    <w:rsid w:val="00410892"/>
    <w:rsid w:val="004301AB"/>
    <w:rsid w:val="00465060"/>
    <w:rsid w:val="004813BB"/>
    <w:rsid w:val="00483D50"/>
    <w:rsid w:val="00495271"/>
    <w:rsid w:val="004B5B7E"/>
    <w:rsid w:val="005175B0"/>
    <w:rsid w:val="00521B53"/>
    <w:rsid w:val="005225B4"/>
    <w:rsid w:val="00531610"/>
    <w:rsid w:val="00572960"/>
    <w:rsid w:val="005833EF"/>
    <w:rsid w:val="005C0D3D"/>
    <w:rsid w:val="005F2DB3"/>
    <w:rsid w:val="00617D46"/>
    <w:rsid w:val="00633C85"/>
    <w:rsid w:val="006D7E64"/>
    <w:rsid w:val="006E6EA5"/>
    <w:rsid w:val="006E7C26"/>
    <w:rsid w:val="006F0B8F"/>
    <w:rsid w:val="006F6E38"/>
    <w:rsid w:val="00701DC3"/>
    <w:rsid w:val="00732F11"/>
    <w:rsid w:val="00734500"/>
    <w:rsid w:val="00760FE5"/>
    <w:rsid w:val="007628EA"/>
    <w:rsid w:val="007A6AC6"/>
    <w:rsid w:val="007D011A"/>
    <w:rsid w:val="00804BB5"/>
    <w:rsid w:val="008136E9"/>
    <w:rsid w:val="00832D13"/>
    <w:rsid w:val="0083411A"/>
    <w:rsid w:val="008723BB"/>
    <w:rsid w:val="00876A25"/>
    <w:rsid w:val="00881BD0"/>
    <w:rsid w:val="008A67BB"/>
    <w:rsid w:val="008C58EB"/>
    <w:rsid w:val="008E3C49"/>
    <w:rsid w:val="008F27F6"/>
    <w:rsid w:val="008F51F2"/>
    <w:rsid w:val="00910A52"/>
    <w:rsid w:val="00931630"/>
    <w:rsid w:val="00954C5E"/>
    <w:rsid w:val="00A11AE5"/>
    <w:rsid w:val="00A463C9"/>
    <w:rsid w:val="00A81CEE"/>
    <w:rsid w:val="00AD46A7"/>
    <w:rsid w:val="00AE580C"/>
    <w:rsid w:val="00B37874"/>
    <w:rsid w:val="00B401FD"/>
    <w:rsid w:val="00B47EE0"/>
    <w:rsid w:val="00B8675F"/>
    <w:rsid w:val="00C034A3"/>
    <w:rsid w:val="00C20517"/>
    <w:rsid w:val="00C85DCB"/>
    <w:rsid w:val="00C86A10"/>
    <w:rsid w:val="00C87C69"/>
    <w:rsid w:val="00CA01A4"/>
    <w:rsid w:val="00CA1D9F"/>
    <w:rsid w:val="00CD58D7"/>
    <w:rsid w:val="00CF13ED"/>
    <w:rsid w:val="00CF52B2"/>
    <w:rsid w:val="00D233FC"/>
    <w:rsid w:val="00DA015E"/>
    <w:rsid w:val="00DA4A0D"/>
    <w:rsid w:val="00DB7741"/>
    <w:rsid w:val="00E06856"/>
    <w:rsid w:val="00E143A8"/>
    <w:rsid w:val="00E26196"/>
    <w:rsid w:val="00E444A5"/>
    <w:rsid w:val="00E47283"/>
    <w:rsid w:val="00E47984"/>
    <w:rsid w:val="00E51BE1"/>
    <w:rsid w:val="00E637F0"/>
    <w:rsid w:val="00E96904"/>
    <w:rsid w:val="00EB0CC7"/>
    <w:rsid w:val="00EC6153"/>
    <w:rsid w:val="00ED3F35"/>
    <w:rsid w:val="00EF556C"/>
    <w:rsid w:val="00F0474A"/>
    <w:rsid w:val="00F163EA"/>
    <w:rsid w:val="00F20022"/>
    <w:rsid w:val="00F27A8B"/>
    <w:rsid w:val="00F44EC5"/>
    <w:rsid w:val="00F74559"/>
    <w:rsid w:val="00F85FB9"/>
    <w:rsid w:val="00FA0A8A"/>
    <w:rsid w:val="00FA4E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E4C9"/>
  <w15:chartTrackingRefBased/>
  <w15:docId w15:val="{5C20FC91-751B-1E4A-BE27-3ABEDE7F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B5B7E"/>
    <w:pPr>
      <w:ind w:left="720"/>
      <w:contextualSpacing/>
    </w:pPr>
  </w:style>
  <w:style w:type="paragraph" w:styleId="Textpoznpodarou">
    <w:name w:val="footnote text"/>
    <w:basedOn w:val="Normln"/>
    <w:link w:val="TextpoznpodarouChar"/>
    <w:uiPriority w:val="99"/>
    <w:semiHidden/>
    <w:unhideWhenUsed/>
    <w:rsid w:val="004B5B7E"/>
    <w:rPr>
      <w:sz w:val="20"/>
      <w:szCs w:val="20"/>
    </w:rPr>
  </w:style>
  <w:style w:type="character" w:customStyle="1" w:styleId="TextpoznpodarouChar">
    <w:name w:val="Text pozn. pod čarou Char"/>
    <w:basedOn w:val="Standardnpsmoodstavce"/>
    <w:link w:val="Textpoznpodarou"/>
    <w:uiPriority w:val="99"/>
    <w:semiHidden/>
    <w:rsid w:val="004B5B7E"/>
    <w:rPr>
      <w:sz w:val="20"/>
      <w:szCs w:val="20"/>
    </w:rPr>
  </w:style>
  <w:style w:type="character" w:styleId="Znakapoznpodarou">
    <w:name w:val="footnote reference"/>
    <w:basedOn w:val="Standardnpsmoodstavce"/>
    <w:uiPriority w:val="99"/>
    <w:semiHidden/>
    <w:unhideWhenUsed/>
    <w:rsid w:val="004B5B7E"/>
    <w:rPr>
      <w:vertAlign w:val="superscript"/>
    </w:rPr>
  </w:style>
  <w:style w:type="character" w:styleId="Hypertextovodkaz">
    <w:name w:val="Hyperlink"/>
    <w:basedOn w:val="Standardnpsmoodstavce"/>
    <w:uiPriority w:val="99"/>
    <w:unhideWhenUsed/>
    <w:rsid w:val="00DA015E"/>
    <w:rPr>
      <w:color w:val="0563C1" w:themeColor="hyperlink"/>
      <w:u w:val="single"/>
    </w:rPr>
  </w:style>
  <w:style w:type="character" w:customStyle="1" w:styleId="Ulstomtale1">
    <w:name w:val="Uløst omtale1"/>
    <w:basedOn w:val="Standardnpsmoodstavce"/>
    <w:uiPriority w:val="99"/>
    <w:semiHidden/>
    <w:unhideWhenUsed/>
    <w:rsid w:val="00DA015E"/>
    <w:rPr>
      <w:color w:val="605E5C"/>
      <w:shd w:val="clear" w:color="auto" w:fill="E1DFDD"/>
    </w:rPr>
  </w:style>
  <w:style w:type="paragraph" w:styleId="Revize">
    <w:name w:val="Revision"/>
    <w:hidden/>
    <w:uiPriority w:val="99"/>
    <w:semiHidden/>
    <w:rsid w:val="003D33F3"/>
  </w:style>
  <w:style w:type="character" w:styleId="Odkaznakoment">
    <w:name w:val="annotation reference"/>
    <w:basedOn w:val="Standardnpsmoodstavce"/>
    <w:uiPriority w:val="99"/>
    <w:semiHidden/>
    <w:unhideWhenUsed/>
    <w:rsid w:val="00572960"/>
    <w:rPr>
      <w:sz w:val="16"/>
      <w:szCs w:val="16"/>
    </w:rPr>
  </w:style>
  <w:style w:type="paragraph" w:styleId="Textkomente">
    <w:name w:val="annotation text"/>
    <w:basedOn w:val="Normln"/>
    <w:link w:val="TextkomenteChar"/>
    <w:uiPriority w:val="99"/>
    <w:unhideWhenUsed/>
    <w:rsid w:val="00572960"/>
    <w:rPr>
      <w:sz w:val="20"/>
      <w:szCs w:val="20"/>
    </w:rPr>
  </w:style>
  <w:style w:type="character" w:customStyle="1" w:styleId="TextkomenteChar">
    <w:name w:val="Text komentáře Char"/>
    <w:basedOn w:val="Standardnpsmoodstavce"/>
    <w:link w:val="Textkomente"/>
    <w:uiPriority w:val="99"/>
    <w:rsid w:val="00572960"/>
    <w:rPr>
      <w:sz w:val="20"/>
      <w:szCs w:val="20"/>
    </w:rPr>
  </w:style>
  <w:style w:type="paragraph" w:styleId="Pedmtkomente">
    <w:name w:val="annotation subject"/>
    <w:basedOn w:val="Textkomente"/>
    <w:next w:val="Textkomente"/>
    <w:link w:val="PedmtkomenteChar"/>
    <w:uiPriority w:val="99"/>
    <w:semiHidden/>
    <w:unhideWhenUsed/>
    <w:rsid w:val="00572960"/>
    <w:rPr>
      <w:b/>
      <w:bCs/>
    </w:rPr>
  </w:style>
  <w:style w:type="character" w:customStyle="1" w:styleId="PedmtkomenteChar">
    <w:name w:val="Předmět komentáře Char"/>
    <w:basedOn w:val="TextkomenteChar"/>
    <w:link w:val="Pedmtkomente"/>
    <w:uiPriority w:val="99"/>
    <w:semiHidden/>
    <w:rsid w:val="00572960"/>
    <w:rPr>
      <w:b/>
      <w:bCs/>
      <w:sz w:val="20"/>
      <w:szCs w:val="20"/>
    </w:rPr>
  </w:style>
  <w:style w:type="character" w:styleId="Sledovanodkaz">
    <w:name w:val="FollowedHyperlink"/>
    <w:basedOn w:val="Standardnpsmoodstavce"/>
    <w:uiPriority w:val="99"/>
    <w:semiHidden/>
    <w:unhideWhenUsed/>
    <w:rsid w:val="00AD46A7"/>
    <w:rPr>
      <w:color w:val="954F72" w:themeColor="followedHyperlink"/>
      <w:u w:val="single"/>
    </w:rPr>
  </w:style>
  <w:style w:type="paragraph" w:styleId="Textbubliny">
    <w:name w:val="Balloon Text"/>
    <w:basedOn w:val="Normln"/>
    <w:link w:val="TextbublinyChar"/>
    <w:uiPriority w:val="99"/>
    <w:semiHidden/>
    <w:unhideWhenUsed/>
    <w:rsid w:val="00010D02"/>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0D02"/>
    <w:rPr>
      <w:rFonts w:ascii="Segoe UI" w:hAnsi="Segoe UI" w:cs="Segoe UI"/>
      <w:sz w:val="18"/>
      <w:szCs w:val="18"/>
    </w:rPr>
  </w:style>
  <w:style w:type="paragraph" w:styleId="Zhlav">
    <w:name w:val="header"/>
    <w:basedOn w:val="Normln"/>
    <w:link w:val="ZhlavChar"/>
    <w:uiPriority w:val="99"/>
    <w:unhideWhenUsed/>
    <w:rsid w:val="00A81CEE"/>
    <w:pPr>
      <w:tabs>
        <w:tab w:val="center" w:pos="4536"/>
        <w:tab w:val="right" w:pos="9072"/>
      </w:tabs>
    </w:pPr>
  </w:style>
  <w:style w:type="character" w:customStyle="1" w:styleId="ZhlavChar">
    <w:name w:val="Záhlaví Char"/>
    <w:basedOn w:val="Standardnpsmoodstavce"/>
    <w:link w:val="Zhlav"/>
    <w:uiPriority w:val="99"/>
    <w:rsid w:val="00A81CEE"/>
  </w:style>
  <w:style w:type="paragraph" w:styleId="Zpat">
    <w:name w:val="footer"/>
    <w:basedOn w:val="Normln"/>
    <w:link w:val="ZpatChar"/>
    <w:uiPriority w:val="99"/>
    <w:unhideWhenUsed/>
    <w:rsid w:val="00A81CEE"/>
    <w:pPr>
      <w:tabs>
        <w:tab w:val="center" w:pos="4536"/>
        <w:tab w:val="right" w:pos="9072"/>
      </w:tabs>
    </w:pPr>
  </w:style>
  <w:style w:type="character" w:customStyle="1" w:styleId="ZpatChar">
    <w:name w:val="Zápatí Char"/>
    <w:basedOn w:val="Standardnpsmoodstavce"/>
    <w:link w:val="Zpat"/>
    <w:uiPriority w:val="99"/>
    <w:rsid w:val="00A8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kriminace.netventic.net/logi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hri.no/en/recommendations/" TargetMode="External"/><Relationship Id="rId4" Type="http://schemas.openxmlformats.org/officeDocument/2006/relationships/settings" Target="settings.xml"/><Relationship Id="rId9" Type="http://schemas.openxmlformats.org/officeDocument/2006/relationships/hyperlink" Target="https://deti.ochrance.cz/media/umluva_o_pravech_ditete_web_pdf.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hchr.org/en/instruments-mechanisms/instruments/principles-relating-status-national-institutions-pari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E8B64-D827-4C51-AA0A-AF77771F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2322</Words>
  <Characters>13703</Characters>
  <Application>Microsoft Office Word</Application>
  <DocSecurity>4</DocSecurity>
  <Lines>114</Lines>
  <Paragraphs>31</Paragraphs>
  <ScaleCrop>false</ScaleCrop>
  <HeadingPairs>
    <vt:vector size="4" baseType="variant">
      <vt:variant>
        <vt:lpstr>Název</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Zapletal</dc:creator>
  <cp:keywords/>
  <dc:description/>
  <cp:lastModifiedBy>Bádrová Pavlína, Mgr.</cp:lastModifiedBy>
  <cp:revision>2</cp:revision>
  <dcterms:created xsi:type="dcterms:W3CDTF">2023-12-18T07:17:00Z</dcterms:created>
  <dcterms:modified xsi:type="dcterms:W3CDTF">2023-12-18T07:17:00Z</dcterms:modified>
</cp:coreProperties>
</file>