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ECBC7" w14:textId="77777777" w:rsidR="005821EA" w:rsidRDefault="00740F70" w:rsidP="005821EA">
      <w:pPr>
        <w:pStyle w:val="Nadpis1"/>
        <w:pageBreakBefore w:val="0"/>
        <w:spacing w:before="1800" w:beforeAutospacing="0"/>
      </w:pPr>
      <w:bookmarkStart w:id="0" w:name="_Toc81417267"/>
      <w:bookmarkStart w:id="1" w:name="_Toc81417418"/>
      <w:r>
        <w:t>Indikátory pro sledování plnění Úmluvy o právech osob se zdravotním postižením</w:t>
      </w:r>
      <w:bookmarkEnd w:id="0"/>
      <w:bookmarkEnd w:id="1"/>
    </w:p>
    <w:p w14:paraId="08FC5256" w14:textId="77777777" w:rsidR="005821EA" w:rsidRPr="002065EF" w:rsidRDefault="008B7E3C" w:rsidP="005821EA">
      <w:pPr>
        <w:pStyle w:val="Podnadpistitulnstrany"/>
      </w:pPr>
      <w:r>
        <w:t>Pracovní n</w:t>
      </w:r>
      <w:r w:rsidR="00F5720D">
        <w:t xml:space="preserve">ávrh zástupkyně </w:t>
      </w:r>
      <w:r w:rsidR="00167B79">
        <w:t>veřejného ochránce práv pro účely mezinárodního semináře (9. září 2021, Praha)</w:t>
      </w:r>
    </w:p>
    <w:p w14:paraId="52EF53D4" w14:textId="77777777" w:rsidR="00235864" w:rsidRDefault="00235864" w:rsidP="005821EA">
      <w:pPr>
        <w:tabs>
          <w:tab w:val="left" w:pos="2670"/>
        </w:tabs>
        <w:rPr>
          <w:rFonts w:eastAsia="Times New Roman" w:cs="Segoe UI"/>
          <w:szCs w:val="21"/>
        </w:rPr>
      </w:pPr>
    </w:p>
    <w:p w14:paraId="426FDAC3" w14:textId="77777777" w:rsidR="005821EA" w:rsidRDefault="005821EA" w:rsidP="005821EA">
      <w:pPr>
        <w:tabs>
          <w:tab w:val="left" w:pos="2670"/>
        </w:tabs>
        <w:rPr>
          <w:rFonts w:eastAsia="Times New Roman" w:cs="Segoe UI"/>
          <w:szCs w:val="21"/>
        </w:rPr>
      </w:pPr>
    </w:p>
    <w:p w14:paraId="3BE3B2CF" w14:textId="77777777" w:rsidR="001E2BB0" w:rsidRDefault="001E2BB0" w:rsidP="005821EA">
      <w:pPr>
        <w:tabs>
          <w:tab w:val="left" w:pos="2670"/>
        </w:tabs>
        <w:rPr>
          <w:rFonts w:eastAsia="Times New Roman" w:cs="Segoe UI"/>
          <w:szCs w:val="21"/>
        </w:rPr>
        <w:sectPr w:rsidR="001E2BB0" w:rsidSect="009345B3">
          <w:headerReference w:type="default" r:id="rId11"/>
          <w:footerReference w:type="default" r:id="rId12"/>
          <w:headerReference w:type="first" r:id="rId13"/>
          <w:footerReference w:type="first" r:id="rId14"/>
          <w:type w:val="continuous"/>
          <w:pgSz w:w="11907" w:h="16839" w:code="9"/>
          <w:pgMar w:top="993" w:right="1701" w:bottom="1440" w:left="1701" w:header="1304" w:footer="720" w:gutter="0"/>
          <w:cols w:space="720"/>
          <w:titlePg/>
          <w:docGrid w:linePitch="313"/>
        </w:sectPr>
      </w:pPr>
    </w:p>
    <w:p w14:paraId="294F8B5D" w14:textId="77777777" w:rsidR="005821EA" w:rsidRDefault="005821EA" w:rsidP="005821EA">
      <w:pPr>
        <w:tabs>
          <w:tab w:val="left" w:pos="2670"/>
        </w:tabs>
        <w:rPr>
          <w:rFonts w:eastAsia="Times New Roman" w:cs="Segoe UI"/>
          <w:szCs w:val="21"/>
        </w:rPr>
      </w:pPr>
    </w:p>
    <w:p w14:paraId="6BA2324B" w14:textId="77777777" w:rsidR="00F27AAC" w:rsidRDefault="00F27AAC" w:rsidP="00601DBD">
      <w:pPr>
        <w:pStyle w:val="Nadpis1"/>
        <w:tabs>
          <w:tab w:val="left" w:pos="3690"/>
          <w:tab w:val="right" w:pos="8505"/>
        </w:tabs>
      </w:pPr>
      <w:bookmarkStart w:id="2" w:name="_Toc528165594"/>
      <w:bookmarkStart w:id="3" w:name="_Toc528165979"/>
      <w:bookmarkStart w:id="4" w:name="_Toc528166232"/>
      <w:bookmarkStart w:id="5" w:name="_Toc528166536"/>
      <w:bookmarkStart w:id="6" w:name="_Toc47691860"/>
      <w:bookmarkStart w:id="7" w:name="_Toc81417268"/>
      <w:bookmarkStart w:id="8" w:name="_Toc81417419"/>
      <w:bookmarkStart w:id="9" w:name="_Toc425443042"/>
      <w:bookmarkStart w:id="10" w:name="_Toc424816560"/>
      <w:bookmarkStart w:id="11" w:name="_Toc424816435"/>
      <w:bookmarkStart w:id="12" w:name="_Toc424815518"/>
      <w:bookmarkStart w:id="13" w:name="_Toc421814048"/>
      <w:r>
        <w:lastRenderedPageBreak/>
        <w:t>Obsah</w:t>
      </w:r>
      <w:bookmarkEnd w:id="2"/>
      <w:bookmarkEnd w:id="3"/>
      <w:bookmarkEnd w:id="4"/>
      <w:bookmarkEnd w:id="5"/>
      <w:bookmarkEnd w:id="6"/>
      <w:bookmarkEnd w:id="7"/>
      <w:bookmarkEnd w:id="8"/>
      <w:r w:rsidR="0041448E">
        <w:tab/>
      </w:r>
      <w:r w:rsidR="00601DBD">
        <w:tab/>
      </w:r>
    </w:p>
    <w:p w14:paraId="48705A56" w14:textId="77777777" w:rsidR="00601DBD" w:rsidRDefault="00792115" w:rsidP="00601DBD">
      <w:pPr>
        <w:pStyle w:val="Obsah1"/>
        <w:tabs>
          <w:tab w:val="right" w:leader="dot" w:pos="8495"/>
        </w:tabs>
        <w:rPr>
          <w:rFonts w:asciiTheme="minorHAnsi" w:eastAsiaTheme="minorEastAsia" w:hAnsiTheme="minorHAnsi"/>
          <w:noProof/>
          <w:sz w:val="22"/>
          <w:szCs w:val="22"/>
          <w:lang w:eastAsia="cs-CZ"/>
        </w:rPr>
      </w:pPr>
      <w:r>
        <w:fldChar w:fldCharType="begin"/>
      </w:r>
      <w:r>
        <w:instrText xml:space="preserve"> TOC \o "1-3" \h \z \u </w:instrText>
      </w:r>
      <w:r>
        <w:fldChar w:fldCharType="separate"/>
      </w:r>
    </w:p>
    <w:p w14:paraId="19466F15" w14:textId="77777777" w:rsidR="00601DBD" w:rsidRDefault="00601DBD">
      <w:pPr>
        <w:pStyle w:val="Obsah1"/>
        <w:tabs>
          <w:tab w:val="right" w:leader="dot" w:pos="8495"/>
        </w:tabs>
        <w:rPr>
          <w:rFonts w:asciiTheme="minorHAnsi" w:eastAsiaTheme="minorEastAsia" w:hAnsiTheme="minorHAnsi"/>
          <w:noProof/>
          <w:sz w:val="22"/>
          <w:szCs w:val="22"/>
          <w:lang w:eastAsia="cs-CZ"/>
        </w:rPr>
      </w:pPr>
    </w:p>
    <w:p w14:paraId="3E204A4D" w14:textId="77777777" w:rsidR="00601DBD" w:rsidRDefault="009D7D58">
      <w:pPr>
        <w:pStyle w:val="Obsah1"/>
        <w:tabs>
          <w:tab w:val="right" w:leader="dot" w:pos="8495"/>
        </w:tabs>
        <w:rPr>
          <w:rFonts w:asciiTheme="minorHAnsi" w:eastAsiaTheme="minorEastAsia" w:hAnsiTheme="minorHAnsi"/>
          <w:noProof/>
          <w:sz w:val="22"/>
          <w:szCs w:val="22"/>
          <w:lang w:eastAsia="cs-CZ"/>
        </w:rPr>
      </w:pPr>
      <w:hyperlink w:anchor="_Toc81417420" w:history="1">
        <w:r w:rsidR="00601DBD" w:rsidRPr="00B01E3C">
          <w:rPr>
            <w:rStyle w:val="Hypertextovodkaz"/>
            <w:noProof/>
          </w:rPr>
          <w:t>čl. 5 Úmluvy (rovnost a nediskriminace)</w:t>
        </w:r>
        <w:r w:rsidR="00601DBD">
          <w:rPr>
            <w:noProof/>
            <w:webHidden/>
          </w:rPr>
          <w:tab/>
        </w:r>
        <w:r w:rsidR="00601DBD">
          <w:rPr>
            <w:noProof/>
            <w:webHidden/>
          </w:rPr>
          <w:fldChar w:fldCharType="begin"/>
        </w:r>
        <w:r w:rsidR="00601DBD">
          <w:rPr>
            <w:noProof/>
            <w:webHidden/>
          </w:rPr>
          <w:instrText xml:space="preserve"> PAGEREF _Toc81417420 \h </w:instrText>
        </w:r>
        <w:r w:rsidR="00601DBD">
          <w:rPr>
            <w:noProof/>
            <w:webHidden/>
          </w:rPr>
        </w:r>
        <w:r w:rsidR="00601DBD">
          <w:rPr>
            <w:noProof/>
            <w:webHidden/>
          </w:rPr>
          <w:fldChar w:fldCharType="separate"/>
        </w:r>
        <w:r w:rsidR="00601DBD">
          <w:rPr>
            <w:noProof/>
            <w:webHidden/>
          </w:rPr>
          <w:t>4</w:t>
        </w:r>
        <w:r w:rsidR="00601DBD">
          <w:rPr>
            <w:noProof/>
            <w:webHidden/>
          </w:rPr>
          <w:fldChar w:fldCharType="end"/>
        </w:r>
      </w:hyperlink>
    </w:p>
    <w:p w14:paraId="77CF455C" w14:textId="77777777" w:rsidR="00601DBD" w:rsidRDefault="009D7D58">
      <w:pPr>
        <w:pStyle w:val="Obsah2"/>
        <w:rPr>
          <w:rFonts w:asciiTheme="minorHAnsi" w:eastAsiaTheme="minorEastAsia" w:hAnsiTheme="minorHAnsi"/>
          <w:sz w:val="22"/>
          <w:szCs w:val="22"/>
          <w:lang w:eastAsia="cs-CZ"/>
        </w:rPr>
      </w:pPr>
      <w:hyperlink w:anchor="_Toc81417421" w:history="1">
        <w:r w:rsidR="00601DBD" w:rsidRPr="00B01E3C">
          <w:rPr>
            <w:rStyle w:val="Hypertextovodkaz"/>
            <w:bCs/>
          </w:rPr>
          <w:t>1.</w:t>
        </w:r>
        <w:r w:rsidR="00601DBD">
          <w:rPr>
            <w:rFonts w:asciiTheme="minorHAnsi" w:eastAsiaTheme="minorEastAsia" w:hAnsiTheme="minorHAnsi"/>
            <w:sz w:val="22"/>
            <w:szCs w:val="22"/>
            <w:lang w:eastAsia="cs-CZ"/>
          </w:rPr>
          <w:tab/>
        </w:r>
        <w:r w:rsidR="00601DBD" w:rsidRPr="00B01E3C">
          <w:rPr>
            <w:rStyle w:val="Hypertextovodkaz"/>
            <w:bCs/>
          </w:rPr>
          <w:t>5 indikátorů pro sledování plnění čl. 5 Úmluvy</w:t>
        </w:r>
        <w:r w:rsidR="00601DBD">
          <w:rPr>
            <w:webHidden/>
          </w:rPr>
          <w:tab/>
        </w:r>
        <w:r w:rsidR="00601DBD">
          <w:rPr>
            <w:webHidden/>
          </w:rPr>
          <w:fldChar w:fldCharType="begin"/>
        </w:r>
        <w:r w:rsidR="00601DBD">
          <w:rPr>
            <w:webHidden/>
          </w:rPr>
          <w:instrText xml:space="preserve"> PAGEREF _Toc81417421 \h </w:instrText>
        </w:r>
        <w:r w:rsidR="00601DBD">
          <w:rPr>
            <w:webHidden/>
          </w:rPr>
        </w:r>
        <w:r w:rsidR="00601DBD">
          <w:rPr>
            <w:webHidden/>
          </w:rPr>
          <w:fldChar w:fldCharType="separate"/>
        </w:r>
        <w:r w:rsidR="00601DBD">
          <w:rPr>
            <w:webHidden/>
          </w:rPr>
          <w:t>4</w:t>
        </w:r>
        <w:r w:rsidR="00601DBD">
          <w:rPr>
            <w:webHidden/>
          </w:rPr>
          <w:fldChar w:fldCharType="end"/>
        </w:r>
      </w:hyperlink>
    </w:p>
    <w:p w14:paraId="65A4CF02" w14:textId="77777777" w:rsidR="00601DBD" w:rsidRDefault="009D7D58">
      <w:pPr>
        <w:pStyle w:val="Obsah3"/>
        <w:rPr>
          <w:rFonts w:asciiTheme="minorHAnsi" w:eastAsiaTheme="minorEastAsia" w:hAnsiTheme="minorHAnsi"/>
          <w:sz w:val="22"/>
          <w:szCs w:val="22"/>
          <w:lang w:eastAsia="cs-CZ"/>
        </w:rPr>
      </w:pPr>
      <w:hyperlink w:anchor="_Toc81417422" w:history="1">
        <w:r w:rsidR="00601DBD" w:rsidRPr="00B01E3C">
          <w:rPr>
            <w:rStyle w:val="Hypertextovodkaz"/>
          </w:rPr>
          <w:t>1.1</w:t>
        </w:r>
        <w:r w:rsidR="00601DBD">
          <w:rPr>
            <w:rFonts w:asciiTheme="minorHAnsi" w:eastAsiaTheme="minorEastAsia" w:hAnsiTheme="minorHAnsi"/>
            <w:sz w:val="22"/>
            <w:szCs w:val="22"/>
            <w:lang w:eastAsia="cs-CZ"/>
          </w:rPr>
          <w:tab/>
        </w:r>
        <w:r w:rsidR="00601DBD" w:rsidRPr="00B01E3C">
          <w:rPr>
            <w:rStyle w:val="Hypertextovodkaz"/>
          </w:rPr>
          <w:t>Existence adekvátní právní úpravy zakazující diskriminaci na základě postižení</w:t>
        </w:r>
        <w:r w:rsidR="00601DBD">
          <w:rPr>
            <w:webHidden/>
          </w:rPr>
          <w:tab/>
        </w:r>
        <w:r w:rsidR="00601DBD">
          <w:rPr>
            <w:webHidden/>
          </w:rPr>
          <w:fldChar w:fldCharType="begin"/>
        </w:r>
        <w:r w:rsidR="00601DBD">
          <w:rPr>
            <w:webHidden/>
          </w:rPr>
          <w:instrText xml:space="preserve"> PAGEREF _Toc81417422 \h </w:instrText>
        </w:r>
        <w:r w:rsidR="00601DBD">
          <w:rPr>
            <w:webHidden/>
          </w:rPr>
        </w:r>
        <w:r w:rsidR="00601DBD">
          <w:rPr>
            <w:webHidden/>
          </w:rPr>
          <w:fldChar w:fldCharType="separate"/>
        </w:r>
        <w:r w:rsidR="00601DBD">
          <w:rPr>
            <w:webHidden/>
          </w:rPr>
          <w:t>5</w:t>
        </w:r>
        <w:r w:rsidR="00601DBD">
          <w:rPr>
            <w:webHidden/>
          </w:rPr>
          <w:fldChar w:fldCharType="end"/>
        </w:r>
      </w:hyperlink>
    </w:p>
    <w:p w14:paraId="7EA671D7" w14:textId="77777777" w:rsidR="00601DBD" w:rsidRDefault="009D7D58">
      <w:pPr>
        <w:pStyle w:val="Obsah3"/>
        <w:rPr>
          <w:rFonts w:asciiTheme="minorHAnsi" w:eastAsiaTheme="minorEastAsia" w:hAnsiTheme="minorHAnsi"/>
          <w:sz w:val="22"/>
          <w:szCs w:val="22"/>
          <w:lang w:eastAsia="cs-CZ"/>
        </w:rPr>
      </w:pPr>
      <w:hyperlink w:anchor="_Toc81417423" w:history="1">
        <w:r w:rsidR="00601DBD" w:rsidRPr="00B01E3C">
          <w:rPr>
            <w:rStyle w:val="Hypertextovodkaz"/>
          </w:rPr>
          <w:t>1.2</w:t>
        </w:r>
        <w:r w:rsidR="00601DBD">
          <w:rPr>
            <w:rFonts w:asciiTheme="minorHAnsi" w:eastAsiaTheme="minorEastAsia" w:hAnsiTheme="minorHAnsi"/>
            <w:sz w:val="22"/>
            <w:szCs w:val="22"/>
            <w:lang w:eastAsia="cs-CZ"/>
          </w:rPr>
          <w:tab/>
        </w:r>
        <w:r w:rsidR="00601DBD" w:rsidRPr="00B01E3C">
          <w:rPr>
            <w:rStyle w:val="Hypertextovodkaz"/>
          </w:rPr>
          <w:t>Provádění ambiciózní vládní strategie týkající se rovnosti lidí s postižením</w:t>
        </w:r>
        <w:r w:rsidR="00601DBD">
          <w:rPr>
            <w:webHidden/>
          </w:rPr>
          <w:tab/>
        </w:r>
        <w:r w:rsidR="00601DBD">
          <w:rPr>
            <w:webHidden/>
          </w:rPr>
          <w:fldChar w:fldCharType="begin"/>
        </w:r>
        <w:r w:rsidR="00601DBD">
          <w:rPr>
            <w:webHidden/>
          </w:rPr>
          <w:instrText xml:space="preserve"> PAGEREF _Toc81417423 \h </w:instrText>
        </w:r>
        <w:r w:rsidR="00601DBD">
          <w:rPr>
            <w:webHidden/>
          </w:rPr>
        </w:r>
        <w:r w:rsidR="00601DBD">
          <w:rPr>
            <w:webHidden/>
          </w:rPr>
          <w:fldChar w:fldCharType="separate"/>
        </w:r>
        <w:r w:rsidR="00601DBD">
          <w:rPr>
            <w:webHidden/>
          </w:rPr>
          <w:t>6</w:t>
        </w:r>
        <w:r w:rsidR="00601DBD">
          <w:rPr>
            <w:webHidden/>
          </w:rPr>
          <w:fldChar w:fldCharType="end"/>
        </w:r>
      </w:hyperlink>
    </w:p>
    <w:p w14:paraId="526A3772" w14:textId="77777777" w:rsidR="00601DBD" w:rsidRDefault="009D7D58">
      <w:pPr>
        <w:pStyle w:val="Obsah3"/>
        <w:rPr>
          <w:rFonts w:asciiTheme="minorHAnsi" w:eastAsiaTheme="minorEastAsia" w:hAnsiTheme="minorHAnsi"/>
          <w:sz w:val="22"/>
          <w:szCs w:val="22"/>
          <w:lang w:eastAsia="cs-CZ"/>
        </w:rPr>
      </w:pPr>
      <w:hyperlink w:anchor="_Toc81417424" w:history="1">
        <w:r w:rsidR="00601DBD" w:rsidRPr="00B01E3C">
          <w:rPr>
            <w:rStyle w:val="Hypertextovodkaz"/>
          </w:rPr>
          <w:t>1.3</w:t>
        </w:r>
        <w:r w:rsidR="00601DBD">
          <w:rPr>
            <w:rFonts w:asciiTheme="minorHAnsi" w:eastAsiaTheme="minorEastAsia" w:hAnsiTheme="minorHAnsi"/>
            <w:sz w:val="22"/>
            <w:szCs w:val="22"/>
            <w:lang w:eastAsia="cs-CZ"/>
          </w:rPr>
          <w:tab/>
        </w:r>
        <w:r w:rsidR="00601DBD" w:rsidRPr="00B01E3C">
          <w:rPr>
            <w:rStyle w:val="Hypertextovodkaz"/>
          </w:rPr>
          <w:t>Vnímání diskriminace obecnou populací a osobní zkušenost s diskriminací z důvodu postižení</w:t>
        </w:r>
        <w:r w:rsidR="00601DBD">
          <w:rPr>
            <w:webHidden/>
          </w:rPr>
          <w:tab/>
        </w:r>
        <w:r w:rsidR="00601DBD">
          <w:rPr>
            <w:webHidden/>
          </w:rPr>
          <w:fldChar w:fldCharType="begin"/>
        </w:r>
        <w:r w:rsidR="00601DBD">
          <w:rPr>
            <w:webHidden/>
          </w:rPr>
          <w:instrText xml:space="preserve"> PAGEREF _Toc81417424 \h </w:instrText>
        </w:r>
        <w:r w:rsidR="00601DBD">
          <w:rPr>
            <w:webHidden/>
          </w:rPr>
        </w:r>
        <w:r w:rsidR="00601DBD">
          <w:rPr>
            <w:webHidden/>
          </w:rPr>
          <w:fldChar w:fldCharType="separate"/>
        </w:r>
        <w:r w:rsidR="00601DBD">
          <w:rPr>
            <w:webHidden/>
          </w:rPr>
          <w:t>7</w:t>
        </w:r>
        <w:r w:rsidR="00601DBD">
          <w:rPr>
            <w:webHidden/>
          </w:rPr>
          <w:fldChar w:fldCharType="end"/>
        </w:r>
      </w:hyperlink>
    </w:p>
    <w:p w14:paraId="4FDDF172" w14:textId="77777777" w:rsidR="00601DBD" w:rsidRDefault="009D7D58">
      <w:pPr>
        <w:pStyle w:val="Obsah3"/>
        <w:rPr>
          <w:rFonts w:asciiTheme="minorHAnsi" w:eastAsiaTheme="minorEastAsia" w:hAnsiTheme="minorHAnsi"/>
          <w:sz w:val="22"/>
          <w:szCs w:val="22"/>
          <w:lang w:eastAsia="cs-CZ"/>
        </w:rPr>
      </w:pPr>
      <w:hyperlink w:anchor="_Toc81417425" w:history="1">
        <w:r w:rsidR="00601DBD" w:rsidRPr="00B01E3C">
          <w:rPr>
            <w:rStyle w:val="Hypertextovodkaz"/>
          </w:rPr>
          <w:t>1.4</w:t>
        </w:r>
        <w:r w:rsidR="00601DBD">
          <w:rPr>
            <w:rFonts w:asciiTheme="minorHAnsi" w:eastAsiaTheme="minorEastAsia" w:hAnsiTheme="minorHAnsi"/>
            <w:sz w:val="22"/>
            <w:szCs w:val="22"/>
            <w:lang w:eastAsia="cs-CZ"/>
          </w:rPr>
          <w:tab/>
        </w:r>
        <w:r w:rsidR="00601DBD" w:rsidRPr="00B01E3C">
          <w:rPr>
            <w:rStyle w:val="Hypertextovodkaz"/>
          </w:rPr>
          <w:t>Počet podnětů na diskriminaci z důvodu postižení (veřejný ochránce práv, vybrané správní orgány)</w:t>
        </w:r>
        <w:r w:rsidR="00601DBD">
          <w:rPr>
            <w:webHidden/>
          </w:rPr>
          <w:tab/>
        </w:r>
        <w:r w:rsidR="00601DBD">
          <w:rPr>
            <w:webHidden/>
          </w:rPr>
          <w:fldChar w:fldCharType="begin"/>
        </w:r>
        <w:r w:rsidR="00601DBD">
          <w:rPr>
            <w:webHidden/>
          </w:rPr>
          <w:instrText xml:space="preserve"> PAGEREF _Toc81417425 \h </w:instrText>
        </w:r>
        <w:r w:rsidR="00601DBD">
          <w:rPr>
            <w:webHidden/>
          </w:rPr>
        </w:r>
        <w:r w:rsidR="00601DBD">
          <w:rPr>
            <w:webHidden/>
          </w:rPr>
          <w:fldChar w:fldCharType="separate"/>
        </w:r>
        <w:r w:rsidR="00601DBD">
          <w:rPr>
            <w:webHidden/>
          </w:rPr>
          <w:t>9</w:t>
        </w:r>
        <w:r w:rsidR="00601DBD">
          <w:rPr>
            <w:webHidden/>
          </w:rPr>
          <w:fldChar w:fldCharType="end"/>
        </w:r>
      </w:hyperlink>
    </w:p>
    <w:p w14:paraId="108484E0" w14:textId="77777777" w:rsidR="00601DBD" w:rsidRDefault="009D7D58">
      <w:pPr>
        <w:pStyle w:val="Obsah3"/>
        <w:rPr>
          <w:rFonts w:asciiTheme="minorHAnsi" w:eastAsiaTheme="minorEastAsia" w:hAnsiTheme="minorHAnsi"/>
          <w:sz w:val="22"/>
          <w:szCs w:val="22"/>
          <w:lang w:eastAsia="cs-CZ"/>
        </w:rPr>
      </w:pPr>
      <w:hyperlink w:anchor="_Toc81417426" w:history="1">
        <w:r w:rsidR="00601DBD" w:rsidRPr="00B01E3C">
          <w:rPr>
            <w:rStyle w:val="Hypertextovodkaz"/>
          </w:rPr>
          <w:t>1.5</w:t>
        </w:r>
        <w:r w:rsidR="00601DBD">
          <w:rPr>
            <w:rFonts w:asciiTheme="minorHAnsi" w:eastAsiaTheme="minorEastAsia" w:hAnsiTheme="minorHAnsi"/>
            <w:sz w:val="22"/>
            <w:szCs w:val="22"/>
            <w:lang w:eastAsia="cs-CZ"/>
          </w:rPr>
          <w:tab/>
        </w:r>
        <w:r w:rsidR="00601DBD" w:rsidRPr="00B01E3C">
          <w:rPr>
            <w:rStyle w:val="Hypertextovodkaz"/>
          </w:rPr>
          <w:t>Počet podaných soudních žalob na diskriminaci z důvodu postižení</w:t>
        </w:r>
        <w:r w:rsidR="00601DBD">
          <w:rPr>
            <w:webHidden/>
          </w:rPr>
          <w:tab/>
        </w:r>
        <w:r w:rsidR="00601DBD">
          <w:rPr>
            <w:webHidden/>
          </w:rPr>
          <w:fldChar w:fldCharType="begin"/>
        </w:r>
        <w:r w:rsidR="00601DBD">
          <w:rPr>
            <w:webHidden/>
          </w:rPr>
          <w:instrText xml:space="preserve"> PAGEREF _Toc81417426 \h </w:instrText>
        </w:r>
        <w:r w:rsidR="00601DBD">
          <w:rPr>
            <w:webHidden/>
          </w:rPr>
        </w:r>
        <w:r w:rsidR="00601DBD">
          <w:rPr>
            <w:webHidden/>
          </w:rPr>
          <w:fldChar w:fldCharType="separate"/>
        </w:r>
        <w:r w:rsidR="00601DBD">
          <w:rPr>
            <w:webHidden/>
          </w:rPr>
          <w:t>10</w:t>
        </w:r>
        <w:r w:rsidR="00601DBD">
          <w:rPr>
            <w:webHidden/>
          </w:rPr>
          <w:fldChar w:fldCharType="end"/>
        </w:r>
      </w:hyperlink>
    </w:p>
    <w:p w14:paraId="46EA2C6A" w14:textId="77777777" w:rsidR="00601DBD" w:rsidRDefault="009D7D58">
      <w:pPr>
        <w:pStyle w:val="Obsah1"/>
        <w:tabs>
          <w:tab w:val="right" w:leader="dot" w:pos="8495"/>
        </w:tabs>
        <w:rPr>
          <w:rFonts w:asciiTheme="minorHAnsi" w:eastAsiaTheme="minorEastAsia" w:hAnsiTheme="minorHAnsi"/>
          <w:noProof/>
          <w:sz w:val="22"/>
          <w:szCs w:val="22"/>
          <w:lang w:eastAsia="cs-CZ"/>
        </w:rPr>
      </w:pPr>
      <w:hyperlink w:anchor="_Toc81417427" w:history="1">
        <w:r w:rsidR="00601DBD" w:rsidRPr="00B01E3C">
          <w:rPr>
            <w:rStyle w:val="Hypertextovodkaz"/>
            <w:noProof/>
          </w:rPr>
          <w:t>čl. 12 Úmluvy (rovnost před zákonem)</w:t>
        </w:r>
        <w:r w:rsidR="00601DBD">
          <w:rPr>
            <w:noProof/>
            <w:webHidden/>
          </w:rPr>
          <w:tab/>
        </w:r>
        <w:r w:rsidR="00601DBD">
          <w:rPr>
            <w:noProof/>
            <w:webHidden/>
          </w:rPr>
          <w:fldChar w:fldCharType="begin"/>
        </w:r>
        <w:r w:rsidR="00601DBD">
          <w:rPr>
            <w:noProof/>
            <w:webHidden/>
          </w:rPr>
          <w:instrText xml:space="preserve"> PAGEREF _Toc81417427 \h </w:instrText>
        </w:r>
        <w:r w:rsidR="00601DBD">
          <w:rPr>
            <w:noProof/>
            <w:webHidden/>
          </w:rPr>
        </w:r>
        <w:r w:rsidR="00601DBD">
          <w:rPr>
            <w:noProof/>
            <w:webHidden/>
          </w:rPr>
          <w:fldChar w:fldCharType="separate"/>
        </w:r>
        <w:r w:rsidR="00601DBD">
          <w:rPr>
            <w:noProof/>
            <w:webHidden/>
          </w:rPr>
          <w:t>11</w:t>
        </w:r>
        <w:r w:rsidR="00601DBD">
          <w:rPr>
            <w:noProof/>
            <w:webHidden/>
          </w:rPr>
          <w:fldChar w:fldCharType="end"/>
        </w:r>
      </w:hyperlink>
    </w:p>
    <w:p w14:paraId="20B6AA56" w14:textId="77777777" w:rsidR="00601DBD" w:rsidRDefault="009D7D58">
      <w:pPr>
        <w:pStyle w:val="Obsah2"/>
        <w:rPr>
          <w:rFonts w:asciiTheme="minorHAnsi" w:eastAsiaTheme="minorEastAsia" w:hAnsiTheme="minorHAnsi"/>
          <w:sz w:val="22"/>
          <w:szCs w:val="22"/>
          <w:lang w:eastAsia="cs-CZ"/>
        </w:rPr>
      </w:pPr>
      <w:hyperlink w:anchor="_Toc81417428" w:history="1">
        <w:r w:rsidR="00601DBD" w:rsidRPr="00B01E3C">
          <w:rPr>
            <w:rStyle w:val="Hypertextovodkaz"/>
            <w:bCs/>
          </w:rPr>
          <w:t>2.</w:t>
        </w:r>
        <w:r w:rsidR="00601DBD">
          <w:rPr>
            <w:rFonts w:asciiTheme="minorHAnsi" w:eastAsiaTheme="minorEastAsia" w:hAnsiTheme="minorHAnsi"/>
            <w:sz w:val="22"/>
            <w:szCs w:val="22"/>
            <w:lang w:eastAsia="cs-CZ"/>
          </w:rPr>
          <w:tab/>
        </w:r>
        <w:r w:rsidR="00601DBD" w:rsidRPr="00B01E3C">
          <w:rPr>
            <w:rStyle w:val="Hypertextovodkaz"/>
            <w:bCs/>
          </w:rPr>
          <w:t>5 indikátorů pro sledování plnění čl. 12 Úmluvy</w:t>
        </w:r>
        <w:r w:rsidR="00601DBD">
          <w:rPr>
            <w:webHidden/>
          </w:rPr>
          <w:tab/>
        </w:r>
        <w:r w:rsidR="00601DBD">
          <w:rPr>
            <w:webHidden/>
          </w:rPr>
          <w:fldChar w:fldCharType="begin"/>
        </w:r>
        <w:r w:rsidR="00601DBD">
          <w:rPr>
            <w:webHidden/>
          </w:rPr>
          <w:instrText xml:space="preserve"> PAGEREF _Toc81417428 \h </w:instrText>
        </w:r>
        <w:r w:rsidR="00601DBD">
          <w:rPr>
            <w:webHidden/>
          </w:rPr>
        </w:r>
        <w:r w:rsidR="00601DBD">
          <w:rPr>
            <w:webHidden/>
          </w:rPr>
          <w:fldChar w:fldCharType="separate"/>
        </w:r>
        <w:r w:rsidR="00601DBD">
          <w:rPr>
            <w:webHidden/>
          </w:rPr>
          <w:t>11</w:t>
        </w:r>
        <w:r w:rsidR="00601DBD">
          <w:rPr>
            <w:webHidden/>
          </w:rPr>
          <w:fldChar w:fldCharType="end"/>
        </w:r>
      </w:hyperlink>
    </w:p>
    <w:p w14:paraId="1AB17831" w14:textId="77777777" w:rsidR="00601DBD" w:rsidRDefault="009D7D58">
      <w:pPr>
        <w:pStyle w:val="Obsah3"/>
        <w:rPr>
          <w:rFonts w:asciiTheme="minorHAnsi" w:eastAsiaTheme="minorEastAsia" w:hAnsiTheme="minorHAnsi"/>
          <w:sz w:val="22"/>
          <w:szCs w:val="22"/>
          <w:lang w:eastAsia="cs-CZ"/>
        </w:rPr>
      </w:pPr>
      <w:hyperlink w:anchor="_Toc81417429" w:history="1">
        <w:r w:rsidR="00601DBD" w:rsidRPr="00B01E3C">
          <w:rPr>
            <w:rStyle w:val="Hypertextovodkaz"/>
          </w:rPr>
          <w:t>2.1</w:t>
        </w:r>
        <w:r w:rsidR="00601DBD">
          <w:rPr>
            <w:rFonts w:asciiTheme="minorHAnsi" w:eastAsiaTheme="minorEastAsia" w:hAnsiTheme="minorHAnsi"/>
            <w:sz w:val="22"/>
            <w:szCs w:val="22"/>
            <w:lang w:eastAsia="cs-CZ"/>
          </w:rPr>
          <w:tab/>
        </w:r>
        <w:r w:rsidR="00601DBD" w:rsidRPr="00B01E3C">
          <w:rPr>
            <w:rStyle w:val="Hypertextovodkaz"/>
          </w:rPr>
          <w:t>Vláda schválila a provádí plán přechodu od náhradního k podporovanému rozhodování</w:t>
        </w:r>
        <w:r w:rsidR="00601DBD">
          <w:rPr>
            <w:webHidden/>
          </w:rPr>
          <w:tab/>
        </w:r>
        <w:r w:rsidR="00601DBD">
          <w:rPr>
            <w:webHidden/>
          </w:rPr>
          <w:fldChar w:fldCharType="begin"/>
        </w:r>
        <w:r w:rsidR="00601DBD">
          <w:rPr>
            <w:webHidden/>
          </w:rPr>
          <w:instrText xml:space="preserve"> PAGEREF _Toc81417429 \h </w:instrText>
        </w:r>
        <w:r w:rsidR="00601DBD">
          <w:rPr>
            <w:webHidden/>
          </w:rPr>
        </w:r>
        <w:r w:rsidR="00601DBD">
          <w:rPr>
            <w:webHidden/>
          </w:rPr>
          <w:fldChar w:fldCharType="separate"/>
        </w:r>
        <w:r w:rsidR="00601DBD">
          <w:rPr>
            <w:webHidden/>
          </w:rPr>
          <w:t>12</w:t>
        </w:r>
        <w:r w:rsidR="00601DBD">
          <w:rPr>
            <w:webHidden/>
          </w:rPr>
          <w:fldChar w:fldCharType="end"/>
        </w:r>
      </w:hyperlink>
    </w:p>
    <w:p w14:paraId="255CA633" w14:textId="77777777" w:rsidR="00601DBD" w:rsidRDefault="009D7D58">
      <w:pPr>
        <w:pStyle w:val="Obsah3"/>
        <w:rPr>
          <w:rFonts w:asciiTheme="minorHAnsi" w:eastAsiaTheme="minorEastAsia" w:hAnsiTheme="minorHAnsi"/>
          <w:sz w:val="22"/>
          <w:szCs w:val="22"/>
          <w:lang w:eastAsia="cs-CZ"/>
        </w:rPr>
      </w:pPr>
      <w:hyperlink w:anchor="_Toc81417430" w:history="1">
        <w:r w:rsidR="00601DBD" w:rsidRPr="00B01E3C">
          <w:rPr>
            <w:rStyle w:val="Hypertextovodkaz"/>
          </w:rPr>
          <w:t>2.2</w:t>
        </w:r>
        <w:r w:rsidR="00601DBD">
          <w:rPr>
            <w:rFonts w:asciiTheme="minorHAnsi" w:eastAsiaTheme="minorEastAsia" w:hAnsiTheme="minorHAnsi"/>
            <w:sz w:val="22"/>
            <w:szCs w:val="22"/>
            <w:lang w:eastAsia="cs-CZ"/>
          </w:rPr>
          <w:tab/>
        </w:r>
        <w:r w:rsidR="00601DBD" w:rsidRPr="00B01E3C">
          <w:rPr>
            <w:rStyle w:val="Hypertextovodkaz"/>
          </w:rPr>
          <w:t>Omezení svéprávnosti nevede k zásahu do základních práv</w:t>
        </w:r>
        <w:r w:rsidR="00601DBD">
          <w:rPr>
            <w:webHidden/>
          </w:rPr>
          <w:tab/>
        </w:r>
        <w:r w:rsidR="00601DBD">
          <w:rPr>
            <w:webHidden/>
          </w:rPr>
          <w:fldChar w:fldCharType="begin"/>
        </w:r>
        <w:r w:rsidR="00601DBD">
          <w:rPr>
            <w:webHidden/>
          </w:rPr>
          <w:instrText xml:space="preserve"> PAGEREF _Toc81417430 \h </w:instrText>
        </w:r>
        <w:r w:rsidR="00601DBD">
          <w:rPr>
            <w:webHidden/>
          </w:rPr>
        </w:r>
        <w:r w:rsidR="00601DBD">
          <w:rPr>
            <w:webHidden/>
          </w:rPr>
          <w:fldChar w:fldCharType="separate"/>
        </w:r>
        <w:r w:rsidR="00601DBD">
          <w:rPr>
            <w:webHidden/>
          </w:rPr>
          <w:t>13</w:t>
        </w:r>
        <w:r w:rsidR="00601DBD">
          <w:rPr>
            <w:webHidden/>
          </w:rPr>
          <w:fldChar w:fldCharType="end"/>
        </w:r>
      </w:hyperlink>
    </w:p>
    <w:p w14:paraId="6E60C76B" w14:textId="77777777" w:rsidR="00601DBD" w:rsidRDefault="009D7D58">
      <w:pPr>
        <w:pStyle w:val="Obsah3"/>
        <w:rPr>
          <w:rFonts w:asciiTheme="minorHAnsi" w:eastAsiaTheme="minorEastAsia" w:hAnsiTheme="minorHAnsi"/>
          <w:sz w:val="22"/>
          <w:szCs w:val="22"/>
          <w:lang w:eastAsia="cs-CZ"/>
        </w:rPr>
      </w:pPr>
      <w:hyperlink w:anchor="_Toc81417431" w:history="1">
        <w:r w:rsidR="00601DBD" w:rsidRPr="00B01E3C">
          <w:rPr>
            <w:rStyle w:val="Hypertextovodkaz"/>
          </w:rPr>
          <w:t>2.3</w:t>
        </w:r>
        <w:r w:rsidR="00601DBD">
          <w:rPr>
            <w:rFonts w:asciiTheme="minorHAnsi" w:eastAsiaTheme="minorEastAsia" w:hAnsiTheme="minorHAnsi"/>
            <w:sz w:val="22"/>
            <w:szCs w:val="22"/>
            <w:lang w:eastAsia="cs-CZ"/>
          </w:rPr>
          <w:tab/>
        </w:r>
        <w:r w:rsidR="00601DBD" w:rsidRPr="00B01E3C">
          <w:rPr>
            <w:rStyle w:val="Hypertextovodkaz"/>
          </w:rPr>
          <w:t>Zvyšuje se podíl alternativ k omezení svéprávnosti ze všech rozhodnutí o podpůrných opatřeních</w:t>
        </w:r>
        <w:r w:rsidR="00601DBD">
          <w:rPr>
            <w:webHidden/>
          </w:rPr>
          <w:tab/>
        </w:r>
        <w:r w:rsidR="00601DBD">
          <w:rPr>
            <w:webHidden/>
          </w:rPr>
          <w:fldChar w:fldCharType="begin"/>
        </w:r>
        <w:r w:rsidR="00601DBD">
          <w:rPr>
            <w:webHidden/>
          </w:rPr>
          <w:instrText xml:space="preserve"> PAGEREF _Toc81417431 \h </w:instrText>
        </w:r>
        <w:r w:rsidR="00601DBD">
          <w:rPr>
            <w:webHidden/>
          </w:rPr>
        </w:r>
        <w:r w:rsidR="00601DBD">
          <w:rPr>
            <w:webHidden/>
          </w:rPr>
          <w:fldChar w:fldCharType="separate"/>
        </w:r>
        <w:r w:rsidR="00601DBD">
          <w:rPr>
            <w:webHidden/>
          </w:rPr>
          <w:t>14</w:t>
        </w:r>
        <w:r w:rsidR="00601DBD">
          <w:rPr>
            <w:webHidden/>
          </w:rPr>
          <w:fldChar w:fldCharType="end"/>
        </w:r>
      </w:hyperlink>
    </w:p>
    <w:p w14:paraId="11CF4C5C" w14:textId="77777777" w:rsidR="00601DBD" w:rsidRDefault="009D7D58">
      <w:pPr>
        <w:pStyle w:val="Obsah3"/>
        <w:rPr>
          <w:rFonts w:asciiTheme="minorHAnsi" w:eastAsiaTheme="minorEastAsia" w:hAnsiTheme="minorHAnsi"/>
          <w:sz w:val="22"/>
          <w:szCs w:val="22"/>
          <w:lang w:eastAsia="cs-CZ"/>
        </w:rPr>
      </w:pPr>
      <w:hyperlink w:anchor="_Toc81417432" w:history="1">
        <w:r w:rsidR="00601DBD" w:rsidRPr="00B01E3C">
          <w:rPr>
            <w:rStyle w:val="Hypertextovodkaz"/>
          </w:rPr>
          <w:t>2.4</w:t>
        </w:r>
        <w:r w:rsidR="00601DBD">
          <w:rPr>
            <w:rFonts w:asciiTheme="minorHAnsi" w:eastAsiaTheme="minorEastAsia" w:hAnsiTheme="minorHAnsi"/>
            <w:sz w:val="22"/>
            <w:szCs w:val="22"/>
            <w:lang w:eastAsia="cs-CZ"/>
          </w:rPr>
          <w:tab/>
        </w:r>
        <w:r w:rsidR="00601DBD" w:rsidRPr="00B01E3C">
          <w:rPr>
            <w:rStyle w:val="Hypertextovodkaz"/>
          </w:rPr>
          <w:t>Právní úprava nástrojů podpory v rozhodování je v souladu s principy článku 12</w:t>
        </w:r>
        <w:r w:rsidR="00601DBD">
          <w:rPr>
            <w:webHidden/>
          </w:rPr>
          <w:tab/>
        </w:r>
        <w:r w:rsidR="00601DBD">
          <w:rPr>
            <w:webHidden/>
          </w:rPr>
          <w:fldChar w:fldCharType="begin"/>
        </w:r>
        <w:r w:rsidR="00601DBD">
          <w:rPr>
            <w:webHidden/>
          </w:rPr>
          <w:instrText xml:space="preserve"> PAGEREF _Toc81417432 \h </w:instrText>
        </w:r>
        <w:r w:rsidR="00601DBD">
          <w:rPr>
            <w:webHidden/>
          </w:rPr>
        </w:r>
        <w:r w:rsidR="00601DBD">
          <w:rPr>
            <w:webHidden/>
          </w:rPr>
          <w:fldChar w:fldCharType="separate"/>
        </w:r>
        <w:r w:rsidR="00601DBD">
          <w:rPr>
            <w:webHidden/>
          </w:rPr>
          <w:t>15</w:t>
        </w:r>
        <w:r w:rsidR="00601DBD">
          <w:rPr>
            <w:webHidden/>
          </w:rPr>
          <w:fldChar w:fldCharType="end"/>
        </w:r>
      </w:hyperlink>
    </w:p>
    <w:p w14:paraId="58B11BE5" w14:textId="77777777" w:rsidR="00601DBD" w:rsidRDefault="009D7D58">
      <w:pPr>
        <w:pStyle w:val="Obsah3"/>
        <w:rPr>
          <w:rFonts w:asciiTheme="minorHAnsi" w:eastAsiaTheme="minorEastAsia" w:hAnsiTheme="minorHAnsi"/>
          <w:sz w:val="22"/>
          <w:szCs w:val="22"/>
          <w:lang w:eastAsia="cs-CZ"/>
        </w:rPr>
      </w:pPr>
      <w:hyperlink w:anchor="_Toc81417433" w:history="1">
        <w:r w:rsidR="00601DBD" w:rsidRPr="00B01E3C">
          <w:rPr>
            <w:rStyle w:val="Hypertextovodkaz"/>
          </w:rPr>
          <w:t>2.5</w:t>
        </w:r>
        <w:r w:rsidR="00601DBD">
          <w:rPr>
            <w:rFonts w:asciiTheme="minorHAnsi" w:eastAsiaTheme="minorEastAsia" w:hAnsiTheme="minorHAnsi"/>
            <w:sz w:val="22"/>
            <w:szCs w:val="22"/>
            <w:lang w:eastAsia="cs-CZ"/>
          </w:rPr>
          <w:tab/>
        </w:r>
        <w:r w:rsidR="00601DBD" w:rsidRPr="00B01E3C">
          <w:rPr>
            <w:rStyle w:val="Hypertextovodkaz"/>
          </w:rPr>
          <w:t>Existují efektivní nástroje pro předběžný projev vůle</w:t>
        </w:r>
        <w:r w:rsidR="00601DBD">
          <w:rPr>
            <w:webHidden/>
          </w:rPr>
          <w:tab/>
        </w:r>
        <w:r w:rsidR="00601DBD">
          <w:rPr>
            <w:webHidden/>
          </w:rPr>
          <w:fldChar w:fldCharType="begin"/>
        </w:r>
        <w:r w:rsidR="00601DBD">
          <w:rPr>
            <w:webHidden/>
          </w:rPr>
          <w:instrText xml:space="preserve"> PAGEREF _Toc81417433 \h </w:instrText>
        </w:r>
        <w:r w:rsidR="00601DBD">
          <w:rPr>
            <w:webHidden/>
          </w:rPr>
        </w:r>
        <w:r w:rsidR="00601DBD">
          <w:rPr>
            <w:webHidden/>
          </w:rPr>
          <w:fldChar w:fldCharType="separate"/>
        </w:r>
        <w:r w:rsidR="00601DBD">
          <w:rPr>
            <w:webHidden/>
          </w:rPr>
          <w:t>17</w:t>
        </w:r>
        <w:r w:rsidR="00601DBD">
          <w:rPr>
            <w:webHidden/>
          </w:rPr>
          <w:fldChar w:fldCharType="end"/>
        </w:r>
      </w:hyperlink>
    </w:p>
    <w:p w14:paraId="1D87FC0E" w14:textId="77777777" w:rsidR="00601DBD" w:rsidRDefault="009D7D58">
      <w:pPr>
        <w:pStyle w:val="Obsah1"/>
        <w:tabs>
          <w:tab w:val="right" w:leader="dot" w:pos="8495"/>
        </w:tabs>
        <w:rPr>
          <w:rFonts w:asciiTheme="minorHAnsi" w:eastAsiaTheme="minorEastAsia" w:hAnsiTheme="minorHAnsi"/>
          <w:noProof/>
          <w:sz w:val="22"/>
          <w:szCs w:val="22"/>
          <w:lang w:eastAsia="cs-CZ"/>
        </w:rPr>
      </w:pPr>
      <w:hyperlink w:anchor="_Toc81417434" w:history="1">
        <w:r w:rsidR="00601DBD" w:rsidRPr="00B01E3C">
          <w:rPr>
            <w:rStyle w:val="Hypertextovodkaz"/>
            <w:noProof/>
          </w:rPr>
          <w:t>Čl. 19 Úmluvy (nezávislý způsob života)</w:t>
        </w:r>
        <w:r w:rsidR="00601DBD">
          <w:rPr>
            <w:noProof/>
            <w:webHidden/>
          </w:rPr>
          <w:tab/>
        </w:r>
        <w:r w:rsidR="00601DBD">
          <w:rPr>
            <w:noProof/>
            <w:webHidden/>
          </w:rPr>
          <w:fldChar w:fldCharType="begin"/>
        </w:r>
        <w:r w:rsidR="00601DBD">
          <w:rPr>
            <w:noProof/>
            <w:webHidden/>
          </w:rPr>
          <w:instrText xml:space="preserve"> PAGEREF _Toc81417434 \h </w:instrText>
        </w:r>
        <w:r w:rsidR="00601DBD">
          <w:rPr>
            <w:noProof/>
            <w:webHidden/>
          </w:rPr>
        </w:r>
        <w:r w:rsidR="00601DBD">
          <w:rPr>
            <w:noProof/>
            <w:webHidden/>
          </w:rPr>
          <w:fldChar w:fldCharType="separate"/>
        </w:r>
        <w:r w:rsidR="00601DBD">
          <w:rPr>
            <w:noProof/>
            <w:webHidden/>
          </w:rPr>
          <w:t>18</w:t>
        </w:r>
        <w:r w:rsidR="00601DBD">
          <w:rPr>
            <w:noProof/>
            <w:webHidden/>
          </w:rPr>
          <w:fldChar w:fldCharType="end"/>
        </w:r>
      </w:hyperlink>
    </w:p>
    <w:p w14:paraId="04DD7317" w14:textId="77777777" w:rsidR="00601DBD" w:rsidRDefault="009D7D58">
      <w:pPr>
        <w:pStyle w:val="Obsah2"/>
        <w:rPr>
          <w:rFonts w:asciiTheme="minorHAnsi" w:eastAsiaTheme="minorEastAsia" w:hAnsiTheme="minorHAnsi"/>
          <w:sz w:val="22"/>
          <w:szCs w:val="22"/>
          <w:lang w:eastAsia="cs-CZ"/>
        </w:rPr>
      </w:pPr>
      <w:hyperlink w:anchor="_Toc81417435" w:history="1">
        <w:r w:rsidR="00601DBD" w:rsidRPr="00B01E3C">
          <w:rPr>
            <w:rStyle w:val="Hypertextovodkaz"/>
            <w:bCs/>
          </w:rPr>
          <w:t>3.</w:t>
        </w:r>
        <w:r w:rsidR="00601DBD">
          <w:rPr>
            <w:rFonts w:asciiTheme="minorHAnsi" w:eastAsiaTheme="minorEastAsia" w:hAnsiTheme="minorHAnsi"/>
            <w:sz w:val="22"/>
            <w:szCs w:val="22"/>
            <w:lang w:eastAsia="cs-CZ"/>
          </w:rPr>
          <w:tab/>
        </w:r>
        <w:r w:rsidR="00601DBD" w:rsidRPr="00B01E3C">
          <w:rPr>
            <w:rStyle w:val="Hypertextovodkaz"/>
            <w:bCs/>
          </w:rPr>
          <w:t>5 indikátorů pro sledování plnění čl. 19 Úmluvy</w:t>
        </w:r>
        <w:r w:rsidR="00601DBD">
          <w:rPr>
            <w:webHidden/>
          </w:rPr>
          <w:tab/>
        </w:r>
        <w:r w:rsidR="00601DBD">
          <w:rPr>
            <w:webHidden/>
          </w:rPr>
          <w:fldChar w:fldCharType="begin"/>
        </w:r>
        <w:r w:rsidR="00601DBD">
          <w:rPr>
            <w:webHidden/>
          </w:rPr>
          <w:instrText xml:space="preserve"> PAGEREF _Toc81417435 \h </w:instrText>
        </w:r>
        <w:r w:rsidR="00601DBD">
          <w:rPr>
            <w:webHidden/>
          </w:rPr>
        </w:r>
        <w:r w:rsidR="00601DBD">
          <w:rPr>
            <w:webHidden/>
          </w:rPr>
          <w:fldChar w:fldCharType="separate"/>
        </w:r>
        <w:r w:rsidR="00601DBD">
          <w:rPr>
            <w:webHidden/>
          </w:rPr>
          <w:t>18</w:t>
        </w:r>
        <w:r w:rsidR="00601DBD">
          <w:rPr>
            <w:webHidden/>
          </w:rPr>
          <w:fldChar w:fldCharType="end"/>
        </w:r>
      </w:hyperlink>
    </w:p>
    <w:p w14:paraId="3E94F034" w14:textId="77777777" w:rsidR="00601DBD" w:rsidRDefault="009D7D58">
      <w:pPr>
        <w:pStyle w:val="Obsah3"/>
        <w:rPr>
          <w:rFonts w:asciiTheme="minorHAnsi" w:eastAsiaTheme="minorEastAsia" w:hAnsiTheme="minorHAnsi"/>
          <w:sz w:val="22"/>
          <w:szCs w:val="22"/>
          <w:lang w:eastAsia="cs-CZ"/>
        </w:rPr>
      </w:pPr>
      <w:hyperlink w:anchor="_Toc81417436" w:history="1">
        <w:r w:rsidR="00601DBD" w:rsidRPr="00B01E3C">
          <w:rPr>
            <w:rStyle w:val="Hypertextovodkaz"/>
            <w:bCs/>
          </w:rPr>
          <w:t>3.1</w:t>
        </w:r>
        <w:r w:rsidR="00601DBD">
          <w:rPr>
            <w:rFonts w:asciiTheme="minorHAnsi" w:eastAsiaTheme="minorEastAsia" w:hAnsiTheme="minorHAnsi"/>
            <w:sz w:val="22"/>
            <w:szCs w:val="22"/>
            <w:lang w:eastAsia="cs-CZ"/>
          </w:rPr>
          <w:tab/>
        </w:r>
        <w:r w:rsidR="00601DBD" w:rsidRPr="00B01E3C">
          <w:rPr>
            <w:rStyle w:val="Hypertextovodkaz"/>
            <w:bCs/>
          </w:rPr>
          <w:t>Stát má plán transformace ústavních pobytových služeb</w:t>
        </w:r>
        <w:r w:rsidR="00601DBD">
          <w:rPr>
            <w:webHidden/>
          </w:rPr>
          <w:tab/>
        </w:r>
        <w:r w:rsidR="00601DBD">
          <w:rPr>
            <w:webHidden/>
          </w:rPr>
          <w:fldChar w:fldCharType="begin"/>
        </w:r>
        <w:r w:rsidR="00601DBD">
          <w:rPr>
            <w:webHidden/>
          </w:rPr>
          <w:instrText xml:space="preserve"> PAGEREF _Toc81417436 \h </w:instrText>
        </w:r>
        <w:r w:rsidR="00601DBD">
          <w:rPr>
            <w:webHidden/>
          </w:rPr>
        </w:r>
        <w:r w:rsidR="00601DBD">
          <w:rPr>
            <w:webHidden/>
          </w:rPr>
          <w:fldChar w:fldCharType="separate"/>
        </w:r>
        <w:r w:rsidR="00601DBD">
          <w:rPr>
            <w:webHidden/>
          </w:rPr>
          <w:t>19</w:t>
        </w:r>
        <w:r w:rsidR="00601DBD">
          <w:rPr>
            <w:webHidden/>
          </w:rPr>
          <w:fldChar w:fldCharType="end"/>
        </w:r>
      </w:hyperlink>
    </w:p>
    <w:p w14:paraId="72CFD33A" w14:textId="77777777" w:rsidR="00601DBD" w:rsidRDefault="009D7D58">
      <w:pPr>
        <w:pStyle w:val="Obsah3"/>
        <w:rPr>
          <w:rFonts w:asciiTheme="minorHAnsi" w:eastAsiaTheme="minorEastAsia" w:hAnsiTheme="minorHAnsi"/>
          <w:sz w:val="22"/>
          <w:szCs w:val="22"/>
          <w:lang w:eastAsia="cs-CZ"/>
        </w:rPr>
      </w:pPr>
      <w:hyperlink w:anchor="_Toc81417437" w:history="1">
        <w:r w:rsidR="00601DBD" w:rsidRPr="00B01E3C">
          <w:rPr>
            <w:rStyle w:val="Hypertextovodkaz"/>
          </w:rPr>
          <w:t>3.2</w:t>
        </w:r>
        <w:r w:rsidR="00601DBD">
          <w:rPr>
            <w:rFonts w:asciiTheme="minorHAnsi" w:eastAsiaTheme="minorEastAsia" w:hAnsiTheme="minorHAnsi"/>
            <w:sz w:val="22"/>
            <w:szCs w:val="22"/>
            <w:lang w:eastAsia="cs-CZ"/>
          </w:rPr>
          <w:tab/>
        </w:r>
        <w:r w:rsidR="00601DBD" w:rsidRPr="00B01E3C">
          <w:rPr>
            <w:rStyle w:val="Hypertextovodkaz"/>
          </w:rPr>
          <w:t>Reforma péče o duševní zdraví zohledňuje právo lidí s psychosociálním postižením na život v komunitě</w:t>
        </w:r>
        <w:r w:rsidR="00601DBD">
          <w:rPr>
            <w:webHidden/>
          </w:rPr>
          <w:tab/>
        </w:r>
        <w:r w:rsidR="00601DBD">
          <w:rPr>
            <w:webHidden/>
          </w:rPr>
          <w:fldChar w:fldCharType="begin"/>
        </w:r>
        <w:r w:rsidR="00601DBD">
          <w:rPr>
            <w:webHidden/>
          </w:rPr>
          <w:instrText xml:space="preserve"> PAGEREF _Toc81417437 \h </w:instrText>
        </w:r>
        <w:r w:rsidR="00601DBD">
          <w:rPr>
            <w:webHidden/>
          </w:rPr>
        </w:r>
        <w:r w:rsidR="00601DBD">
          <w:rPr>
            <w:webHidden/>
          </w:rPr>
          <w:fldChar w:fldCharType="separate"/>
        </w:r>
        <w:r w:rsidR="00601DBD">
          <w:rPr>
            <w:webHidden/>
          </w:rPr>
          <w:t>21</w:t>
        </w:r>
        <w:r w:rsidR="00601DBD">
          <w:rPr>
            <w:webHidden/>
          </w:rPr>
          <w:fldChar w:fldCharType="end"/>
        </w:r>
      </w:hyperlink>
    </w:p>
    <w:p w14:paraId="29E75E32" w14:textId="77777777" w:rsidR="00601DBD" w:rsidRDefault="009D7D58">
      <w:pPr>
        <w:pStyle w:val="Obsah3"/>
        <w:rPr>
          <w:rFonts w:asciiTheme="minorHAnsi" w:eastAsiaTheme="minorEastAsia" w:hAnsiTheme="minorHAnsi"/>
          <w:sz w:val="22"/>
          <w:szCs w:val="22"/>
          <w:lang w:eastAsia="cs-CZ"/>
        </w:rPr>
      </w:pPr>
      <w:hyperlink w:anchor="_Toc81417438" w:history="1">
        <w:r w:rsidR="00601DBD" w:rsidRPr="00B01E3C">
          <w:rPr>
            <w:rStyle w:val="Hypertextovodkaz"/>
          </w:rPr>
          <w:t>3.3</w:t>
        </w:r>
        <w:r w:rsidR="00601DBD">
          <w:rPr>
            <w:rFonts w:asciiTheme="minorHAnsi" w:eastAsiaTheme="minorEastAsia" w:hAnsiTheme="minorHAnsi"/>
            <w:sz w:val="22"/>
            <w:szCs w:val="22"/>
            <w:lang w:eastAsia="cs-CZ"/>
          </w:rPr>
          <w:tab/>
        </w:r>
        <w:r w:rsidR="00601DBD" w:rsidRPr="00B01E3C">
          <w:rPr>
            <w:rStyle w:val="Hypertextovodkaz"/>
          </w:rPr>
          <w:t>Stát sbírá data o procesu transformace dlouhodobé psychiatrické péče a pobytových sociálních služeb</w:t>
        </w:r>
        <w:r w:rsidR="00601DBD">
          <w:rPr>
            <w:webHidden/>
          </w:rPr>
          <w:tab/>
        </w:r>
        <w:r w:rsidR="00601DBD">
          <w:rPr>
            <w:webHidden/>
          </w:rPr>
          <w:fldChar w:fldCharType="begin"/>
        </w:r>
        <w:r w:rsidR="00601DBD">
          <w:rPr>
            <w:webHidden/>
          </w:rPr>
          <w:instrText xml:space="preserve"> PAGEREF _Toc81417438 \h </w:instrText>
        </w:r>
        <w:r w:rsidR="00601DBD">
          <w:rPr>
            <w:webHidden/>
          </w:rPr>
        </w:r>
        <w:r w:rsidR="00601DBD">
          <w:rPr>
            <w:webHidden/>
          </w:rPr>
          <w:fldChar w:fldCharType="separate"/>
        </w:r>
        <w:r w:rsidR="00601DBD">
          <w:rPr>
            <w:webHidden/>
          </w:rPr>
          <w:t>23</w:t>
        </w:r>
        <w:r w:rsidR="00601DBD">
          <w:rPr>
            <w:webHidden/>
          </w:rPr>
          <w:fldChar w:fldCharType="end"/>
        </w:r>
      </w:hyperlink>
    </w:p>
    <w:p w14:paraId="2C155D09" w14:textId="77777777" w:rsidR="00601DBD" w:rsidRDefault="009D7D58">
      <w:pPr>
        <w:pStyle w:val="Obsah3"/>
        <w:rPr>
          <w:rFonts w:asciiTheme="minorHAnsi" w:eastAsiaTheme="minorEastAsia" w:hAnsiTheme="minorHAnsi"/>
          <w:sz w:val="22"/>
          <w:szCs w:val="22"/>
          <w:lang w:eastAsia="cs-CZ"/>
        </w:rPr>
      </w:pPr>
      <w:hyperlink w:anchor="_Toc81417439" w:history="1">
        <w:r w:rsidR="00601DBD" w:rsidRPr="00B01E3C">
          <w:rPr>
            <w:rStyle w:val="Hypertextovodkaz"/>
          </w:rPr>
          <w:t>3.4</w:t>
        </w:r>
        <w:r w:rsidR="00601DBD">
          <w:rPr>
            <w:rFonts w:asciiTheme="minorHAnsi" w:eastAsiaTheme="minorEastAsia" w:hAnsiTheme="minorHAnsi"/>
            <w:sz w:val="22"/>
            <w:szCs w:val="22"/>
            <w:lang w:eastAsia="cs-CZ"/>
          </w:rPr>
          <w:tab/>
        </w:r>
        <w:r w:rsidR="00601DBD" w:rsidRPr="00B01E3C">
          <w:rPr>
            <w:rStyle w:val="Hypertextovodkaz"/>
          </w:rPr>
          <w:t>Právní úprava obsahuje efektivní záruky před dlouhodobou institucionalizací bez souhlasu člověka</w:t>
        </w:r>
        <w:r w:rsidR="00601DBD">
          <w:rPr>
            <w:webHidden/>
          </w:rPr>
          <w:tab/>
        </w:r>
        <w:r w:rsidR="00601DBD">
          <w:rPr>
            <w:webHidden/>
          </w:rPr>
          <w:fldChar w:fldCharType="begin"/>
        </w:r>
        <w:r w:rsidR="00601DBD">
          <w:rPr>
            <w:webHidden/>
          </w:rPr>
          <w:instrText xml:space="preserve"> PAGEREF _Toc81417439 \h </w:instrText>
        </w:r>
        <w:r w:rsidR="00601DBD">
          <w:rPr>
            <w:webHidden/>
          </w:rPr>
        </w:r>
        <w:r w:rsidR="00601DBD">
          <w:rPr>
            <w:webHidden/>
          </w:rPr>
          <w:fldChar w:fldCharType="separate"/>
        </w:r>
        <w:r w:rsidR="00601DBD">
          <w:rPr>
            <w:webHidden/>
          </w:rPr>
          <w:t>26</w:t>
        </w:r>
        <w:r w:rsidR="00601DBD">
          <w:rPr>
            <w:webHidden/>
          </w:rPr>
          <w:fldChar w:fldCharType="end"/>
        </w:r>
      </w:hyperlink>
    </w:p>
    <w:p w14:paraId="4A9EF6F0" w14:textId="77777777" w:rsidR="00601DBD" w:rsidRDefault="009D7D58">
      <w:pPr>
        <w:pStyle w:val="Obsah3"/>
        <w:rPr>
          <w:rFonts w:asciiTheme="minorHAnsi" w:eastAsiaTheme="minorEastAsia" w:hAnsiTheme="minorHAnsi"/>
          <w:sz w:val="22"/>
          <w:szCs w:val="22"/>
          <w:lang w:eastAsia="cs-CZ"/>
        </w:rPr>
      </w:pPr>
      <w:hyperlink w:anchor="_Toc81417440" w:history="1">
        <w:r w:rsidR="00601DBD" w:rsidRPr="00B01E3C">
          <w:rPr>
            <w:rStyle w:val="Hypertextovodkaz"/>
          </w:rPr>
          <w:t>3.5</w:t>
        </w:r>
        <w:r w:rsidR="00601DBD">
          <w:rPr>
            <w:rFonts w:asciiTheme="minorHAnsi" w:eastAsiaTheme="minorEastAsia" w:hAnsiTheme="minorHAnsi"/>
            <w:sz w:val="22"/>
            <w:szCs w:val="22"/>
            <w:lang w:eastAsia="cs-CZ"/>
          </w:rPr>
          <w:tab/>
        </w:r>
        <w:r w:rsidR="00601DBD" w:rsidRPr="00B01E3C">
          <w:rPr>
            <w:rStyle w:val="Hypertextovodkaz"/>
          </w:rPr>
          <w:t>Lidé nejsou vylučováni ze systému obecního bydlení či pobytových sociálních služeb z důvodu zdravotního postižení, diagnózy či omezení svéprávnosti</w:t>
        </w:r>
        <w:r w:rsidR="00601DBD">
          <w:rPr>
            <w:webHidden/>
          </w:rPr>
          <w:tab/>
        </w:r>
        <w:r w:rsidR="00601DBD">
          <w:rPr>
            <w:webHidden/>
          </w:rPr>
          <w:fldChar w:fldCharType="begin"/>
        </w:r>
        <w:r w:rsidR="00601DBD">
          <w:rPr>
            <w:webHidden/>
          </w:rPr>
          <w:instrText xml:space="preserve"> PAGEREF _Toc81417440 \h </w:instrText>
        </w:r>
        <w:r w:rsidR="00601DBD">
          <w:rPr>
            <w:webHidden/>
          </w:rPr>
        </w:r>
        <w:r w:rsidR="00601DBD">
          <w:rPr>
            <w:webHidden/>
          </w:rPr>
          <w:fldChar w:fldCharType="separate"/>
        </w:r>
        <w:r w:rsidR="00601DBD">
          <w:rPr>
            <w:webHidden/>
          </w:rPr>
          <w:t>28</w:t>
        </w:r>
        <w:r w:rsidR="00601DBD">
          <w:rPr>
            <w:webHidden/>
          </w:rPr>
          <w:fldChar w:fldCharType="end"/>
        </w:r>
      </w:hyperlink>
    </w:p>
    <w:p w14:paraId="4F7438C4" w14:textId="77777777" w:rsidR="00601DBD" w:rsidRDefault="009D7D58">
      <w:pPr>
        <w:pStyle w:val="Obsah1"/>
        <w:tabs>
          <w:tab w:val="right" w:leader="dot" w:pos="8495"/>
        </w:tabs>
        <w:rPr>
          <w:rFonts w:asciiTheme="minorHAnsi" w:eastAsiaTheme="minorEastAsia" w:hAnsiTheme="minorHAnsi"/>
          <w:noProof/>
          <w:sz w:val="22"/>
          <w:szCs w:val="22"/>
          <w:lang w:eastAsia="cs-CZ"/>
        </w:rPr>
      </w:pPr>
      <w:hyperlink w:anchor="_Toc81417441" w:history="1">
        <w:r w:rsidR="00601DBD" w:rsidRPr="00B01E3C">
          <w:rPr>
            <w:rStyle w:val="Hypertextovodkaz"/>
            <w:noProof/>
          </w:rPr>
          <w:t>Čl. 27 Úmluvy (práce a zaměstnání)</w:t>
        </w:r>
        <w:r w:rsidR="00601DBD">
          <w:rPr>
            <w:noProof/>
            <w:webHidden/>
          </w:rPr>
          <w:tab/>
        </w:r>
        <w:r w:rsidR="00601DBD">
          <w:rPr>
            <w:noProof/>
            <w:webHidden/>
          </w:rPr>
          <w:fldChar w:fldCharType="begin"/>
        </w:r>
        <w:r w:rsidR="00601DBD">
          <w:rPr>
            <w:noProof/>
            <w:webHidden/>
          </w:rPr>
          <w:instrText xml:space="preserve"> PAGEREF _Toc81417441 \h </w:instrText>
        </w:r>
        <w:r w:rsidR="00601DBD">
          <w:rPr>
            <w:noProof/>
            <w:webHidden/>
          </w:rPr>
        </w:r>
        <w:r w:rsidR="00601DBD">
          <w:rPr>
            <w:noProof/>
            <w:webHidden/>
          </w:rPr>
          <w:fldChar w:fldCharType="separate"/>
        </w:r>
        <w:r w:rsidR="00601DBD">
          <w:rPr>
            <w:noProof/>
            <w:webHidden/>
          </w:rPr>
          <w:t>30</w:t>
        </w:r>
        <w:r w:rsidR="00601DBD">
          <w:rPr>
            <w:noProof/>
            <w:webHidden/>
          </w:rPr>
          <w:fldChar w:fldCharType="end"/>
        </w:r>
      </w:hyperlink>
    </w:p>
    <w:p w14:paraId="38B2A067" w14:textId="77777777" w:rsidR="00601DBD" w:rsidRDefault="009D7D58">
      <w:pPr>
        <w:pStyle w:val="Obsah2"/>
        <w:rPr>
          <w:rFonts w:asciiTheme="minorHAnsi" w:eastAsiaTheme="minorEastAsia" w:hAnsiTheme="minorHAnsi"/>
          <w:sz w:val="22"/>
          <w:szCs w:val="22"/>
          <w:lang w:eastAsia="cs-CZ"/>
        </w:rPr>
      </w:pPr>
      <w:hyperlink w:anchor="_Toc81417442" w:history="1">
        <w:r w:rsidR="00601DBD" w:rsidRPr="00B01E3C">
          <w:rPr>
            <w:rStyle w:val="Hypertextovodkaz"/>
          </w:rPr>
          <w:t>4.</w:t>
        </w:r>
        <w:r w:rsidR="00601DBD">
          <w:rPr>
            <w:rFonts w:asciiTheme="minorHAnsi" w:eastAsiaTheme="minorEastAsia" w:hAnsiTheme="minorHAnsi"/>
            <w:sz w:val="22"/>
            <w:szCs w:val="22"/>
            <w:lang w:eastAsia="cs-CZ"/>
          </w:rPr>
          <w:tab/>
        </w:r>
        <w:r w:rsidR="00601DBD" w:rsidRPr="00B01E3C">
          <w:rPr>
            <w:rStyle w:val="Hypertextovodkaz"/>
          </w:rPr>
          <w:t>5 indikátorů pro sledování plnění čl. 27 Úmluvy</w:t>
        </w:r>
        <w:r w:rsidR="00601DBD">
          <w:rPr>
            <w:webHidden/>
          </w:rPr>
          <w:tab/>
        </w:r>
        <w:r w:rsidR="00601DBD">
          <w:rPr>
            <w:webHidden/>
          </w:rPr>
          <w:fldChar w:fldCharType="begin"/>
        </w:r>
        <w:r w:rsidR="00601DBD">
          <w:rPr>
            <w:webHidden/>
          </w:rPr>
          <w:instrText xml:space="preserve"> PAGEREF _Toc81417442 \h </w:instrText>
        </w:r>
        <w:r w:rsidR="00601DBD">
          <w:rPr>
            <w:webHidden/>
          </w:rPr>
        </w:r>
        <w:r w:rsidR="00601DBD">
          <w:rPr>
            <w:webHidden/>
          </w:rPr>
          <w:fldChar w:fldCharType="separate"/>
        </w:r>
        <w:r w:rsidR="00601DBD">
          <w:rPr>
            <w:webHidden/>
          </w:rPr>
          <w:t>30</w:t>
        </w:r>
        <w:r w:rsidR="00601DBD">
          <w:rPr>
            <w:webHidden/>
          </w:rPr>
          <w:fldChar w:fldCharType="end"/>
        </w:r>
      </w:hyperlink>
    </w:p>
    <w:p w14:paraId="37C06A28" w14:textId="77777777" w:rsidR="00601DBD" w:rsidRDefault="009D7D58">
      <w:pPr>
        <w:pStyle w:val="Obsah3"/>
        <w:rPr>
          <w:rFonts w:asciiTheme="minorHAnsi" w:eastAsiaTheme="minorEastAsia" w:hAnsiTheme="minorHAnsi"/>
          <w:sz w:val="22"/>
          <w:szCs w:val="22"/>
          <w:lang w:eastAsia="cs-CZ"/>
        </w:rPr>
      </w:pPr>
      <w:hyperlink w:anchor="_Toc81417443" w:history="1">
        <w:r w:rsidR="00601DBD" w:rsidRPr="00B01E3C">
          <w:rPr>
            <w:rStyle w:val="Hypertextovodkaz"/>
          </w:rPr>
          <w:t>4.1</w:t>
        </w:r>
        <w:r w:rsidR="00601DBD">
          <w:rPr>
            <w:rFonts w:asciiTheme="minorHAnsi" w:eastAsiaTheme="minorEastAsia" w:hAnsiTheme="minorHAnsi"/>
            <w:sz w:val="22"/>
            <w:szCs w:val="22"/>
            <w:lang w:eastAsia="cs-CZ"/>
          </w:rPr>
          <w:tab/>
        </w:r>
        <w:r w:rsidR="00601DBD" w:rsidRPr="00B01E3C">
          <w:rPr>
            <w:rStyle w:val="Hypertextovodkaz"/>
          </w:rPr>
          <w:t>Zaměstnanost lidí s postižením v porovnání s lidmi bez postižení</w:t>
        </w:r>
        <w:r w:rsidR="00601DBD">
          <w:rPr>
            <w:webHidden/>
          </w:rPr>
          <w:tab/>
        </w:r>
        <w:r w:rsidR="00601DBD">
          <w:rPr>
            <w:webHidden/>
          </w:rPr>
          <w:fldChar w:fldCharType="begin"/>
        </w:r>
        <w:r w:rsidR="00601DBD">
          <w:rPr>
            <w:webHidden/>
          </w:rPr>
          <w:instrText xml:space="preserve"> PAGEREF _Toc81417443 \h </w:instrText>
        </w:r>
        <w:r w:rsidR="00601DBD">
          <w:rPr>
            <w:webHidden/>
          </w:rPr>
        </w:r>
        <w:r w:rsidR="00601DBD">
          <w:rPr>
            <w:webHidden/>
          </w:rPr>
          <w:fldChar w:fldCharType="separate"/>
        </w:r>
        <w:r w:rsidR="00601DBD">
          <w:rPr>
            <w:webHidden/>
          </w:rPr>
          <w:t>31</w:t>
        </w:r>
        <w:r w:rsidR="00601DBD">
          <w:rPr>
            <w:webHidden/>
          </w:rPr>
          <w:fldChar w:fldCharType="end"/>
        </w:r>
      </w:hyperlink>
    </w:p>
    <w:p w14:paraId="6BB55918" w14:textId="77777777" w:rsidR="00601DBD" w:rsidRDefault="009D7D58">
      <w:pPr>
        <w:pStyle w:val="Obsah3"/>
        <w:rPr>
          <w:rFonts w:asciiTheme="minorHAnsi" w:eastAsiaTheme="minorEastAsia" w:hAnsiTheme="minorHAnsi"/>
          <w:sz w:val="22"/>
          <w:szCs w:val="22"/>
          <w:lang w:eastAsia="cs-CZ"/>
        </w:rPr>
      </w:pPr>
      <w:hyperlink w:anchor="_Toc81417444" w:history="1">
        <w:r w:rsidR="00601DBD" w:rsidRPr="00B01E3C">
          <w:rPr>
            <w:rStyle w:val="Hypertextovodkaz"/>
          </w:rPr>
          <w:t>4.2</w:t>
        </w:r>
        <w:r w:rsidR="00601DBD">
          <w:rPr>
            <w:rFonts w:asciiTheme="minorHAnsi" w:eastAsiaTheme="minorEastAsia" w:hAnsiTheme="minorHAnsi"/>
            <w:sz w:val="22"/>
            <w:szCs w:val="22"/>
            <w:lang w:eastAsia="cs-CZ"/>
          </w:rPr>
          <w:tab/>
        </w:r>
        <w:r w:rsidR="00601DBD" w:rsidRPr="00B01E3C">
          <w:rPr>
            <w:rStyle w:val="Hypertextovodkaz"/>
          </w:rPr>
          <w:t>Lidé s postižením na volném a chráněném trhu práce</w:t>
        </w:r>
        <w:r w:rsidR="00601DBD">
          <w:rPr>
            <w:webHidden/>
          </w:rPr>
          <w:tab/>
        </w:r>
        <w:r w:rsidR="00601DBD">
          <w:rPr>
            <w:webHidden/>
          </w:rPr>
          <w:fldChar w:fldCharType="begin"/>
        </w:r>
        <w:r w:rsidR="00601DBD">
          <w:rPr>
            <w:webHidden/>
          </w:rPr>
          <w:instrText xml:space="preserve"> PAGEREF _Toc81417444 \h </w:instrText>
        </w:r>
        <w:r w:rsidR="00601DBD">
          <w:rPr>
            <w:webHidden/>
          </w:rPr>
        </w:r>
        <w:r w:rsidR="00601DBD">
          <w:rPr>
            <w:webHidden/>
          </w:rPr>
          <w:fldChar w:fldCharType="separate"/>
        </w:r>
        <w:r w:rsidR="00601DBD">
          <w:rPr>
            <w:webHidden/>
          </w:rPr>
          <w:t>32</w:t>
        </w:r>
        <w:r w:rsidR="00601DBD">
          <w:rPr>
            <w:webHidden/>
          </w:rPr>
          <w:fldChar w:fldCharType="end"/>
        </w:r>
      </w:hyperlink>
    </w:p>
    <w:p w14:paraId="2727E262" w14:textId="77777777" w:rsidR="00601DBD" w:rsidRDefault="009D7D58">
      <w:pPr>
        <w:pStyle w:val="Obsah3"/>
        <w:rPr>
          <w:rFonts w:asciiTheme="minorHAnsi" w:eastAsiaTheme="minorEastAsia" w:hAnsiTheme="minorHAnsi"/>
          <w:sz w:val="22"/>
          <w:szCs w:val="22"/>
          <w:lang w:eastAsia="cs-CZ"/>
        </w:rPr>
      </w:pPr>
      <w:hyperlink w:anchor="_Toc81417445" w:history="1">
        <w:r w:rsidR="00601DBD" w:rsidRPr="00B01E3C">
          <w:rPr>
            <w:rStyle w:val="Hypertextovodkaz"/>
          </w:rPr>
          <w:t>4.3</w:t>
        </w:r>
        <w:r w:rsidR="00601DBD">
          <w:rPr>
            <w:rFonts w:asciiTheme="minorHAnsi" w:eastAsiaTheme="minorEastAsia" w:hAnsiTheme="minorHAnsi"/>
            <w:sz w:val="22"/>
            <w:szCs w:val="22"/>
            <w:lang w:eastAsia="cs-CZ"/>
          </w:rPr>
          <w:tab/>
        </w:r>
        <w:r w:rsidR="00601DBD" w:rsidRPr="00B01E3C">
          <w:rPr>
            <w:rStyle w:val="Hypertextovodkaz"/>
          </w:rPr>
          <w:t>Přístupnost zaměstnavatelů ve veřejném sektoru vůči lidem s postižením</w:t>
        </w:r>
        <w:r w:rsidR="00601DBD">
          <w:rPr>
            <w:webHidden/>
          </w:rPr>
          <w:tab/>
        </w:r>
        <w:r w:rsidR="00601DBD">
          <w:rPr>
            <w:webHidden/>
          </w:rPr>
          <w:fldChar w:fldCharType="begin"/>
        </w:r>
        <w:r w:rsidR="00601DBD">
          <w:rPr>
            <w:webHidden/>
          </w:rPr>
          <w:instrText xml:space="preserve"> PAGEREF _Toc81417445 \h </w:instrText>
        </w:r>
        <w:r w:rsidR="00601DBD">
          <w:rPr>
            <w:webHidden/>
          </w:rPr>
        </w:r>
        <w:r w:rsidR="00601DBD">
          <w:rPr>
            <w:webHidden/>
          </w:rPr>
          <w:fldChar w:fldCharType="separate"/>
        </w:r>
        <w:r w:rsidR="00601DBD">
          <w:rPr>
            <w:webHidden/>
          </w:rPr>
          <w:t>34</w:t>
        </w:r>
        <w:r w:rsidR="00601DBD">
          <w:rPr>
            <w:webHidden/>
          </w:rPr>
          <w:fldChar w:fldCharType="end"/>
        </w:r>
      </w:hyperlink>
    </w:p>
    <w:p w14:paraId="40249C66" w14:textId="77777777" w:rsidR="00601DBD" w:rsidRDefault="009D7D58">
      <w:pPr>
        <w:pStyle w:val="Obsah3"/>
        <w:rPr>
          <w:rFonts w:asciiTheme="minorHAnsi" w:eastAsiaTheme="minorEastAsia" w:hAnsiTheme="minorHAnsi"/>
          <w:sz w:val="22"/>
          <w:szCs w:val="22"/>
          <w:lang w:eastAsia="cs-CZ"/>
        </w:rPr>
      </w:pPr>
      <w:hyperlink w:anchor="_Toc81417446" w:history="1">
        <w:r w:rsidR="00601DBD" w:rsidRPr="00B01E3C">
          <w:rPr>
            <w:rStyle w:val="Hypertextovodkaz"/>
          </w:rPr>
          <w:t>4.4</w:t>
        </w:r>
        <w:r w:rsidR="00601DBD">
          <w:rPr>
            <w:rFonts w:asciiTheme="minorHAnsi" w:eastAsiaTheme="minorEastAsia" w:hAnsiTheme="minorHAnsi"/>
            <w:sz w:val="22"/>
            <w:szCs w:val="22"/>
            <w:lang w:eastAsia="cs-CZ"/>
          </w:rPr>
          <w:tab/>
        </w:r>
        <w:r w:rsidR="00601DBD" w:rsidRPr="00B01E3C">
          <w:rPr>
            <w:rStyle w:val="Hypertextovodkaz"/>
          </w:rPr>
          <w:t>Diskriminace v práci z důvodu postižení</w:t>
        </w:r>
        <w:r w:rsidR="00601DBD">
          <w:rPr>
            <w:webHidden/>
          </w:rPr>
          <w:tab/>
        </w:r>
        <w:r w:rsidR="00601DBD">
          <w:rPr>
            <w:webHidden/>
          </w:rPr>
          <w:fldChar w:fldCharType="begin"/>
        </w:r>
        <w:r w:rsidR="00601DBD">
          <w:rPr>
            <w:webHidden/>
          </w:rPr>
          <w:instrText xml:space="preserve"> PAGEREF _Toc81417446 \h </w:instrText>
        </w:r>
        <w:r w:rsidR="00601DBD">
          <w:rPr>
            <w:webHidden/>
          </w:rPr>
        </w:r>
        <w:r w:rsidR="00601DBD">
          <w:rPr>
            <w:webHidden/>
          </w:rPr>
          <w:fldChar w:fldCharType="separate"/>
        </w:r>
        <w:r w:rsidR="00601DBD">
          <w:rPr>
            <w:webHidden/>
          </w:rPr>
          <w:t>37</w:t>
        </w:r>
        <w:r w:rsidR="00601DBD">
          <w:rPr>
            <w:webHidden/>
          </w:rPr>
          <w:fldChar w:fldCharType="end"/>
        </w:r>
      </w:hyperlink>
    </w:p>
    <w:p w14:paraId="5790C3E1" w14:textId="77777777" w:rsidR="00601DBD" w:rsidRDefault="009D7D58">
      <w:pPr>
        <w:pStyle w:val="Obsah3"/>
        <w:rPr>
          <w:rFonts w:asciiTheme="minorHAnsi" w:eastAsiaTheme="minorEastAsia" w:hAnsiTheme="minorHAnsi"/>
          <w:sz w:val="22"/>
          <w:szCs w:val="22"/>
          <w:lang w:eastAsia="cs-CZ"/>
        </w:rPr>
      </w:pPr>
      <w:hyperlink w:anchor="_Toc81417447" w:history="1">
        <w:r w:rsidR="00601DBD" w:rsidRPr="00B01E3C">
          <w:rPr>
            <w:rStyle w:val="Hypertextovodkaz"/>
          </w:rPr>
          <w:t>4.5</w:t>
        </w:r>
        <w:r w:rsidR="00601DBD">
          <w:rPr>
            <w:rFonts w:asciiTheme="minorHAnsi" w:eastAsiaTheme="minorEastAsia" w:hAnsiTheme="minorHAnsi"/>
            <w:sz w:val="22"/>
            <w:szCs w:val="22"/>
            <w:lang w:eastAsia="cs-CZ"/>
          </w:rPr>
          <w:tab/>
        </w:r>
        <w:r w:rsidR="00601DBD" w:rsidRPr="00B01E3C">
          <w:rPr>
            <w:rStyle w:val="Hypertextovodkaz"/>
          </w:rPr>
          <w:t>Systém státní podpory zaměstnávání lidí s postižením</w:t>
        </w:r>
        <w:r w:rsidR="00601DBD">
          <w:rPr>
            <w:webHidden/>
          </w:rPr>
          <w:tab/>
        </w:r>
        <w:r w:rsidR="00601DBD">
          <w:rPr>
            <w:webHidden/>
          </w:rPr>
          <w:fldChar w:fldCharType="begin"/>
        </w:r>
        <w:r w:rsidR="00601DBD">
          <w:rPr>
            <w:webHidden/>
          </w:rPr>
          <w:instrText xml:space="preserve"> PAGEREF _Toc81417447 \h </w:instrText>
        </w:r>
        <w:r w:rsidR="00601DBD">
          <w:rPr>
            <w:webHidden/>
          </w:rPr>
        </w:r>
        <w:r w:rsidR="00601DBD">
          <w:rPr>
            <w:webHidden/>
          </w:rPr>
          <w:fldChar w:fldCharType="separate"/>
        </w:r>
        <w:r w:rsidR="00601DBD">
          <w:rPr>
            <w:webHidden/>
          </w:rPr>
          <w:t>39</w:t>
        </w:r>
        <w:r w:rsidR="00601DBD">
          <w:rPr>
            <w:webHidden/>
          </w:rPr>
          <w:fldChar w:fldCharType="end"/>
        </w:r>
      </w:hyperlink>
    </w:p>
    <w:p w14:paraId="67B76BDF" w14:textId="77777777" w:rsidR="00F965CB" w:rsidRPr="00F965CB" w:rsidRDefault="00792115" w:rsidP="00F965CB">
      <w:pPr>
        <w:pStyle w:val="Zkladntext"/>
      </w:pPr>
      <w:r>
        <w:rPr>
          <w:rFonts w:eastAsiaTheme="minorEastAsia" w:cs="Arial"/>
          <w:szCs w:val="22"/>
        </w:rPr>
        <w:fldChar w:fldCharType="end"/>
      </w:r>
    </w:p>
    <w:p w14:paraId="02B241C0" w14:textId="77777777" w:rsidR="00407C50" w:rsidRDefault="00407C50" w:rsidP="008E6858">
      <w:pPr>
        <w:pStyle w:val="Nadpis1"/>
      </w:pPr>
      <w:bookmarkStart w:id="14" w:name="_Toc81417420"/>
      <w:r w:rsidRPr="00407C50">
        <w:lastRenderedPageBreak/>
        <w:t>čl. 5 Úmluvy (rovnost a nediskriminace)</w:t>
      </w:r>
      <w:bookmarkEnd w:id="14"/>
    </w:p>
    <w:p w14:paraId="0B912045" w14:textId="77777777" w:rsidR="00407C50" w:rsidRPr="00407C50" w:rsidRDefault="00407C50" w:rsidP="00893953">
      <w:pPr>
        <w:pStyle w:val="Nadpis2"/>
        <w:rPr>
          <w:rStyle w:val="Siln"/>
          <w:b w:val="0"/>
        </w:rPr>
      </w:pPr>
      <w:bookmarkStart w:id="15" w:name="_Toc81417421"/>
      <w:r w:rsidRPr="00407C50">
        <w:rPr>
          <w:rStyle w:val="Siln"/>
          <w:b w:val="0"/>
        </w:rPr>
        <w:t>5 indikátorů</w:t>
      </w:r>
      <w:r w:rsidR="00893953">
        <w:rPr>
          <w:rStyle w:val="Siln"/>
          <w:b w:val="0"/>
        </w:rPr>
        <w:t xml:space="preserve"> pro sledování plnění čl. 5 Úmluvy</w:t>
      </w:r>
      <w:bookmarkEnd w:id="15"/>
      <w:r w:rsidR="00893953">
        <w:rPr>
          <w:rStyle w:val="Siln"/>
          <w:b w:val="0"/>
        </w:rPr>
        <w:t xml:space="preserve"> </w:t>
      </w:r>
    </w:p>
    <w:p w14:paraId="598FAF6A" w14:textId="77777777" w:rsidR="00407C50" w:rsidRPr="00407C50" w:rsidRDefault="00407C50" w:rsidP="00407C50">
      <w:pPr>
        <w:rPr>
          <w:rStyle w:val="Siln"/>
          <w:b w:val="0"/>
        </w:rPr>
      </w:pPr>
    </w:p>
    <w:p w14:paraId="784956C1" w14:textId="77777777" w:rsidR="00407C50" w:rsidRPr="00407C50" w:rsidRDefault="00407C50" w:rsidP="00407C50">
      <w:pPr>
        <w:pStyle w:val="Seznam"/>
        <w:rPr>
          <w:rStyle w:val="Siln"/>
          <w:b w:val="0"/>
          <w:bCs w:val="0"/>
        </w:rPr>
      </w:pPr>
      <w:r w:rsidRPr="00407C50">
        <w:rPr>
          <w:rStyle w:val="Siln"/>
          <w:b w:val="0"/>
        </w:rPr>
        <w:t>Existence adekvátní právní úpravy zakazující diskriminaci na základě postižení (strukturální indikátor)</w:t>
      </w:r>
      <w:r w:rsidR="008D52DC">
        <w:rPr>
          <w:rStyle w:val="Siln"/>
          <w:b w:val="0"/>
        </w:rPr>
        <w:t>.</w:t>
      </w:r>
    </w:p>
    <w:p w14:paraId="30921231" w14:textId="77777777" w:rsidR="00407C50" w:rsidRPr="00407C50" w:rsidRDefault="00407C50" w:rsidP="00407C50">
      <w:pPr>
        <w:pStyle w:val="Seznam"/>
        <w:rPr>
          <w:rStyle w:val="Siln"/>
          <w:b w:val="0"/>
          <w:bCs w:val="0"/>
        </w:rPr>
      </w:pPr>
      <w:r w:rsidRPr="00407C50">
        <w:rPr>
          <w:rStyle w:val="Siln"/>
          <w:b w:val="0"/>
        </w:rPr>
        <w:t>Provádění ambiciózní vládní strategie týkající se rovnosti lidí s postižením (strukturální indikátor)</w:t>
      </w:r>
      <w:r w:rsidR="008D52DC">
        <w:rPr>
          <w:rStyle w:val="Siln"/>
          <w:b w:val="0"/>
        </w:rPr>
        <w:t>.</w:t>
      </w:r>
    </w:p>
    <w:p w14:paraId="6ED0A0D0" w14:textId="77777777" w:rsidR="00407C50" w:rsidRPr="00407C50" w:rsidRDefault="00407C50" w:rsidP="00407C50">
      <w:pPr>
        <w:pStyle w:val="Seznam"/>
        <w:rPr>
          <w:rStyle w:val="Siln"/>
          <w:b w:val="0"/>
          <w:bCs w:val="0"/>
        </w:rPr>
      </w:pPr>
      <w:r w:rsidRPr="00407C50">
        <w:rPr>
          <w:rStyle w:val="Siln"/>
          <w:b w:val="0"/>
        </w:rPr>
        <w:t>Vnímání diskriminace obecnou populací a osobní zkušenost s diskriminací z důvodu postižení (výsledkový indikátor)</w:t>
      </w:r>
      <w:r w:rsidR="008D52DC">
        <w:rPr>
          <w:rStyle w:val="Siln"/>
          <w:b w:val="0"/>
        </w:rPr>
        <w:t>.</w:t>
      </w:r>
    </w:p>
    <w:p w14:paraId="54B6428C" w14:textId="77777777" w:rsidR="00407C50" w:rsidRPr="00407C50" w:rsidRDefault="00407C50" w:rsidP="00407C50">
      <w:pPr>
        <w:pStyle w:val="Seznam"/>
        <w:rPr>
          <w:rStyle w:val="Siln"/>
          <w:b w:val="0"/>
        </w:rPr>
      </w:pPr>
      <w:r w:rsidRPr="00407C50">
        <w:rPr>
          <w:rStyle w:val="Siln"/>
          <w:b w:val="0"/>
        </w:rPr>
        <w:t>Počet podnětů na diskriminaci z důvodu postižení (veřejný ochránce práv, vybrané správní orgány) (výsledkový indikátor)</w:t>
      </w:r>
      <w:r w:rsidR="008D52DC">
        <w:rPr>
          <w:rStyle w:val="Siln"/>
          <w:b w:val="0"/>
        </w:rPr>
        <w:t>.</w:t>
      </w:r>
    </w:p>
    <w:p w14:paraId="6F23DFC8" w14:textId="77777777" w:rsidR="00407C50" w:rsidRPr="00407C50" w:rsidRDefault="00407C50" w:rsidP="00407C50">
      <w:pPr>
        <w:pStyle w:val="Seznam"/>
        <w:rPr>
          <w:rStyle w:val="Siln"/>
          <w:b w:val="0"/>
        </w:rPr>
      </w:pPr>
      <w:r w:rsidRPr="00407C50">
        <w:rPr>
          <w:rStyle w:val="Siln"/>
          <w:b w:val="0"/>
        </w:rPr>
        <w:t>Počet podaných soudních žalob na diskriminaci z důvodu postižení (výsledkový indikátor)</w:t>
      </w:r>
      <w:r w:rsidR="008D52DC">
        <w:rPr>
          <w:rStyle w:val="Siln"/>
          <w:b w:val="0"/>
        </w:rPr>
        <w:t>.</w:t>
      </w:r>
    </w:p>
    <w:p w14:paraId="4E4CDD36" w14:textId="77777777" w:rsidR="00407C50" w:rsidRPr="00407C50" w:rsidRDefault="00407C50" w:rsidP="00407C50">
      <w:pPr>
        <w:rPr>
          <w:rStyle w:val="Siln"/>
          <w:b w:val="0"/>
        </w:rPr>
      </w:pPr>
    </w:p>
    <w:p w14:paraId="75CF4DA3" w14:textId="77777777" w:rsidR="00407C50" w:rsidRPr="00407C50" w:rsidRDefault="00407C50" w:rsidP="00407C50">
      <w:pPr>
        <w:rPr>
          <w:rStyle w:val="Siln"/>
          <w:b w:val="0"/>
        </w:rPr>
      </w:pPr>
    </w:p>
    <w:p w14:paraId="2CE24B12" w14:textId="77777777" w:rsidR="00407C50" w:rsidRPr="00407C50" w:rsidRDefault="00407C50" w:rsidP="00407C50">
      <w:pPr>
        <w:rPr>
          <w:rStyle w:val="Siln"/>
          <w:b w:val="0"/>
        </w:rPr>
      </w:pPr>
    </w:p>
    <w:p w14:paraId="0066B7E7" w14:textId="77777777" w:rsidR="00407C50" w:rsidRPr="00407C50" w:rsidRDefault="00407C50" w:rsidP="00407C50">
      <w:pPr>
        <w:rPr>
          <w:rStyle w:val="Siln"/>
          <w:b w:val="0"/>
        </w:rPr>
      </w:pPr>
      <w:r w:rsidRPr="00407C50">
        <w:rPr>
          <w:rStyle w:val="Siln"/>
          <w:b w:val="0"/>
        </w:rPr>
        <w:t>Sledování indikátorů je možné na základě:</w:t>
      </w:r>
    </w:p>
    <w:p w14:paraId="7FA9BB88" w14:textId="77777777" w:rsidR="00407C50" w:rsidRPr="00407C50" w:rsidRDefault="00407C50" w:rsidP="00407C50">
      <w:pPr>
        <w:pStyle w:val="Seznam"/>
        <w:tabs>
          <w:tab w:val="left" w:pos="567"/>
        </w:tabs>
        <w:spacing w:before="120" w:after="120"/>
        <w:rPr>
          <w:rStyle w:val="Siln"/>
          <w:b w:val="0"/>
          <w:bCs w:val="0"/>
        </w:rPr>
      </w:pPr>
      <w:r w:rsidRPr="00407C50">
        <w:rPr>
          <w:rStyle w:val="Siln"/>
          <w:b w:val="0"/>
        </w:rPr>
        <w:t>sledování vývoje právní úpravy diskriminace v obecně závazných právních předpisech</w:t>
      </w:r>
    </w:p>
    <w:p w14:paraId="2D8C4D77" w14:textId="77777777" w:rsidR="00407C50" w:rsidRPr="00407C50" w:rsidRDefault="00407C50" w:rsidP="00407C50">
      <w:pPr>
        <w:pStyle w:val="Seznam"/>
        <w:tabs>
          <w:tab w:val="left" w:pos="567"/>
        </w:tabs>
        <w:spacing w:before="120" w:after="120"/>
        <w:rPr>
          <w:rStyle w:val="Siln"/>
          <w:b w:val="0"/>
          <w:bCs w:val="0"/>
        </w:rPr>
      </w:pPr>
      <w:r w:rsidRPr="00407C50">
        <w:rPr>
          <w:rStyle w:val="Siln"/>
          <w:b w:val="0"/>
        </w:rPr>
        <w:t>sledování postupu vlády a jí podřízených organizačních složek v klíčových oblastech regulovaných Úmluvou</w:t>
      </w:r>
    </w:p>
    <w:p w14:paraId="7A84963C" w14:textId="77777777" w:rsidR="00407C50" w:rsidRPr="00407C50" w:rsidRDefault="00407C50" w:rsidP="00407C50">
      <w:pPr>
        <w:pStyle w:val="Seznam"/>
        <w:tabs>
          <w:tab w:val="left" w:pos="567"/>
        </w:tabs>
        <w:spacing w:before="120" w:after="120"/>
        <w:rPr>
          <w:rStyle w:val="Siln"/>
          <w:b w:val="0"/>
          <w:bCs w:val="0"/>
        </w:rPr>
      </w:pPr>
      <w:r w:rsidRPr="00407C50">
        <w:rPr>
          <w:rStyle w:val="Siln"/>
          <w:b w:val="0"/>
        </w:rPr>
        <w:t>opakujícího se šetření Eurobarometr Evropské komise (3 – 4 roky) na téma „Diskriminace“</w:t>
      </w:r>
    </w:p>
    <w:p w14:paraId="4B846AFD" w14:textId="77777777" w:rsidR="00407C50" w:rsidRPr="00407C50" w:rsidRDefault="00407C50" w:rsidP="00407C50">
      <w:pPr>
        <w:pStyle w:val="Seznam"/>
        <w:tabs>
          <w:tab w:val="left" w:pos="567"/>
        </w:tabs>
        <w:spacing w:before="120" w:after="120"/>
        <w:rPr>
          <w:rStyle w:val="Siln"/>
          <w:b w:val="0"/>
          <w:bCs w:val="0"/>
        </w:rPr>
      </w:pPr>
      <w:r w:rsidRPr="00407C50">
        <w:rPr>
          <w:rStyle w:val="Siln"/>
          <w:b w:val="0"/>
        </w:rPr>
        <w:t>analýz výročních zpráv veřejného ochránce práv a vybraných správních orgánů</w:t>
      </w:r>
    </w:p>
    <w:p w14:paraId="32095B08" w14:textId="77777777" w:rsidR="00407C50" w:rsidRPr="00407C50" w:rsidRDefault="00407C50" w:rsidP="00407C50">
      <w:pPr>
        <w:pStyle w:val="Seznam"/>
        <w:tabs>
          <w:tab w:val="left" w:pos="567"/>
        </w:tabs>
        <w:spacing w:before="120" w:after="120"/>
        <w:rPr>
          <w:rStyle w:val="Siln"/>
          <w:b w:val="0"/>
          <w:bCs w:val="0"/>
        </w:rPr>
      </w:pPr>
      <w:r w:rsidRPr="00407C50">
        <w:rPr>
          <w:rStyle w:val="Siln"/>
          <w:b w:val="0"/>
        </w:rPr>
        <w:t>obsahové analýzy rozhodovací činnosti soudů (civilní větev soudnictví)</w:t>
      </w:r>
    </w:p>
    <w:p w14:paraId="2BF603B2" w14:textId="77777777" w:rsidR="00407C50" w:rsidRPr="00407C50" w:rsidRDefault="00407C50" w:rsidP="00407C50">
      <w:pPr>
        <w:pStyle w:val="Seznam"/>
        <w:numPr>
          <w:ilvl w:val="0"/>
          <w:numId w:val="0"/>
        </w:numPr>
        <w:rPr>
          <w:rStyle w:val="Siln"/>
          <w:b w:val="0"/>
          <w:bCs w:val="0"/>
        </w:rPr>
      </w:pPr>
    </w:p>
    <w:p w14:paraId="17F88993" w14:textId="77777777" w:rsidR="00407C50" w:rsidRPr="00407C50" w:rsidRDefault="00407C50" w:rsidP="00407C50">
      <w:pPr>
        <w:pStyle w:val="Seznam"/>
        <w:numPr>
          <w:ilvl w:val="0"/>
          <w:numId w:val="0"/>
        </w:numPr>
        <w:rPr>
          <w:rStyle w:val="Siln"/>
          <w:b w:val="0"/>
          <w:bCs w:val="0"/>
        </w:rPr>
      </w:pPr>
    </w:p>
    <w:p w14:paraId="34C291F0" w14:textId="77777777" w:rsidR="00407C50" w:rsidRPr="002F741F" w:rsidRDefault="00407C50" w:rsidP="002F741F">
      <w:pPr>
        <w:pStyle w:val="Seznam"/>
        <w:numPr>
          <w:ilvl w:val="0"/>
          <w:numId w:val="0"/>
        </w:numPr>
        <w:rPr>
          <w:rStyle w:val="Siln"/>
          <w:b w:val="0"/>
          <w:bCs w:val="0"/>
        </w:rPr>
      </w:pPr>
      <w:r w:rsidRPr="00407C50">
        <w:rPr>
          <w:rStyle w:val="Siln"/>
          <w:b w:val="0"/>
        </w:rPr>
        <w:br w:type="page"/>
      </w:r>
    </w:p>
    <w:p w14:paraId="27656D3F" w14:textId="77777777" w:rsidR="00407C50" w:rsidRPr="00893953" w:rsidRDefault="00407C50" w:rsidP="00893953">
      <w:pPr>
        <w:pStyle w:val="Nadpis3"/>
        <w:rPr>
          <w:rStyle w:val="pokyny"/>
          <w:color w:val="008080"/>
        </w:rPr>
      </w:pPr>
      <w:bookmarkStart w:id="16" w:name="_Toc81417422"/>
      <w:r w:rsidRPr="00893953">
        <w:rPr>
          <w:rStyle w:val="Siln"/>
          <w:b w:val="0"/>
          <w:bCs w:val="0"/>
        </w:rPr>
        <w:lastRenderedPageBreak/>
        <w:t>Existence adekvátní právní úpravy zakazující diskriminaci na základě postižení</w:t>
      </w:r>
      <w:bookmarkEnd w:id="16"/>
    </w:p>
    <w:p w14:paraId="791CC12E" w14:textId="77777777" w:rsidR="00407C50" w:rsidRPr="00407C50" w:rsidRDefault="00407C50" w:rsidP="00407C50">
      <w:pPr>
        <w:pStyle w:val="Zkladntext"/>
        <w:rPr>
          <w:rStyle w:val="pokyny"/>
          <w:color w:val="000000" w:themeColor="text1"/>
        </w:rPr>
      </w:pPr>
      <w:r w:rsidRPr="00407C50">
        <w:rPr>
          <w:rStyle w:val="pokyny"/>
          <w:color w:val="000000" w:themeColor="text1"/>
        </w:rPr>
        <w:t>Existence adekvátní vnitrostátní právní úpravy zakazující diskriminaci z důvodu postižení, která obsahuje:</w:t>
      </w:r>
    </w:p>
    <w:p w14:paraId="5F2C03DC"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definici „postižení“ respektující čl. 2 Úmluvy,</w:t>
      </w:r>
    </w:p>
    <w:p w14:paraId="369CFC65"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zákaz všech forem diskriminace, včetně domnělé, odvozené, vícenásobné a průsečíkové diskriminace,</w:t>
      </w:r>
    </w:p>
    <w:p w14:paraId="3F8B70A1"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zákaz diskriminace ve všech oblastech života (např. práce, služby, bydlení, zdravotní péče, vzdělávání),</w:t>
      </w:r>
    </w:p>
    <w:p w14:paraId="636CA455"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 xml:space="preserve">povinnost přijímat vůči lidem s postižením přiměřené opatření ve všech oblastech života, </w:t>
      </w:r>
    </w:p>
    <w:p w14:paraId="59E93488"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právo realizovat pozitivní opatření (afirmativní akci) z důvodu postižení,</w:t>
      </w:r>
    </w:p>
    <w:p w14:paraId="62913592"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 xml:space="preserve">dostupné právní prostředky ochrany proti diskriminaci, včetně veřejné žaloby (actio popularis), </w:t>
      </w:r>
    </w:p>
    <w:p w14:paraId="77C11F04"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povinnost sdílení důkazního břemene v soudních řízeních, kde je namítána diskriminace z důvodu postižení, bez ohledu na oblast života,</w:t>
      </w:r>
    </w:p>
    <w:p w14:paraId="46CFDBC2"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účinné, přiměřené a odrazující sankce pro porušení zákazu diskriminace,</w:t>
      </w:r>
    </w:p>
    <w:p w14:paraId="2F2E6C55"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širokou aktivní legitimaci k podání právního prostředku ochrany proti diskriminaci (jednotlivci, právnické osoby – spolky, orgán pro rovné zacházení),</w:t>
      </w:r>
    </w:p>
    <w:p w14:paraId="22FEBDF7"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existenci orgánu pro rovné zacházení, který se zabývá stížnostmi na diskriminaci z důvodu postižení, vydává doporučení, provádí výzkumy a osvětovou činnost.</w:t>
      </w:r>
    </w:p>
    <w:p w14:paraId="21CA7257" w14:textId="77777777" w:rsidR="00407C50" w:rsidRPr="00407C50" w:rsidRDefault="00407C50" w:rsidP="00407C50">
      <w:pPr>
        <w:pStyle w:val="Seznam"/>
        <w:numPr>
          <w:ilvl w:val="0"/>
          <w:numId w:val="0"/>
        </w:numPr>
        <w:rPr>
          <w:rStyle w:val="pokyny"/>
          <w:color w:val="000000" w:themeColor="text1"/>
        </w:rPr>
      </w:pPr>
    </w:p>
    <w:p w14:paraId="6E9143A0" w14:textId="77777777" w:rsidR="00407C50" w:rsidRPr="00407C50" w:rsidRDefault="00407C50" w:rsidP="00407C50">
      <w:pPr>
        <w:pStyle w:val="Seznam"/>
        <w:numPr>
          <w:ilvl w:val="0"/>
          <w:numId w:val="0"/>
        </w:numPr>
        <w:rPr>
          <w:rStyle w:val="pokyny"/>
          <w:color w:val="000000" w:themeColor="text1"/>
        </w:rPr>
      </w:pPr>
      <w:r w:rsidRPr="00407C50">
        <w:rPr>
          <w:rStyle w:val="pokyny"/>
          <w:color w:val="000000" w:themeColor="text1"/>
        </w:rPr>
        <w:t xml:space="preserve">Možnost dosáhnout celkového skóre: </w:t>
      </w:r>
      <w:r w:rsidRPr="00407C50">
        <w:rPr>
          <w:rStyle w:val="Siln"/>
          <w:b w:val="0"/>
        </w:rPr>
        <w:t>10</w:t>
      </w:r>
    </w:p>
    <w:p w14:paraId="55DC5107" w14:textId="77777777" w:rsidR="00407C50" w:rsidRPr="00407C50" w:rsidRDefault="00407C50" w:rsidP="00407C50">
      <w:pPr>
        <w:pStyle w:val="Seznam"/>
        <w:numPr>
          <w:ilvl w:val="0"/>
          <w:numId w:val="0"/>
        </w:numPr>
        <w:rPr>
          <w:rStyle w:val="pokyny"/>
          <w:color w:val="000000" w:themeColor="text1"/>
        </w:rPr>
      </w:pPr>
      <w:r w:rsidRPr="00407C50">
        <w:rPr>
          <w:rStyle w:val="pokyny"/>
          <w:color w:val="000000" w:themeColor="text1"/>
        </w:rPr>
        <w:t xml:space="preserve">Česko aktuálně dosahuje skóre: </w:t>
      </w:r>
      <w:r>
        <w:rPr>
          <w:rStyle w:val="Siln"/>
          <w:b w:val="0"/>
        </w:rPr>
        <w:t>X</w:t>
      </w:r>
    </w:p>
    <w:p w14:paraId="001D55C9"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407C50">
        <w:rPr>
          <w:rStyle w:val="pokyny"/>
          <w:color w:val="000000" w:themeColor="text1"/>
        </w:rPr>
        <w:t>Komentář</w:t>
      </w:r>
    </w:p>
    <w:p w14:paraId="0070A424"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407C50">
        <w:rPr>
          <w:rStyle w:val="pokyny"/>
          <w:color w:val="000000" w:themeColor="text1"/>
        </w:rPr>
        <w:t xml:space="preserve">Klíčové aspekty antidiskriminační právní úpravy, které navrhuji sledovat, vycházejí z návrhu indikátorů pro článek 5 Úmluvy, které jsou zveřejněny zde  </w:t>
      </w:r>
      <w:hyperlink r:id="rId15" w:history="1">
        <w:r w:rsidRPr="00407C50">
          <w:rPr>
            <w:rStyle w:val="Hypertextovodkaz"/>
          </w:rPr>
          <w:t>https://www.ohchr.org/EN/Issues/Disability/Pages/EUAndOHCHRProjectBridgingGapI.aspx</w:t>
        </w:r>
      </w:hyperlink>
      <w:r w:rsidRPr="00407C50">
        <w:rPr>
          <w:rStyle w:val="pokyny"/>
          <w:color w:val="000000" w:themeColor="text1"/>
        </w:rPr>
        <w:t>.</w:t>
      </w:r>
    </w:p>
    <w:p w14:paraId="7C559B52"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407C50">
        <w:rPr>
          <w:rStyle w:val="pokyny"/>
          <w:color w:val="000000" w:themeColor="text1"/>
        </w:rPr>
        <w:t>(Ne)splnění jednotlivých kritérií by mělo být doplněno komentářem.</w:t>
      </w:r>
    </w:p>
    <w:p w14:paraId="7B34815F" w14:textId="77777777" w:rsidR="00407C50" w:rsidRPr="00407C50" w:rsidRDefault="00407C50" w:rsidP="00407C50">
      <w:pPr>
        <w:pStyle w:val="Zkladntext"/>
        <w:spacing w:before="0" w:after="0" w:line="240" w:lineRule="auto"/>
        <w:rPr>
          <w:rStyle w:val="pokyny"/>
          <w:color w:val="000000" w:themeColor="text1"/>
        </w:rPr>
      </w:pPr>
    </w:p>
    <w:p w14:paraId="2854245B" w14:textId="77777777" w:rsidR="00407C50" w:rsidRPr="00407C50" w:rsidRDefault="00407C50" w:rsidP="00407C50">
      <w:pPr>
        <w:pStyle w:val="Zkladntext"/>
        <w:spacing w:before="0" w:after="0" w:line="240" w:lineRule="auto"/>
        <w:rPr>
          <w:rStyle w:val="pokyny"/>
          <w:color w:val="000000" w:themeColor="text1"/>
        </w:rPr>
      </w:pPr>
      <w:r w:rsidRPr="00407C50">
        <w:rPr>
          <w:rStyle w:val="pokyny"/>
          <w:color w:val="000000" w:themeColor="text1"/>
        </w:rPr>
        <w:t>Progres v implementaci čl. 5 Úmluvy:</w:t>
      </w:r>
    </w:p>
    <w:p w14:paraId="3F0380DD" w14:textId="77777777" w:rsidR="00407C50" w:rsidRPr="00407C50" w:rsidRDefault="00407C50" w:rsidP="00407C50">
      <w:pPr>
        <w:pStyle w:val="Zkladntext"/>
        <w:spacing w:before="0" w:after="0" w:line="240" w:lineRule="auto"/>
        <w:rPr>
          <w:rStyle w:val="pokyny"/>
          <w:color w:val="000000" w:themeColor="text1"/>
        </w:rPr>
      </w:pPr>
    </w:p>
    <w:p w14:paraId="047374E8" w14:textId="77777777" w:rsidR="00407C50" w:rsidRPr="002F741F" w:rsidRDefault="00407C50" w:rsidP="00407C50">
      <w:pPr>
        <w:pStyle w:val="Seznam"/>
        <w:tabs>
          <w:tab w:val="left" w:pos="567"/>
        </w:tabs>
        <w:spacing w:before="120" w:after="120"/>
        <w:rPr>
          <w:rStyle w:val="Siln"/>
          <w:b w:val="0"/>
          <w:bCs w:val="0"/>
          <w:color w:val="000000" w:themeColor="text1"/>
        </w:rPr>
      </w:pPr>
      <w:r w:rsidRPr="00893953">
        <w:rPr>
          <w:rStyle w:val="pokyny"/>
          <w:color w:val="000000" w:themeColor="text1"/>
        </w:rPr>
        <w:t>Aktuální skóre se postupně zvyšuje, protože dochází ke změně antidiskriminační právní úpravy zakotvující některý z dosud chybějících aspektů.</w:t>
      </w:r>
      <w:r w:rsidRPr="00893953">
        <w:rPr>
          <w:rStyle w:val="pokyny"/>
          <w:color w:val="000000" w:themeColor="text1"/>
        </w:rPr>
        <w:br w:type="page"/>
      </w:r>
    </w:p>
    <w:p w14:paraId="5C589ADB" w14:textId="77777777" w:rsidR="00407C50" w:rsidRPr="00893953" w:rsidRDefault="00407C50" w:rsidP="00893953">
      <w:pPr>
        <w:pStyle w:val="Nadpis3"/>
        <w:rPr>
          <w:rStyle w:val="Siln"/>
          <w:b w:val="0"/>
          <w:bCs w:val="0"/>
        </w:rPr>
      </w:pPr>
      <w:bookmarkStart w:id="17" w:name="_Toc81417423"/>
      <w:r w:rsidRPr="00893953">
        <w:rPr>
          <w:rStyle w:val="Siln"/>
          <w:b w:val="0"/>
          <w:bCs w:val="0"/>
        </w:rPr>
        <w:lastRenderedPageBreak/>
        <w:t>Provádění ambiciózní vládní strategie týkající se rovnosti lidí s postižením</w:t>
      </w:r>
      <w:bookmarkEnd w:id="17"/>
      <w:r w:rsidRPr="00893953">
        <w:rPr>
          <w:rStyle w:val="Siln"/>
          <w:b w:val="0"/>
          <w:bCs w:val="0"/>
        </w:rPr>
        <w:t xml:space="preserve"> </w:t>
      </w:r>
    </w:p>
    <w:p w14:paraId="4E39B4B3" w14:textId="77777777" w:rsidR="00407C50" w:rsidRPr="00407C50" w:rsidRDefault="00407C50" w:rsidP="00407C50">
      <w:pPr>
        <w:pStyle w:val="Seznam"/>
        <w:numPr>
          <w:ilvl w:val="0"/>
          <w:numId w:val="0"/>
        </w:numPr>
        <w:rPr>
          <w:rStyle w:val="pokyny"/>
          <w:color w:val="000000" w:themeColor="text1"/>
        </w:rPr>
      </w:pPr>
      <w:r w:rsidRPr="00407C50">
        <w:rPr>
          <w:rStyle w:val="pokyny"/>
          <w:color w:val="000000" w:themeColor="text1"/>
        </w:rPr>
        <w:t>Přijetí a provádění víceleté ambiciózní vládní strategie, která obsahuje konkrétní a měřitelné cíle týkající se rovného zacházení a nediskriminace z důvodu postižení.</w:t>
      </w:r>
    </w:p>
    <w:p w14:paraId="16D61B82" w14:textId="77777777" w:rsidR="00407C50" w:rsidRPr="00407C50" w:rsidRDefault="00407C50" w:rsidP="00407C50">
      <w:pPr>
        <w:pStyle w:val="Seznam"/>
        <w:numPr>
          <w:ilvl w:val="0"/>
          <w:numId w:val="0"/>
        </w:numPr>
        <w:rPr>
          <w:rStyle w:val="pokyny"/>
          <w:color w:val="000000" w:themeColor="text1"/>
        </w:rPr>
      </w:pPr>
      <w:r w:rsidRPr="00407C50">
        <w:rPr>
          <w:rStyle w:val="pokyny"/>
          <w:color w:val="000000" w:themeColor="text1"/>
        </w:rPr>
        <w:t>Strategie má tyto náležitosti:</w:t>
      </w:r>
    </w:p>
    <w:p w14:paraId="2EEA13F5"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pokrývá všechny klíčové články Úmluvy (čl. 5, 9, 12, 19, 24, 25 a 27),</w:t>
      </w:r>
    </w:p>
    <w:p w14:paraId="650C6DA7"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lidé s postižením participují na její tvorbě, přijímání a monitorují její realizaci,</w:t>
      </w:r>
    </w:p>
    <w:p w14:paraId="28D77CBB"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adresně reaguje na doporučení mezinárodních organizací a jejich orgánů (zejména Výboru OSN pro práva osob s postižením ve vztahu k ČR),</w:t>
      </w:r>
    </w:p>
    <w:p w14:paraId="6DD8DC56"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obsahuje velmi konkrétní úkoly a opatření, měřitelné cíle, alokované finanční prostředky a přiměřený časový rámec pro realizaci úkolů a opatření,</w:t>
      </w:r>
    </w:p>
    <w:p w14:paraId="3389B73E"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plnění úkolů a opatření, dosahování cílů, spotřeba finančních prostředků a dodržování termínů je podrobeno kritickému hodnocení nezávislým auditorem/monitorovacím orgánem/koalicí neziskového sektoru.</w:t>
      </w:r>
    </w:p>
    <w:p w14:paraId="4547A3DC" w14:textId="77777777" w:rsidR="00407C50" w:rsidRDefault="00407C50" w:rsidP="00407C50">
      <w:pPr>
        <w:pStyle w:val="Seznam"/>
        <w:numPr>
          <w:ilvl w:val="0"/>
          <w:numId w:val="0"/>
        </w:numPr>
        <w:rPr>
          <w:rStyle w:val="pokyny"/>
          <w:color w:val="000000" w:themeColor="text1"/>
        </w:rPr>
      </w:pPr>
    </w:p>
    <w:p w14:paraId="6865FCB2" w14:textId="77777777" w:rsidR="00407C50" w:rsidRPr="00407C50" w:rsidRDefault="00407C50" w:rsidP="00407C50">
      <w:pPr>
        <w:pStyle w:val="Seznam"/>
        <w:numPr>
          <w:ilvl w:val="0"/>
          <w:numId w:val="0"/>
        </w:numPr>
        <w:rPr>
          <w:rStyle w:val="pokyny"/>
          <w:color w:val="000000" w:themeColor="text1"/>
        </w:rPr>
      </w:pPr>
      <w:r w:rsidRPr="00407C50">
        <w:rPr>
          <w:rStyle w:val="pokyny"/>
          <w:color w:val="000000" w:themeColor="text1"/>
        </w:rPr>
        <w:t xml:space="preserve">Možnost dosáhnout celkového skóre: </w:t>
      </w:r>
      <w:r w:rsidRPr="00407C50">
        <w:rPr>
          <w:rStyle w:val="Siln"/>
          <w:b w:val="0"/>
        </w:rPr>
        <w:t>5</w:t>
      </w:r>
    </w:p>
    <w:p w14:paraId="2B9C2756" w14:textId="77777777" w:rsidR="00407C50" w:rsidRPr="00407C50" w:rsidRDefault="00407C50" w:rsidP="00407C50">
      <w:pPr>
        <w:pStyle w:val="Zkladntext"/>
        <w:rPr>
          <w:rStyle w:val="pokyny"/>
          <w:color w:val="000000" w:themeColor="text1"/>
        </w:rPr>
      </w:pPr>
      <w:r w:rsidRPr="00407C50">
        <w:rPr>
          <w:rStyle w:val="pokyny"/>
          <w:color w:val="000000" w:themeColor="text1"/>
        </w:rPr>
        <w:t xml:space="preserve">Česko aktuálně dosahuje skóre: </w:t>
      </w:r>
      <w:r>
        <w:rPr>
          <w:rStyle w:val="Siln"/>
          <w:b w:val="0"/>
        </w:rPr>
        <w:t>X</w:t>
      </w:r>
    </w:p>
    <w:p w14:paraId="209DCC96" w14:textId="77777777" w:rsidR="00407C50" w:rsidRPr="00407C50" w:rsidRDefault="00407C50" w:rsidP="00407C50">
      <w:pPr>
        <w:pStyle w:val="Seznam"/>
        <w:numPr>
          <w:ilvl w:val="0"/>
          <w:numId w:val="0"/>
        </w:numPr>
        <w:rPr>
          <w:rStyle w:val="pokyny"/>
          <w:color w:val="000000" w:themeColor="text1"/>
        </w:rPr>
      </w:pPr>
    </w:p>
    <w:p w14:paraId="60BE4EC3"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spacing w:before="0" w:after="0"/>
        <w:ind w:left="567" w:hanging="567"/>
        <w:rPr>
          <w:rStyle w:val="pokyny"/>
          <w:color w:val="000000" w:themeColor="text1"/>
        </w:rPr>
      </w:pPr>
      <w:r w:rsidRPr="00407C50">
        <w:rPr>
          <w:rStyle w:val="pokyny"/>
          <w:color w:val="000000" w:themeColor="text1"/>
        </w:rPr>
        <w:t>Komentář</w:t>
      </w:r>
    </w:p>
    <w:p w14:paraId="7FE0787C"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407C50">
        <w:rPr>
          <w:rStyle w:val="pokyny"/>
          <w:color w:val="000000" w:themeColor="text1"/>
        </w:rPr>
        <w:t>Vlády dlouhodobě přijímaly vládní strategie na podporu rovných příležitostí lidí s postižením</w:t>
      </w:r>
      <w:r w:rsidRPr="00407C50">
        <w:rPr>
          <w:rStyle w:val="Znakapoznpodarou"/>
          <w:b w:val="0"/>
        </w:rPr>
        <w:footnoteReference w:id="2"/>
      </w:r>
      <w:r w:rsidRPr="00407C50">
        <w:rPr>
          <w:rStyle w:val="pokyny"/>
          <w:color w:val="000000" w:themeColor="text1"/>
        </w:rPr>
        <w:t xml:space="preserve">: </w:t>
      </w:r>
    </w:p>
    <w:p w14:paraId="4EAA31A7"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407C50">
        <w:rPr>
          <w:rStyle w:val="pokyny"/>
          <w:color w:val="000000" w:themeColor="text1"/>
        </w:rPr>
        <w:t xml:space="preserve">Tyto strategie jsou dostupné na </w:t>
      </w:r>
      <w:hyperlink r:id="rId16" w:history="1">
        <w:r w:rsidRPr="00407C50">
          <w:rPr>
            <w:rStyle w:val="Hypertextovodkaz"/>
          </w:rPr>
          <w:t>https://www.vlada.cz/scripts/detail.php?pgid=179</w:t>
        </w:r>
      </w:hyperlink>
      <w:r w:rsidRPr="00407C50">
        <w:rPr>
          <w:rStyle w:val="pokyny"/>
          <w:color w:val="000000" w:themeColor="text1"/>
        </w:rPr>
        <w:t>.</w:t>
      </w:r>
    </w:p>
    <w:p w14:paraId="723FB380" w14:textId="77777777" w:rsidR="00407C50" w:rsidRPr="00407C50" w:rsidRDefault="00407C50" w:rsidP="00407C50">
      <w:pPr>
        <w:rPr>
          <w:rStyle w:val="Siln"/>
          <w:b w:val="0"/>
        </w:rPr>
      </w:pPr>
    </w:p>
    <w:p w14:paraId="10D61B8E" w14:textId="77777777" w:rsidR="00407C50" w:rsidRPr="00407C50" w:rsidRDefault="00407C50" w:rsidP="00407C50">
      <w:pPr>
        <w:rPr>
          <w:rStyle w:val="Siln"/>
          <w:b w:val="0"/>
        </w:rPr>
      </w:pPr>
      <w:r w:rsidRPr="00407C50">
        <w:rPr>
          <w:rStyle w:val="Siln"/>
          <w:b w:val="0"/>
        </w:rPr>
        <w:t>Progres v implementaci čl. 5 Úmluvy:</w:t>
      </w:r>
    </w:p>
    <w:p w14:paraId="00EBD95A" w14:textId="77777777" w:rsidR="00407C50" w:rsidRPr="00407C50" w:rsidRDefault="00407C50" w:rsidP="00407C50">
      <w:pPr>
        <w:rPr>
          <w:rStyle w:val="Siln"/>
          <w:b w:val="0"/>
        </w:rPr>
      </w:pPr>
    </w:p>
    <w:p w14:paraId="72FDFF19" w14:textId="77777777" w:rsidR="00407C50" w:rsidRPr="00407C50" w:rsidRDefault="00407C50" w:rsidP="00407C50">
      <w:pPr>
        <w:pStyle w:val="Odstavecseseznamem"/>
        <w:numPr>
          <w:ilvl w:val="0"/>
          <w:numId w:val="30"/>
        </w:numPr>
        <w:spacing w:line="240" w:lineRule="auto"/>
        <w:jc w:val="both"/>
        <w:rPr>
          <w:rStyle w:val="Siln"/>
          <w:b w:val="0"/>
        </w:rPr>
      </w:pPr>
      <w:r w:rsidRPr="00407C50">
        <w:rPr>
          <w:rStyle w:val="Siln"/>
          <w:b w:val="0"/>
        </w:rPr>
        <w:t xml:space="preserve">Aktuální skóre se postupně zvyšuje, protože dochází k přijetí a provádění ambiciózní víceleté vládní strategie obsahuje konkrétní a měřitelné cíle týkající se rovného zacházení a nediskriminace z důvodu postižení. </w:t>
      </w:r>
    </w:p>
    <w:p w14:paraId="15306523" w14:textId="77777777" w:rsidR="00407C50" w:rsidRPr="00407C50" w:rsidRDefault="00407C50" w:rsidP="00407C50">
      <w:pPr>
        <w:rPr>
          <w:rStyle w:val="Siln"/>
          <w:b w:val="0"/>
        </w:rPr>
      </w:pPr>
      <w:r w:rsidRPr="00407C50">
        <w:rPr>
          <w:rStyle w:val="Siln"/>
          <w:b w:val="0"/>
        </w:rPr>
        <w:br w:type="page"/>
      </w:r>
    </w:p>
    <w:p w14:paraId="7CA4A2E3" w14:textId="77777777" w:rsidR="00407C50" w:rsidRPr="00893953" w:rsidRDefault="00407C50" w:rsidP="00893953">
      <w:pPr>
        <w:pStyle w:val="Nadpis3"/>
        <w:rPr>
          <w:rStyle w:val="Siln"/>
          <w:b w:val="0"/>
          <w:bCs w:val="0"/>
        </w:rPr>
      </w:pPr>
      <w:bookmarkStart w:id="18" w:name="_Toc81417424"/>
      <w:r w:rsidRPr="00893953">
        <w:rPr>
          <w:rStyle w:val="Siln"/>
          <w:b w:val="0"/>
          <w:bCs w:val="0"/>
        </w:rPr>
        <w:lastRenderedPageBreak/>
        <w:t>Vnímání diskriminace obecnou populací a osobní zkušenost s diskriminací z důvodu postižení</w:t>
      </w:r>
      <w:bookmarkEnd w:id="18"/>
      <w:r w:rsidRPr="00893953">
        <w:rPr>
          <w:rStyle w:val="Siln"/>
          <w:b w:val="0"/>
          <w:bCs w:val="0"/>
        </w:rPr>
        <w:t xml:space="preserve"> </w:t>
      </w:r>
    </w:p>
    <w:p w14:paraId="5309E0FD" w14:textId="77777777" w:rsidR="00407C50" w:rsidRPr="00407C50" w:rsidRDefault="00407C50" w:rsidP="00407C50">
      <w:pPr>
        <w:pStyle w:val="Seznam"/>
        <w:tabs>
          <w:tab w:val="left" w:pos="567"/>
        </w:tabs>
        <w:spacing w:before="120" w:after="120"/>
        <w:rPr>
          <w:rStyle w:val="Siln"/>
          <w:b w:val="0"/>
        </w:rPr>
      </w:pPr>
      <w:r w:rsidRPr="00407C50">
        <w:rPr>
          <w:rStyle w:val="Siln"/>
          <w:b w:val="0"/>
        </w:rPr>
        <w:t>Podíl lidí, kteří se domnívají, že je diskriminace z důvodu postižení v Česku celkem rozšířená.</w:t>
      </w:r>
    </w:p>
    <w:p w14:paraId="3D0933EF" w14:textId="77777777" w:rsidR="00407C50" w:rsidRPr="00407C50" w:rsidRDefault="00407C50" w:rsidP="00407C50">
      <w:pPr>
        <w:pStyle w:val="Zkladntext"/>
        <w:rPr>
          <w:rStyle w:val="pokyny"/>
          <w:color w:val="000000" w:themeColor="text1"/>
        </w:rPr>
      </w:pPr>
      <w:r w:rsidRPr="00407C50">
        <w:rPr>
          <w:rStyle w:val="pokyny"/>
          <w:color w:val="000000" w:themeColor="text1"/>
        </w:rPr>
        <w:t>49 % – 2012</w:t>
      </w:r>
    </w:p>
    <w:p w14:paraId="251A327D" w14:textId="77777777" w:rsidR="00407C50" w:rsidRPr="00407C50" w:rsidRDefault="00407C50" w:rsidP="00407C50">
      <w:pPr>
        <w:pStyle w:val="Zkladntext"/>
        <w:rPr>
          <w:rStyle w:val="pokyny"/>
          <w:color w:val="000000" w:themeColor="text1"/>
        </w:rPr>
      </w:pPr>
      <w:r w:rsidRPr="00407C50">
        <w:rPr>
          <w:rStyle w:val="pokyny"/>
          <w:color w:val="000000" w:themeColor="text1"/>
        </w:rPr>
        <w:t>38 %  – 2015</w:t>
      </w:r>
    </w:p>
    <w:p w14:paraId="790FB701" w14:textId="77777777" w:rsidR="00407C50" w:rsidRPr="00407C50" w:rsidRDefault="00407C50" w:rsidP="00407C50">
      <w:pPr>
        <w:pStyle w:val="Zkladntext"/>
        <w:spacing w:before="0" w:after="0" w:line="240" w:lineRule="auto"/>
        <w:rPr>
          <w:rStyle w:val="pokyny"/>
          <w:color w:val="000000" w:themeColor="text1"/>
        </w:rPr>
      </w:pPr>
      <w:r w:rsidRPr="00407C50">
        <w:rPr>
          <w:rStyle w:val="pokyny"/>
          <w:color w:val="000000" w:themeColor="text1"/>
        </w:rPr>
        <w:t>34 % – 2019</w:t>
      </w:r>
    </w:p>
    <w:p w14:paraId="6AEC9A25" w14:textId="77777777" w:rsidR="00407C50" w:rsidRPr="00407C50" w:rsidRDefault="00407C50" w:rsidP="00407C50">
      <w:pPr>
        <w:pStyle w:val="Zkladntext"/>
        <w:spacing w:before="0" w:after="0" w:line="240" w:lineRule="auto"/>
        <w:rPr>
          <w:rStyle w:val="pokyny"/>
          <w:color w:val="000000" w:themeColor="text1"/>
        </w:rPr>
      </w:pPr>
    </w:p>
    <w:p w14:paraId="11E27627"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 xml:space="preserve">Komentář </w:t>
      </w:r>
    </w:p>
    <w:p w14:paraId="37DB819F"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7B08873A"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 xml:space="preserve">Jedná se o údaj, který pravidelně měří Evropské komise (EK) v rámci šetření Eurobarometr. Dnes tak můžeme porovnat údaje ze tří šetření. Otázka se neměnila od roku 2012. Lze očekávat, že se šetření Eurobarometr bude periodicky opakovat. </w:t>
      </w:r>
    </w:p>
    <w:p w14:paraId="1138AD71"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Vnímání diskriminace vypovídá o pohledu obecné populace na lidi s postižením. Naznačuje, do jaké míry je obecná populace pozorná ke zkušenostem lidí s postižením a zda si připouští, že k diskriminaci dochází.</w:t>
      </w:r>
    </w:p>
    <w:p w14:paraId="466274C8"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Klesající podíl může indikovat zvyšující se míru inkluzivity a respektu vůči lidem s postižením.</w:t>
      </w:r>
    </w:p>
    <w:p w14:paraId="4A27075B"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Komentář je nutno doplnit vždy o pořadí diskriminačního důvodu „zdravotní postižení“ mezi ostatními 8 - 10 důvody (charakteristikami)</w:t>
      </w:r>
      <w:r w:rsidRPr="00407C50">
        <w:rPr>
          <w:rStyle w:val="Znakapoznpodarou"/>
          <w:b w:val="0"/>
        </w:rPr>
        <w:footnoteReference w:id="3"/>
      </w:r>
      <w:r w:rsidRPr="00407C50">
        <w:rPr>
          <w:rStyle w:val="pokyny"/>
          <w:color w:val="000000" w:themeColor="text1"/>
        </w:rPr>
        <w:t>, které EK pravidelně sleduje. V roce 2012 bylo postižení na druhé pozici z osmi,  v roce 2015 až na páté pozici z osmi, v roce 2019 na sedmé pozici z desíti sledovaných důvodů.</w:t>
      </w:r>
    </w:p>
    <w:p w14:paraId="220BEAFD" w14:textId="77777777" w:rsidR="00407C50" w:rsidRPr="00407C50" w:rsidRDefault="00407C50" w:rsidP="00407C50">
      <w:pPr>
        <w:pStyle w:val="Zkladntext"/>
        <w:spacing w:before="0" w:after="0" w:line="240" w:lineRule="auto"/>
        <w:rPr>
          <w:rStyle w:val="pokyny"/>
          <w:color w:val="000000" w:themeColor="text1"/>
        </w:rPr>
      </w:pPr>
    </w:p>
    <w:p w14:paraId="3E42C1B4" w14:textId="77777777" w:rsidR="00407C50" w:rsidRPr="00407C50" w:rsidRDefault="00407C50" w:rsidP="00407C50">
      <w:pPr>
        <w:pStyle w:val="Seznam"/>
        <w:tabs>
          <w:tab w:val="left" w:pos="567"/>
        </w:tabs>
        <w:spacing w:before="120" w:after="120"/>
        <w:rPr>
          <w:rStyle w:val="pokyny"/>
          <w:color w:val="000000" w:themeColor="text1"/>
        </w:rPr>
      </w:pPr>
      <w:r>
        <w:rPr>
          <w:rStyle w:val="pokyny"/>
          <w:color w:val="000000" w:themeColor="text1"/>
        </w:rPr>
        <w:t>Podíl osob</w:t>
      </w:r>
      <w:r w:rsidRPr="00407C50">
        <w:rPr>
          <w:rStyle w:val="pokyny"/>
          <w:color w:val="000000" w:themeColor="text1"/>
        </w:rPr>
        <w:t>, které v uplynulých 5 letech, nebo od doby, kdy jsou v ČR, pokud je to méně než 5 let, někdo diskriminoval anebo obtěžoval kvůli zdravotnímu postižení.</w:t>
      </w:r>
    </w:p>
    <w:p w14:paraId="220DEF68" w14:textId="77777777" w:rsidR="00407C50" w:rsidRPr="00407C50" w:rsidRDefault="00407C50" w:rsidP="00407C50">
      <w:pPr>
        <w:pStyle w:val="Zkladntext"/>
        <w:spacing w:before="0" w:after="0" w:line="240" w:lineRule="auto"/>
        <w:rPr>
          <w:rStyle w:val="pokyny"/>
          <w:color w:val="000000" w:themeColor="text1"/>
        </w:rPr>
      </w:pPr>
      <w:r w:rsidRPr="00407C50">
        <w:rPr>
          <w:rStyle w:val="pokyny"/>
          <w:color w:val="000000" w:themeColor="text1"/>
        </w:rPr>
        <w:t>12 % - 2014</w:t>
      </w:r>
    </w:p>
    <w:p w14:paraId="0BA63A88" w14:textId="77777777" w:rsidR="00407C50" w:rsidRPr="00407C50" w:rsidRDefault="00407C50" w:rsidP="00407C50">
      <w:pPr>
        <w:pStyle w:val="Zkladntext"/>
        <w:spacing w:before="0" w:after="0" w:line="240" w:lineRule="auto"/>
        <w:rPr>
          <w:rStyle w:val="pokyny"/>
          <w:color w:val="000000" w:themeColor="text1"/>
        </w:rPr>
      </w:pPr>
    </w:p>
    <w:p w14:paraId="03202D68" w14:textId="77777777" w:rsidR="00407C50" w:rsidRPr="00407C50" w:rsidRDefault="00407C50" w:rsidP="00407C50">
      <w:pPr>
        <w:pStyle w:val="Zkladntext"/>
        <w:spacing w:before="0" w:after="0" w:line="240" w:lineRule="auto"/>
        <w:rPr>
          <w:rStyle w:val="pokyny"/>
          <w:color w:val="000000" w:themeColor="text1"/>
        </w:rPr>
      </w:pPr>
      <w:r w:rsidRPr="00407C50">
        <w:rPr>
          <w:rStyle w:val="pokyny"/>
          <w:color w:val="000000" w:themeColor="text1"/>
        </w:rPr>
        <w:t>XX</w:t>
      </w:r>
      <w:r w:rsidRPr="00407C50">
        <w:rPr>
          <w:rStyle w:val="pokyny"/>
          <w:rFonts w:cs="Calibri"/>
          <w:color w:val="000000" w:themeColor="text1"/>
        </w:rPr>
        <w:t>%</w:t>
      </w:r>
      <w:r w:rsidRPr="00407C50">
        <w:rPr>
          <w:rStyle w:val="pokyny"/>
          <w:color w:val="000000" w:themeColor="text1"/>
        </w:rPr>
        <w:t xml:space="preserve"> - 2021</w:t>
      </w:r>
      <w:r>
        <w:rPr>
          <w:rStyle w:val="pokyny"/>
          <w:color w:val="000000" w:themeColor="text1"/>
        </w:rPr>
        <w:t>/2022</w:t>
      </w:r>
    </w:p>
    <w:p w14:paraId="047A9287" w14:textId="77777777" w:rsidR="00407C50" w:rsidRPr="00407C50" w:rsidRDefault="00407C50" w:rsidP="00407C50">
      <w:pPr>
        <w:pStyle w:val="Zkladntext"/>
        <w:spacing w:before="0" w:after="0" w:line="240" w:lineRule="auto"/>
        <w:rPr>
          <w:rStyle w:val="pokyny"/>
          <w:color w:val="000000" w:themeColor="text1"/>
        </w:rPr>
      </w:pPr>
    </w:p>
    <w:p w14:paraId="6D53EACF"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Komentář</w:t>
      </w:r>
    </w:p>
    <w:p w14:paraId="4763E6A6"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5E9448BE"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t>První údaj pochází z výzkumné zprávy ochránce z roku 2015 „</w:t>
      </w:r>
      <w:hyperlink r:id="rId17" w:history="1">
        <w:r w:rsidRPr="00407C50">
          <w:rPr>
            <w:rStyle w:val="Hypertextovodkaz"/>
          </w:rPr>
          <w:t>Diskriminace v ČR: oběť diskriminace a její překážky v přístupu ke spravedlnosti</w:t>
        </w:r>
      </w:hyperlink>
      <w:r w:rsidRPr="00407C50">
        <w:rPr>
          <w:rStyle w:val="pokyny"/>
          <w:color w:val="000000" w:themeColor="text1"/>
        </w:rPr>
        <w:t>“ (str. 15). Údaje o subjektivně pociťované diskriminaci v Česku ale nikdo pravidelně nesleduje. Pokud to nebude někdo pravidelně vyhodnocovat (například VOP), nebude možné tento údaj sledovat (EK sleduje jen pociťovanou diskriminaci z důvodu postižení na trhu práce).</w:t>
      </w:r>
      <w:r w:rsidR="009739A0">
        <w:rPr>
          <w:rStyle w:val="pokyny"/>
          <w:color w:val="000000" w:themeColor="text1"/>
        </w:rPr>
        <w:t xml:space="preserve"> </w:t>
      </w:r>
      <w:r w:rsidRPr="00407C50">
        <w:rPr>
          <w:rStyle w:val="pokyny"/>
          <w:color w:val="000000" w:themeColor="text1"/>
        </w:rPr>
        <w:t>Zvyšující se podíl nemusí nutně naznačovat více diskriminace na základě postižení. Může naznačovat vyšší právní povědomí mezi lidmi s postižením v návaznosti na implementaci článku 8 Úmluvy (zvyšování povědomí).</w:t>
      </w:r>
    </w:p>
    <w:p w14:paraId="79B78413"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407C50">
        <w:rPr>
          <w:rStyle w:val="pokyny"/>
          <w:color w:val="000000" w:themeColor="text1"/>
        </w:rPr>
        <w:lastRenderedPageBreak/>
        <w:t>Klesající podíl nemusí nutně indikovat, že klesá výskyt diskriminace z důvodu postižení ve společnosti. Může pouze docházet ke snížení povědomí o diskriminaci v důsledku neplnění článku 8 Úmluvy (zvyšování povědomí).</w:t>
      </w:r>
    </w:p>
    <w:p w14:paraId="1052D20E" w14:textId="77777777" w:rsidR="00407C50" w:rsidRPr="00407C50" w:rsidRDefault="00407C50" w:rsidP="00407C50">
      <w:pPr>
        <w:pStyle w:val="Zkladntext"/>
        <w:spacing w:before="0" w:after="0" w:line="240" w:lineRule="auto"/>
        <w:rPr>
          <w:rStyle w:val="pokyny"/>
          <w:color w:val="000000" w:themeColor="text1"/>
        </w:rPr>
      </w:pPr>
    </w:p>
    <w:p w14:paraId="54510E05" w14:textId="77777777" w:rsidR="00407C50" w:rsidRPr="00407C50" w:rsidRDefault="00407C50" w:rsidP="00407C50">
      <w:pPr>
        <w:pStyle w:val="Zkladntext"/>
        <w:spacing w:before="0" w:after="0" w:line="240" w:lineRule="auto"/>
        <w:rPr>
          <w:rStyle w:val="pokyny"/>
          <w:color w:val="000000" w:themeColor="text1"/>
        </w:rPr>
      </w:pPr>
      <w:r w:rsidRPr="00407C50">
        <w:rPr>
          <w:rStyle w:val="pokyny"/>
          <w:color w:val="000000" w:themeColor="text1"/>
        </w:rPr>
        <w:t>Progres v implementaci čl. 5 Úmluvy:</w:t>
      </w:r>
    </w:p>
    <w:p w14:paraId="4493B2BA" w14:textId="77777777" w:rsidR="00407C50" w:rsidRPr="00407C50" w:rsidRDefault="00407C50" w:rsidP="00407C50">
      <w:pPr>
        <w:pStyle w:val="Zkladntext"/>
        <w:spacing w:before="0" w:after="0" w:line="240" w:lineRule="auto"/>
        <w:rPr>
          <w:rStyle w:val="pokyny"/>
          <w:color w:val="000000" w:themeColor="text1"/>
        </w:rPr>
      </w:pPr>
    </w:p>
    <w:p w14:paraId="713C6C66" w14:textId="77777777" w:rsidR="00407C50" w:rsidRPr="00407C50" w:rsidRDefault="00407C50" w:rsidP="00407C50">
      <w:pPr>
        <w:pStyle w:val="Seznam"/>
        <w:tabs>
          <w:tab w:val="left" w:pos="567"/>
        </w:tabs>
        <w:spacing w:before="120" w:after="120"/>
        <w:rPr>
          <w:rStyle w:val="pokyny"/>
          <w:color w:val="000000" w:themeColor="text1"/>
        </w:rPr>
      </w:pPr>
      <w:r w:rsidRPr="00407C50">
        <w:rPr>
          <w:rStyle w:val="pokyny"/>
          <w:color w:val="000000" w:themeColor="text1"/>
        </w:rPr>
        <w:t>Klesá podíl lidí v obecné populaci, kteří se domnívají, že je diskriminace z důvodu postižení v Česku celkem rozšířená.</w:t>
      </w:r>
    </w:p>
    <w:p w14:paraId="3617754C" w14:textId="77777777" w:rsidR="00407C50" w:rsidRPr="00407C50" w:rsidRDefault="009739A0" w:rsidP="00407C50">
      <w:pPr>
        <w:pStyle w:val="Seznam"/>
        <w:tabs>
          <w:tab w:val="left" w:pos="567"/>
        </w:tabs>
        <w:spacing w:before="120" w:after="120"/>
        <w:rPr>
          <w:rStyle w:val="pokyny"/>
          <w:color w:val="000000" w:themeColor="text1"/>
        </w:rPr>
      </w:pPr>
      <w:r>
        <w:rPr>
          <w:rStyle w:val="pokyny"/>
          <w:color w:val="000000" w:themeColor="text1"/>
        </w:rPr>
        <w:t>Klesá podíl osob</w:t>
      </w:r>
      <w:r w:rsidR="00407C50" w:rsidRPr="00407C50">
        <w:rPr>
          <w:rStyle w:val="pokyny"/>
          <w:color w:val="000000" w:themeColor="text1"/>
        </w:rPr>
        <w:t xml:space="preserve">, které v uplynulých 5 letech, nebo od doby, kdy jsou v ČR, pokud je to méně než 5 let, někdo diskriminoval anebo obtěžoval kvůli zdravotnímu postižení. </w:t>
      </w:r>
    </w:p>
    <w:p w14:paraId="3CFBC258" w14:textId="77777777" w:rsidR="00407C50" w:rsidRPr="00407C50" w:rsidRDefault="00407C50" w:rsidP="00407C50">
      <w:pPr>
        <w:rPr>
          <w:rStyle w:val="pokyny"/>
          <w:color w:val="000000" w:themeColor="text1"/>
        </w:rPr>
      </w:pPr>
      <w:r w:rsidRPr="00407C50">
        <w:rPr>
          <w:rStyle w:val="pokyny"/>
          <w:color w:val="000000" w:themeColor="text1"/>
        </w:rPr>
        <w:br w:type="page"/>
      </w:r>
    </w:p>
    <w:p w14:paraId="215B8CBA" w14:textId="77777777" w:rsidR="00407C50" w:rsidRPr="00893953" w:rsidRDefault="00407C50" w:rsidP="00893953">
      <w:pPr>
        <w:pStyle w:val="Nadpis3"/>
        <w:rPr>
          <w:rStyle w:val="Siln"/>
          <w:b w:val="0"/>
          <w:bCs w:val="0"/>
        </w:rPr>
      </w:pPr>
      <w:bookmarkStart w:id="19" w:name="_Toc81417425"/>
      <w:r w:rsidRPr="00893953">
        <w:rPr>
          <w:rStyle w:val="Siln"/>
          <w:b w:val="0"/>
          <w:bCs w:val="0"/>
        </w:rPr>
        <w:lastRenderedPageBreak/>
        <w:t>Počet podnětů na diskriminaci z důvodu postižení (veřejný ochránce práv, vybrané správní orgány)</w:t>
      </w:r>
      <w:bookmarkEnd w:id="19"/>
    </w:p>
    <w:p w14:paraId="50327E7B" w14:textId="77777777" w:rsidR="00407C50" w:rsidRPr="00407C50" w:rsidRDefault="00407C50" w:rsidP="009739A0">
      <w:pPr>
        <w:pStyle w:val="Seznam"/>
        <w:rPr>
          <w:rStyle w:val="Siln"/>
          <w:b w:val="0"/>
        </w:rPr>
      </w:pPr>
      <w:r w:rsidRPr="00407C50">
        <w:rPr>
          <w:rStyle w:val="Siln"/>
          <w:b w:val="0"/>
        </w:rPr>
        <w:t xml:space="preserve">Počet podnětů na diskriminaci z důvodu postižení – veřejný ochránce práv </w:t>
      </w:r>
    </w:p>
    <w:p w14:paraId="3C2B1664" w14:textId="77777777" w:rsidR="00407C50" w:rsidRPr="00407C50" w:rsidRDefault="00407C50" w:rsidP="00407C50">
      <w:pPr>
        <w:pStyle w:val="Seznam"/>
        <w:numPr>
          <w:ilvl w:val="0"/>
          <w:numId w:val="0"/>
        </w:numPr>
        <w:rPr>
          <w:rStyle w:val="Siln"/>
          <w:b w:val="0"/>
        </w:rPr>
      </w:pPr>
      <w:r w:rsidRPr="00407C50">
        <w:rPr>
          <w:rStyle w:val="Siln"/>
          <w:b w:val="0"/>
        </w:rPr>
        <w:t xml:space="preserve">2017 </w:t>
      </w:r>
      <w:r w:rsidR="00291178">
        <w:rPr>
          <w:rStyle w:val="Siln"/>
          <w:b w:val="0"/>
        </w:rPr>
        <w:t>–</w:t>
      </w:r>
      <w:r w:rsidRPr="00407C50">
        <w:rPr>
          <w:rStyle w:val="Siln"/>
          <w:b w:val="0"/>
        </w:rPr>
        <w:t xml:space="preserve"> 84</w:t>
      </w:r>
      <w:r w:rsidR="00291178">
        <w:rPr>
          <w:rStyle w:val="Siln"/>
          <w:rFonts w:cs="Calibri"/>
          <w:b w:val="0"/>
        </w:rPr>
        <w:t>;</w:t>
      </w:r>
      <w:r w:rsidR="00291178">
        <w:rPr>
          <w:rStyle w:val="Siln"/>
          <w:b w:val="0"/>
        </w:rPr>
        <w:t xml:space="preserve"> </w:t>
      </w:r>
      <w:r w:rsidRPr="00407C50">
        <w:rPr>
          <w:rStyle w:val="Siln"/>
          <w:b w:val="0"/>
        </w:rPr>
        <w:t>2018 - 50</w:t>
      </w:r>
      <w:r w:rsidR="00291178">
        <w:rPr>
          <w:rStyle w:val="Siln"/>
          <w:rFonts w:cs="Calibri"/>
          <w:b w:val="0"/>
        </w:rPr>
        <w:t>;</w:t>
      </w:r>
      <w:r w:rsidR="00291178">
        <w:rPr>
          <w:rStyle w:val="Siln"/>
          <w:b w:val="0"/>
        </w:rPr>
        <w:t xml:space="preserve"> </w:t>
      </w:r>
      <w:r w:rsidRPr="00407C50">
        <w:rPr>
          <w:rStyle w:val="Siln"/>
          <w:b w:val="0"/>
        </w:rPr>
        <w:t>2019 – 109</w:t>
      </w:r>
      <w:r w:rsidR="00291178">
        <w:rPr>
          <w:rStyle w:val="Siln"/>
          <w:rFonts w:cs="Calibri"/>
          <w:b w:val="0"/>
        </w:rPr>
        <w:t>;</w:t>
      </w:r>
      <w:r w:rsidR="00291178">
        <w:rPr>
          <w:rStyle w:val="Siln"/>
          <w:b w:val="0"/>
        </w:rPr>
        <w:t xml:space="preserve"> </w:t>
      </w:r>
      <w:r w:rsidRPr="00407C50">
        <w:rPr>
          <w:rStyle w:val="Siln"/>
          <w:b w:val="0"/>
        </w:rPr>
        <w:t>2020 - 77</w:t>
      </w:r>
    </w:p>
    <w:p w14:paraId="5C06CEC5"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ind w:left="567" w:hanging="567"/>
        <w:rPr>
          <w:rStyle w:val="Siln"/>
          <w:b w:val="0"/>
        </w:rPr>
      </w:pPr>
      <w:r w:rsidRPr="00407C50">
        <w:rPr>
          <w:rStyle w:val="Siln"/>
          <w:b w:val="0"/>
        </w:rPr>
        <w:t>Komentář</w:t>
      </w:r>
    </w:p>
    <w:p w14:paraId="0C37509C"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407C50">
        <w:rPr>
          <w:rStyle w:val="Siln"/>
          <w:b w:val="0"/>
        </w:rPr>
        <w:t xml:space="preserve">Data jsou z výročních zpráv VOP o ochraně před diskriminací. Dostupné zde </w:t>
      </w:r>
      <w:hyperlink r:id="rId18" w:history="1">
        <w:r w:rsidRPr="00407C50">
          <w:rPr>
            <w:rStyle w:val="Hypertextovodkaz"/>
          </w:rPr>
          <w:t>https://www.ochrance.cz/diskriminace/vyrocni-zpravy/</w:t>
        </w:r>
      </w:hyperlink>
      <w:r w:rsidRPr="00407C50">
        <w:rPr>
          <w:rStyle w:val="Siln"/>
          <w:b w:val="0"/>
        </w:rPr>
        <w:t xml:space="preserve">. </w:t>
      </w:r>
    </w:p>
    <w:p w14:paraId="411C1982"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407C50">
        <w:rPr>
          <w:rStyle w:val="Siln"/>
          <w:b w:val="0"/>
        </w:rPr>
        <w:t>Ve vysvětlení je pak možné doplnit, kdy ochránce dospěl k závěru, že k diskriminaci došlo.</w:t>
      </w:r>
    </w:p>
    <w:p w14:paraId="6E0B69D7" w14:textId="77777777" w:rsidR="00407C50" w:rsidRPr="00407C50" w:rsidRDefault="00407C50" w:rsidP="009739A0">
      <w:pPr>
        <w:pStyle w:val="Seznam"/>
        <w:rPr>
          <w:rStyle w:val="Siln"/>
          <w:b w:val="0"/>
        </w:rPr>
      </w:pPr>
      <w:r w:rsidRPr="00407C50">
        <w:rPr>
          <w:rStyle w:val="Siln"/>
          <w:b w:val="0"/>
        </w:rPr>
        <w:t>Počet podnětů na diskriminaci z důvodu postižení/zdravotního stavu – Státní úřad inspekce</w:t>
      </w:r>
      <w:r w:rsidRPr="00407C50">
        <w:rPr>
          <w:rStyle w:val="Znakapoznpodarou"/>
          <w:b w:val="0"/>
          <w:bCs/>
        </w:rPr>
        <w:footnoteReference w:id="4"/>
      </w:r>
      <w:r w:rsidRPr="00407C50">
        <w:rPr>
          <w:rStyle w:val="Siln"/>
          <w:b w:val="0"/>
        </w:rPr>
        <w:t xml:space="preserve"> práce</w:t>
      </w:r>
    </w:p>
    <w:p w14:paraId="56F523A0" w14:textId="77777777" w:rsidR="00407C50" w:rsidRPr="00407C50" w:rsidRDefault="00407C50" w:rsidP="009739A0">
      <w:pPr>
        <w:pStyle w:val="Seznam"/>
        <w:numPr>
          <w:ilvl w:val="0"/>
          <w:numId w:val="0"/>
        </w:numPr>
        <w:ind w:firstLine="567"/>
        <w:rPr>
          <w:rStyle w:val="Siln"/>
          <w:b w:val="0"/>
        </w:rPr>
      </w:pPr>
      <w:r w:rsidRPr="00407C50">
        <w:rPr>
          <w:rStyle w:val="Siln"/>
          <w:b w:val="0"/>
        </w:rPr>
        <w:t>2017 – 2020 – údaje musí být ještě shromážděny</w:t>
      </w:r>
    </w:p>
    <w:p w14:paraId="15648533" w14:textId="77777777" w:rsidR="00407C50" w:rsidRPr="00407C50" w:rsidRDefault="00407C50" w:rsidP="009739A0">
      <w:pPr>
        <w:pStyle w:val="Seznam"/>
        <w:rPr>
          <w:rStyle w:val="Siln"/>
          <w:b w:val="0"/>
        </w:rPr>
      </w:pPr>
      <w:r w:rsidRPr="00407C50">
        <w:rPr>
          <w:rStyle w:val="Siln"/>
          <w:b w:val="0"/>
        </w:rPr>
        <w:t>Počet podnětů na diskriminaci z důvodu postižen/zdravotního stavu – Česká obchodní inspekce</w:t>
      </w:r>
      <w:r w:rsidRPr="00407C50">
        <w:rPr>
          <w:rStyle w:val="Znakapoznpodarou"/>
          <w:b w:val="0"/>
          <w:bCs/>
        </w:rPr>
        <w:footnoteReference w:id="5"/>
      </w:r>
      <w:r w:rsidRPr="00407C50">
        <w:rPr>
          <w:rStyle w:val="Siln"/>
          <w:b w:val="0"/>
        </w:rPr>
        <w:t xml:space="preserve"> </w:t>
      </w:r>
    </w:p>
    <w:p w14:paraId="32792A3A" w14:textId="77777777" w:rsidR="00407C50" w:rsidRPr="00407C50" w:rsidRDefault="00407C50" w:rsidP="009739A0">
      <w:pPr>
        <w:pStyle w:val="Seznam"/>
        <w:numPr>
          <w:ilvl w:val="0"/>
          <w:numId w:val="0"/>
        </w:numPr>
        <w:ind w:firstLine="567"/>
        <w:rPr>
          <w:rStyle w:val="Siln"/>
          <w:b w:val="0"/>
        </w:rPr>
      </w:pPr>
      <w:r w:rsidRPr="00407C50">
        <w:rPr>
          <w:rStyle w:val="Siln"/>
          <w:b w:val="0"/>
        </w:rPr>
        <w:t>2017 – 2020 – údaje musí být ještě shromážděny</w:t>
      </w:r>
    </w:p>
    <w:p w14:paraId="6D55CACF" w14:textId="77777777" w:rsidR="00407C50" w:rsidRPr="00407C50" w:rsidRDefault="00407C50" w:rsidP="009739A0">
      <w:pPr>
        <w:pStyle w:val="Seznam"/>
        <w:rPr>
          <w:rStyle w:val="Siln"/>
          <w:b w:val="0"/>
        </w:rPr>
      </w:pPr>
      <w:r w:rsidRPr="00407C50">
        <w:rPr>
          <w:rStyle w:val="Siln"/>
          <w:b w:val="0"/>
        </w:rPr>
        <w:t>Počet podnětů na diskriminaci z důvodu postižení/zdravotního stavu – Česká školní inspekce</w:t>
      </w:r>
      <w:r w:rsidRPr="00407C50">
        <w:rPr>
          <w:rStyle w:val="Znakapoznpodarou"/>
          <w:b w:val="0"/>
          <w:bCs/>
        </w:rPr>
        <w:footnoteReference w:id="6"/>
      </w:r>
    </w:p>
    <w:p w14:paraId="659DE006" w14:textId="77777777" w:rsidR="00407C50" w:rsidRPr="00407C50" w:rsidRDefault="00407C50" w:rsidP="009739A0">
      <w:pPr>
        <w:pStyle w:val="Seznam"/>
        <w:numPr>
          <w:ilvl w:val="0"/>
          <w:numId w:val="0"/>
        </w:numPr>
        <w:ind w:firstLine="567"/>
        <w:rPr>
          <w:rStyle w:val="Siln"/>
          <w:b w:val="0"/>
        </w:rPr>
      </w:pPr>
      <w:r w:rsidRPr="00407C50">
        <w:rPr>
          <w:rStyle w:val="Siln"/>
          <w:b w:val="0"/>
        </w:rPr>
        <w:t>2017 – 2020 - údaje musí být ještě shromážděny</w:t>
      </w:r>
    </w:p>
    <w:p w14:paraId="74A83E36"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407C50">
        <w:rPr>
          <w:rStyle w:val="Siln"/>
          <w:b w:val="0"/>
        </w:rPr>
        <w:t>Komentář</w:t>
      </w:r>
    </w:p>
    <w:p w14:paraId="75679D5E"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407C50">
        <w:rPr>
          <w:rStyle w:val="Siln"/>
          <w:b w:val="0"/>
        </w:rPr>
        <w:t>Data o podnětech a stížnostech lze dohledat ve výročních či souhrnných zprávách. K těmto údajům je třeba přistupovat opatrně. SÚIP a ČŠI sledují důvod „zdravotní stav“. ČŠI sleduje údaje za školní rok, nikoliv kalendářní. Není nikde uveden údaj, zda stížnosti týkající se diskriminace z důvodu postižení byly uznány za důvodné. Je otázkou, zda údaje nevykazovat v jednom čísle (stížnosti sečíst).</w:t>
      </w:r>
    </w:p>
    <w:p w14:paraId="230D13D0" w14:textId="77777777" w:rsidR="00407C50" w:rsidRPr="00407C50" w:rsidRDefault="00407C50" w:rsidP="00407C50">
      <w:pPr>
        <w:rPr>
          <w:rStyle w:val="Siln"/>
          <w:b w:val="0"/>
        </w:rPr>
      </w:pPr>
      <w:r w:rsidRPr="00407C50">
        <w:rPr>
          <w:rStyle w:val="Siln"/>
          <w:b w:val="0"/>
        </w:rPr>
        <w:t>Progres v implementaci čl. 5 Úmluvy:</w:t>
      </w:r>
    </w:p>
    <w:p w14:paraId="47BDE55C" w14:textId="77777777" w:rsidR="00407C50" w:rsidRPr="00407C50" w:rsidRDefault="00407C50" w:rsidP="00407C50">
      <w:pPr>
        <w:pStyle w:val="Seznam"/>
        <w:tabs>
          <w:tab w:val="left" w:pos="567"/>
        </w:tabs>
        <w:spacing w:before="120" w:after="120"/>
        <w:rPr>
          <w:rStyle w:val="Siln"/>
          <w:b w:val="0"/>
        </w:rPr>
      </w:pPr>
      <w:r w:rsidRPr="00407C50">
        <w:rPr>
          <w:rStyle w:val="Siln"/>
          <w:b w:val="0"/>
        </w:rPr>
        <w:t xml:space="preserve">Zvyšuje se počet podnětů na diskriminaci z důvodu postižení u jednotlivých státních orgánů – veřejný ochránce práv, Státní úřad inspekce práce, Česká obchodní inspekce, Česká školní inspekce. </w:t>
      </w:r>
    </w:p>
    <w:p w14:paraId="5B14C93F" w14:textId="77777777" w:rsidR="00407C50" w:rsidRPr="00407C50" w:rsidRDefault="00407C50" w:rsidP="00407C50">
      <w:pPr>
        <w:pStyle w:val="Seznam"/>
        <w:tabs>
          <w:tab w:val="left" w:pos="567"/>
        </w:tabs>
        <w:spacing w:before="120" w:after="120"/>
        <w:rPr>
          <w:rStyle w:val="Siln"/>
          <w:b w:val="0"/>
        </w:rPr>
      </w:pPr>
      <w:r w:rsidRPr="00407C50">
        <w:rPr>
          <w:rStyle w:val="Siln"/>
          <w:b w:val="0"/>
        </w:rPr>
        <w:br w:type="page"/>
      </w:r>
    </w:p>
    <w:p w14:paraId="47795306" w14:textId="77777777" w:rsidR="00407C50" w:rsidRPr="00893953" w:rsidRDefault="00407C50" w:rsidP="00893953">
      <w:pPr>
        <w:pStyle w:val="Nadpis3"/>
        <w:rPr>
          <w:rStyle w:val="Siln"/>
          <w:b w:val="0"/>
          <w:bCs w:val="0"/>
        </w:rPr>
      </w:pPr>
      <w:bookmarkStart w:id="20" w:name="_Toc81417426"/>
      <w:r w:rsidRPr="00893953">
        <w:rPr>
          <w:rStyle w:val="Siln"/>
          <w:b w:val="0"/>
          <w:bCs w:val="0"/>
        </w:rPr>
        <w:lastRenderedPageBreak/>
        <w:t>Počet podaných soudních žalob na diskriminaci z důvodu postižení</w:t>
      </w:r>
      <w:bookmarkEnd w:id="20"/>
      <w:r w:rsidRPr="00893953">
        <w:rPr>
          <w:rStyle w:val="Siln"/>
          <w:b w:val="0"/>
          <w:bCs w:val="0"/>
        </w:rPr>
        <w:t xml:space="preserve">  </w:t>
      </w:r>
    </w:p>
    <w:p w14:paraId="1472DE8E" w14:textId="77777777" w:rsidR="00407C50" w:rsidRPr="00407C50" w:rsidRDefault="00407C50" w:rsidP="00291178">
      <w:pPr>
        <w:pStyle w:val="Seznam"/>
        <w:rPr>
          <w:rStyle w:val="Siln"/>
          <w:b w:val="0"/>
        </w:rPr>
      </w:pPr>
      <w:r w:rsidRPr="00407C50">
        <w:rPr>
          <w:rStyle w:val="Siln"/>
          <w:b w:val="0"/>
        </w:rPr>
        <w:t>Počet nových soudních žalob na diskriminaci z důvodu postižení</w:t>
      </w:r>
    </w:p>
    <w:p w14:paraId="15D0AB1B" w14:textId="77777777" w:rsidR="00893953" w:rsidRDefault="00893953" w:rsidP="00407C50">
      <w:pPr>
        <w:pStyle w:val="Seznam"/>
        <w:numPr>
          <w:ilvl w:val="0"/>
          <w:numId w:val="0"/>
        </w:numPr>
        <w:rPr>
          <w:rStyle w:val="Siln"/>
          <w:b w:val="0"/>
        </w:rPr>
      </w:pPr>
    </w:p>
    <w:p w14:paraId="0140E329" w14:textId="77777777" w:rsidR="00407C50" w:rsidRPr="00407C50" w:rsidRDefault="00407C50" w:rsidP="00407C50">
      <w:pPr>
        <w:pStyle w:val="Seznam"/>
        <w:numPr>
          <w:ilvl w:val="0"/>
          <w:numId w:val="0"/>
        </w:numPr>
        <w:rPr>
          <w:rStyle w:val="Siln"/>
          <w:b w:val="0"/>
        </w:rPr>
      </w:pPr>
      <w:r w:rsidRPr="00407C50">
        <w:rPr>
          <w:rStyle w:val="Siln"/>
          <w:b w:val="0"/>
        </w:rPr>
        <w:t>2010 – 2014 – 9 žalob</w:t>
      </w:r>
    </w:p>
    <w:p w14:paraId="31573FC9" w14:textId="77777777" w:rsidR="00407C50" w:rsidRPr="00407C50" w:rsidRDefault="00407C50" w:rsidP="00407C50">
      <w:pPr>
        <w:pStyle w:val="Seznam"/>
        <w:numPr>
          <w:ilvl w:val="0"/>
          <w:numId w:val="0"/>
        </w:numPr>
        <w:rPr>
          <w:rStyle w:val="Siln"/>
          <w:b w:val="0"/>
        </w:rPr>
      </w:pPr>
      <w:r w:rsidRPr="00407C50">
        <w:rPr>
          <w:rStyle w:val="Siln"/>
          <w:b w:val="0"/>
        </w:rPr>
        <w:t>2015 – 2019 – 14 žalob</w:t>
      </w:r>
    </w:p>
    <w:p w14:paraId="7B36DC15" w14:textId="77777777" w:rsidR="00407C50" w:rsidRPr="00407C50" w:rsidRDefault="00407C50" w:rsidP="00407C50">
      <w:pPr>
        <w:pStyle w:val="Seznam"/>
        <w:numPr>
          <w:ilvl w:val="0"/>
          <w:numId w:val="0"/>
        </w:numPr>
        <w:rPr>
          <w:rStyle w:val="Siln"/>
          <w:b w:val="0"/>
        </w:rPr>
      </w:pPr>
    </w:p>
    <w:p w14:paraId="02A603B6" w14:textId="77777777" w:rsidR="00407C50" w:rsidRPr="00407C50" w:rsidRDefault="00407C50" w:rsidP="00407C50">
      <w:pPr>
        <w:pStyle w:val="Seznam"/>
        <w:numPr>
          <w:ilvl w:val="0"/>
          <w:numId w:val="0"/>
        </w:numPr>
        <w:pBdr>
          <w:top w:val="single" w:sz="4" w:space="1" w:color="auto"/>
          <w:left w:val="single" w:sz="4" w:space="4" w:color="auto"/>
          <w:bottom w:val="single" w:sz="4" w:space="1" w:color="auto"/>
          <w:right w:val="single" w:sz="4" w:space="4" w:color="auto"/>
        </w:pBdr>
        <w:ind w:left="567" w:hanging="567"/>
        <w:rPr>
          <w:rStyle w:val="Siln"/>
          <w:b w:val="0"/>
        </w:rPr>
      </w:pPr>
      <w:r w:rsidRPr="00407C50">
        <w:rPr>
          <w:rStyle w:val="Siln"/>
          <w:b w:val="0"/>
        </w:rPr>
        <w:t>Komentář</w:t>
      </w:r>
    </w:p>
    <w:p w14:paraId="35E9128B"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Siln"/>
          <w:b w:val="0"/>
        </w:rPr>
      </w:pPr>
      <w:r w:rsidRPr="00407C50">
        <w:rPr>
          <w:rStyle w:val="Siln"/>
          <w:b w:val="0"/>
        </w:rPr>
        <w:t xml:space="preserve">Jedná se o údaje získané z výzkumů ochránce: </w:t>
      </w:r>
      <w:hyperlink r:id="rId19" w:history="1">
        <w:r w:rsidRPr="00407C50">
          <w:rPr>
            <w:rStyle w:val="Hypertextovodkaz"/>
          </w:rPr>
          <w:t>Diskriminace v ČR: oběť diskriminace a její překážky v přístupu ke spravedlnosti</w:t>
        </w:r>
      </w:hyperlink>
      <w:r w:rsidRPr="00407C50">
        <w:rPr>
          <w:rStyle w:val="Siln"/>
          <w:b w:val="0"/>
        </w:rPr>
        <w:t xml:space="preserve"> (2015)</w:t>
      </w:r>
      <w:r w:rsidRPr="00407C50">
        <w:rPr>
          <w:rStyle w:val="Znakapoznpodarou"/>
          <w:b w:val="0"/>
          <w:bCs/>
        </w:rPr>
        <w:footnoteReference w:id="7"/>
      </w:r>
      <w:r w:rsidRPr="00407C50">
        <w:rPr>
          <w:rStyle w:val="Siln"/>
          <w:b w:val="0"/>
        </w:rPr>
        <w:t xml:space="preserve">, </w:t>
      </w:r>
      <w:hyperlink r:id="rId20" w:history="1">
        <w:r w:rsidRPr="00407C50">
          <w:rPr>
            <w:rStyle w:val="Hypertextovodkaz"/>
          </w:rPr>
          <w:t>Rozhodování českých soudů o diskriminačních sporech 2015–2019</w:t>
        </w:r>
      </w:hyperlink>
      <w:r w:rsidRPr="00407C50">
        <w:rPr>
          <w:rStyle w:val="Siln"/>
          <w:b w:val="0"/>
        </w:rPr>
        <w:t xml:space="preserve"> (2020). Bylo by vhodné, aby ochránce tyto výzkumy opakoval nejméně jednou za pět let.</w:t>
      </w:r>
      <w:r w:rsidR="008D52DC">
        <w:rPr>
          <w:rStyle w:val="Siln"/>
          <w:b w:val="0"/>
        </w:rPr>
        <w:t xml:space="preserve"> Iniciativu by mohlo převzít i Ministerstvo spravedlnosti, případně akademická obec.</w:t>
      </w:r>
    </w:p>
    <w:p w14:paraId="47A1A461"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Siln"/>
          <w:b w:val="0"/>
        </w:rPr>
      </w:pPr>
      <w:r w:rsidRPr="00407C50">
        <w:rPr>
          <w:rStyle w:val="Siln"/>
          <w:b w:val="0"/>
        </w:rPr>
        <w:t>Údaj je sledován od roku 2010, protože antidiskriminační zákon nabyl účinnosti dne 1. 9. 2009.</w:t>
      </w:r>
    </w:p>
    <w:p w14:paraId="1F2BEC24"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Siln"/>
          <w:b w:val="0"/>
        </w:rPr>
      </w:pPr>
      <w:r w:rsidRPr="00407C50">
        <w:rPr>
          <w:rStyle w:val="Siln"/>
          <w:b w:val="0"/>
        </w:rPr>
        <w:t>Nejedná se o údaje, které by zahrnovaly všechny případy namítané diskriminace z důvodu postižení, o kterém rozhodovaly ve sledovaném období české civilní soudy, ale jen nové případy, které napadly civilním soudům v prvním stupni.</w:t>
      </w:r>
    </w:p>
    <w:p w14:paraId="730EDED1" w14:textId="77777777" w:rsidR="00407C50" w:rsidRPr="00407C50" w:rsidRDefault="00407C50" w:rsidP="00407C50">
      <w:pPr>
        <w:pStyle w:val="Zkladntext"/>
        <w:pBdr>
          <w:top w:val="single" w:sz="4" w:space="1" w:color="auto"/>
          <w:left w:val="single" w:sz="4" w:space="4" w:color="auto"/>
          <w:bottom w:val="single" w:sz="4" w:space="1" w:color="auto"/>
          <w:right w:val="single" w:sz="4" w:space="4" w:color="auto"/>
        </w:pBdr>
        <w:rPr>
          <w:rStyle w:val="Siln"/>
          <w:b w:val="0"/>
        </w:rPr>
      </w:pPr>
      <w:r w:rsidRPr="00407C50">
        <w:rPr>
          <w:rStyle w:val="Siln"/>
          <w:b w:val="0"/>
        </w:rPr>
        <w:t xml:space="preserve">Podle dostupnosti údajů o výsledku je možné zveřejňovat výsledek řízení. Vždy by mělo jít o definitivní výsledek řízení (včetně řízení o mimořádných opravných prostředcích), což může být problematické. Řízení o některých žalobách totiž přesahuje sledované období. </w:t>
      </w:r>
    </w:p>
    <w:p w14:paraId="1C86EB8B" w14:textId="77777777" w:rsidR="00407C50" w:rsidRPr="00407C50" w:rsidRDefault="00407C50" w:rsidP="00407C50">
      <w:pPr>
        <w:pStyle w:val="Seznam"/>
        <w:numPr>
          <w:ilvl w:val="0"/>
          <w:numId w:val="0"/>
        </w:numPr>
        <w:ind w:left="567" w:hanging="567"/>
        <w:rPr>
          <w:rStyle w:val="Siln"/>
          <w:b w:val="0"/>
        </w:rPr>
      </w:pPr>
    </w:p>
    <w:p w14:paraId="7F06F175" w14:textId="77777777" w:rsidR="00407C50" w:rsidRPr="00407C50" w:rsidRDefault="00407C50" w:rsidP="00407C50">
      <w:pPr>
        <w:pStyle w:val="Seznam"/>
        <w:numPr>
          <w:ilvl w:val="0"/>
          <w:numId w:val="0"/>
        </w:numPr>
        <w:ind w:left="567" w:hanging="567"/>
        <w:rPr>
          <w:rStyle w:val="Siln"/>
          <w:b w:val="0"/>
        </w:rPr>
      </w:pPr>
      <w:r w:rsidRPr="00407C50">
        <w:rPr>
          <w:rStyle w:val="Siln"/>
          <w:b w:val="0"/>
        </w:rPr>
        <w:t>Progres v implementaci čl. 5 Úmluvy:</w:t>
      </w:r>
    </w:p>
    <w:p w14:paraId="486A1E06" w14:textId="77777777" w:rsidR="00407C50" w:rsidRPr="00407C50" w:rsidRDefault="00407C50" w:rsidP="00407C50">
      <w:pPr>
        <w:pStyle w:val="Seznam"/>
        <w:tabs>
          <w:tab w:val="left" w:pos="567"/>
        </w:tabs>
        <w:spacing w:before="120" w:after="120"/>
        <w:rPr>
          <w:rStyle w:val="Siln"/>
          <w:b w:val="0"/>
        </w:rPr>
      </w:pPr>
      <w:r w:rsidRPr="00407C50">
        <w:rPr>
          <w:rStyle w:val="Siln"/>
          <w:b w:val="0"/>
        </w:rPr>
        <w:t>Zvyšuje se počet soudních žalob na diskriminaci z důvodu postižení.</w:t>
      </w:r>
    </w:p>
    <w:p w14:paraId="2A0EA439" w14:textId="77777777" w:rsidR="00407C50" w:rsidRPr="00407C50" w:rsidRDefault="00407C50" w:rsidP="00407C50">
      <w:pPr>
        <w:pStyle w:val="Seznam"/>
        <w:numPr>
          <w:ilvl w:val="0"/>
          <w:numId w:val="0"/>
        </w:numPr>
        <w:ind w:left="567"/>
        <w:rPr>
          <w:rStyle w:val="Siln"/>
          <w:b w:val="0"/>
        </w:rPr>
      </w:pPr>
    </w:p>
    <w:p w14:paraId="0EBEE298" w14:textId="77777777" w:rsidR="008E6858" w:rsidRPr="00407C50" w:rsidRDefault="008E6858" w:rsidP="00407C50"/>
    <w:p w14:paraId="4C07AA6C" w14:textId="77777777" w:rsidR="00C95D61" w:rsidRDefault="008D52DC" w:rsidP="00C95D61">
      <w:pPr>
        <w:pStyle w:val="Nadpis1"/>
      </w:pPr>
      <w:bookmarkStart w:id="21" w:name="_Toc528165600"/>
      <w:bookmarkStart w:id="22" w:name="_Toc528165985"/>
      <w:bookmarkStart w:id="23" w:name="_Toc528166238"/>
      <w:bookmarkStart w:id="24" w:name="_Toc81417427"/>
      <w:r w:rsidRPr="008D52DC">
        <w:lastRenderedPageBreak/>
        <w:t>čl. 12 Úmluvy (rovnost před zákonem)</w:t>
      </w:r>
      <w:bookmarkEnd w:id="21"/>
      <w:bookmarkEnd w:id="22"/>
      <w:bookmarkEnd w:id="23"/>
      <w:bookmarkEnd w:id="24"/>
    </w:p>
    <w:p w14:paraId="5D21DCD4" w14:textId="77777777" w:rsidR="00C95D61" w:rsidRDefault="00C95D61" w:rsidP="00C95D61">
      <w:pPr>
        <w:pStyle w:val="Zkladntext"/>
        <w:sectPr w:rsidR="00C95D61" w:rsidSect="00D732B4">
          <w:type w:val="continuous"/>
          <w:pgSz w:w="11907" w:h="16839" w:code="9"/>
          <w:pgMar w:top="1159" w:right="1701" w:bottom="1440" w:left="1701" w:header="794" w:footer="720" w:gutter="0"/>
          <w:cols w:space="720"/>
          <w:docGrid w:linePitch="313"/>
        </w:sectPr>
      </w:pPr>
    </w:p>
    <w:p w14:paraId="7721AAEC" w14:textId="77777777" w:rsidR="008D52DC" w:rsidRPr="008D52DC" w:rsidRDefault="008D52DC" w:rsidP="00893953">
      <w:pPr>
        <w:pStyle w:val="Nadpis2"/>
        <w:rPr>
          <w:rStyle w:val="Siln"/>
          <w:b w:val="0"/>
        </w:rPr>
      </w:pPr>
      <w:bookmarkStart w:id="25" w:name="_Toc81417428"/>
      <w:r w:rsidRPr="008D52DC">
        <w:rPr>
          <w:rStyle w:val="Siln"/>
          <w:b w:val="0"/>
        </w:rPr>
        <w:t xml:space="preserve">5 indikátorů </w:t>
      </w:r>
      <w:r w:rsidR="00893953">
        <w:rPr>
          <w:rStyle w:val="Siln"/>
          <w:b w:val="0"/>
        </w:rPr>
        <w:t>pro sledování plnění čl. 12 Úmluvy</w:t>
      </w:r>
      <w:bookmarkEnd w:id="25"/>
    </w:p>
    <w:p w14:paraId="61A70DE1" w14:textId="77777777" w:rsidR="008D52DC" w:rsidRPr="008D52DC" w:rsidRDefault="008D52DC" w:rsidP="008D52DC">
      <w:pPr>
        <w:rPr>
          <w:rStyle w:val="Siln"/>
          <w:b w:val="0"/>
        </w:rPr>
      </w:pPr>
    </w:p>
    <w:p w14:paraId="60CC4B2D" w14:textId="77777777" w:rsidR="008D52DC" w:rsidRPr="008D52DC" w:rsidRDefault="008D52DC" w:rsidP="008D52DC">
      <w:pPr>
        <w:pStyle w:val="Seznam"/>
        <w:rPr>
          <w:rStyle w:val="Siln"/>
          <w:b w:val="0"/>
          <w:bCs w:val="0"/>
        </w:rPr>
      </w:pPr>
      <w:bookmarkStart w:id="26" w:name="_Hlk71747968"/>
      <w:r w:rsidRPr="008D52DC">
        <w:rPr>
          <w:rStyle w:val="Siln"/>
          <w:b w:val="0"/>
        </w:rPr>
        <w:t>Stát schválil a provádí plán přechodu od náhradního k podporovanému rozhodování (strukturální indikátor).</w:t>
      </w:r>
    </w:p>
    <w:bookmarkEnd w:id="26"/>
    <w:p w14:paraId="186CE068" w14:textId="77777777" w:rsidR="008D52DC" w:rsidRPr="008D52DC" w:rsidRDefault="008D52DC" w:rsidP="008D52DC">
      <w:pPr>
        <w:pStyle w:val="Seznam"/>
        <w:rPr>
          <w:rStyle w:val="Siln"/>
          <w:b w:val="0"/>
          <w:bCs w:val="0"/>
        </w:rPr>
      </w:pPr>
      <w:r w:rsidRPr="008D52DC">
        <w:rPr>
          <w:rStyle w:val="Siln"/>
          <w:b w:val="0"/>
        </w:rPr>
        <w:t>Omezení svéprávnosti nevede k zásahu do základních práv (strukturální indikátor).</w:t>
      </w:r>
    </w:p>
    <w:p w14:paraId="23E9AE34" w14:textId="77777777" w:rsidR="008D52DC" w:rsidRPr="008D52DC" w:rsidRDefault="008D52DC" w:rsidP="008D52DC">
      <w:pPr>
        <w:pStyle w:val="Seznam"/>
        <w:rPr>
          <w:rStyle w:val="Siln"/>
          <w:b w:val="0"/>
          <w:bCs w:val="0"/>
        </w:rPr>
      </w:pPr>
      <w:r w:rsidRPr="008D52DC">
        <w:rPr>
          <w:rStyle w:val="Siln"/>
          <w:b w:val="0"/>
        </w:rPr>
        <w:t>Zvyšuje se podíl alternativ k omezení svéprávnosti ze všech rozhodnutí o podpůrných opatřeních (výsledkový indikátor).</w:t>
      </w:r>
    </w:p>
    <w:p w14:paraId="56CCD21D" w14:textId="77777777" w:rsidR="008D52DC" w:rsidRPr="008D52DC" w:rsidRDefault="008D52DC" w:rsidP="008D52DC">
      <w:pPr>
        <w:pStyle w:val="Seznam"/>
        <w:rPr>
          <w:rStyle w:val="Siln"/>
          <w:b w:val="0"/>
        </w:rPr>
      </w:pPr>
      <w:r w:rsidRPr="008D52DC">
        <w:rPr>
          <w:rStyle w:val="Siln"/>
          <w:b w:val="0"/>
        </w:rPr>
        <w:t>Právní úprava nástrojů podpory v rozhodování je v souladu s principy článku 12 (strukturální indikátor).</w:t>
      </w:r>
    </w:p>
    <w:p w14:paraId="0AA5787B" w14:textId="77777777" w:rsidR="008D52DC" w:rsidRPr="008D52DC" w:rsidRDefault="008D52DC" w:rsidP="008D52DC">
      <w:pPr>
        <w:pStyle w:val="Seznam"/>
        <w:rPr>
          <w:rStyle w:val="Siln"/>
          <w:b w:val="0"/>
          <w:bCs w:val="0"/>
        </w:rPr>
      </w:pPr>
      <w:r w:rsidRPr="008D52DC">
        <w:rPr>
          <w:rStyle w:val="Siln"/>
          <w:b w:val="0"/>
        </w:rPr>
        <w:t>Existují efektivní nástroje pro předběžný projev vůle (strukturální indikátor).</w:t>
      </w:r>
    </w:p>
    <w:p w14:paraId="090BC747" w14:textId="77777777" w:rsidR="008D52DC" w:rsidRDefault="008D52DC" w:rsidP="00354882">
      <w:pPr>
        <w:pStyle w:val="Seznam"/>
        <w:numPr>
          <w:ilvl w:val="0"/>
          <w:numId w:val="0"/>
        </w:numPr>
        <w:rPr>
          <w:rStyle w:val="Siln"/>
          <w:b w:val="0"/>
        </w:rPr>
      </w:pPr>
    </w:p>
    <w:p w14:paraId="23E891F0" w14:textId="77777777" w:rsidR="008D52DC" w:rsidRPr="008D52DC" w:rsidRDefault="008D52DC" w:rsidP="008D52DC">
      <w:pPr>
        <w:rPr>
          <w:rStyle w:val="Siln"/>
          <w:b w:val="0"/>
        </w:rPr>
      </w:pPr>
      <w:r w:rsidRPr="008D52DC">
        <w:rPr>
          <w:rStyle w:val="Siln"/>
          <w:b w:val="0"/>
        </w:rPr>
        <w:t>Sledování indikátorů je možné na základě:</w:t>
      </w:r>
    </w:p>
    <w:p w14:paraId="2C335EEF" w14:textId="77777777" w:rsidR="008D52DC" w:rsidRPr="008D52DC" w:rsidRDefault="008D52DC" w:rsidP="008D52DC">
      <w:pPr>
        <w:pStyle w:val="Seznam"/>
        <w:rPr>
          <w:rStyle w:val="Siln"/>
          <w:b w:val="0"/>
          <w:bCs w:val="0"/>
        </w:rPr>
      </w:pPr>
      <w:r w:rsidRPr="008D52DC">
        <w:rPr>
          <w:rStyle w:val="Siln"/>
          <w:b w:val="0"/>
        </w:rPr>
        <w:t>Sledování postupu vlády a jí podřízených organizačních složek v klíčových oblastech regulovaných Úmluvou</w:t>
      </w:r>
    </w:p>
    <w:p w14:paraId="49CDB9E3" w14:textId="77777777" w:rsidR="008D52DC" w:rsidRPr="008D52DC" w:rsidRDefault="008D52DC" w:rsidP="008D52DC">
      <w:pPr>
        <w:pStyle w:val="Seznam"/>
        <w:rPr>
          <w:rStyle w:val="Siln"/>
          <w:b w:val="0"/>
          <w:bCs w:val="0"/>
        </w:rPr>
      </w:pPr>
      <w:r w:rsidRPr="008D52DC">
        <w:rPr>
          <w:rStyle w:val="Siln"/>
          <w:b w:val="0"/>
        </w:rPr>
        <w:t>Analýzu vývoje právní úpravy související s omezením svéprávnosti</w:t>
      </w:r>
    </w:p>
    <w:p w14:paraId="746102BE" w14:textId="77777777" w:rsidR="008D52DC" w:rsidRPr="008D52DC" w:rsidRDefault="008D52DC" w:rsidP="008D52DC">
      <w:pPr>
        <w:pStyle w:val="Seznam"/>
        <w:rPr>
          <w:rStyle w:val="Siln"/>
          <w:b w:val="0"/>
          <w:bCs w:val="0"/>
        </w:rPr>
      </w:pPr>
      <w:r w:rsidRPr="008D52DC">
        <w:rPr>
          <w:rStyle w:val="Siln"/>
          <w:b w:val="0"/>
        </w:rPr>
        <w:t>Analýzu vývoje právní úpravy v oblasti podpory v rozhodování a nástrojů pro předběžné vyjádření vůle</w:t>
      </w:r>
    </w:p>
    <w:p w14:paraId="48B32597" w14:textId="77777777" w:rsidR="008D52DC" w:rsidRPr="00354882" w:rsidRDefault="008D52DC" w:rsidP="00354882">
      <w:pPr>
        <w:pStyle w:val="Seznam"/>
        <w:rPr>
          <w:rStyle w:val="Siln"/>
          <w:b w:val="0"/>
          <w:bCs w:val="0"/>
        </w:rPr>
      </w:pPr>
      <w:r w:rsidRPr="008D52DC">
        <w:rPr>
          <w:rStyle w:val="Siln"/>
          <w:b w:val="0"/>
        </w:rPr>
        <w:t>Vyhodnocování dat týkajících se rozhodovací činnosti obecnýc</w:t>
      </w:r>
      <w:r w:rsidR="00354882">
        <w:rPr>
          <w:rStyle w:val="Siln"/>
          <w:b w:val="0"/>
        </w:rPr>
        <w:t>h soudů o podpůrných opatřeních</w:t>
      </w:r>
    </w:p>
    <w:p w14:paraId="1BB5E15B" w14:textId="77777777" w:rsidR="008D52DC" w:rsidRDefault="008D52DC" w:rsidP="008D52DC">
      <w:pPr>
        <w:pStyle w:val="Seznam"/>
        <w:numPr>
          <w:ilvl w:val="0"/>
          <w:numId w:val="0"/>
        </w:numPr>
        <w:rPr>
          <w:rStyle w:val="Siln"/>
          <w:b w:val="0"/>
        </w:rPr>
      </w:pPr>
      <w:r w:rsidRPr="008D52DC">
        <w:rPr>
          <w:rStyle w:val="Siln"/>
          <w:b w:val="0"/>
        </w:rPr>
        <w:t>Celkové hodnocení za indikátory k článku 12:</w:t>
      </w:r>
    </w:p>
    <w:tbl>
      <w:tblPr>
        <w:tblW w:w="9640" w:type="dxa"/>
        <w:tblCellMar>
          <w:left w:w="0" w:type="dxa"/>
          <w:right w:w="0" w:type="dxa"/>
        </w:tblCellMar>
        <w:tblLook w:val="04A0" w:firstRow="1" w:lastRow="0" w:firstColumn="1" w:lastColumn="0" w:noHBand="0" w:noVBand="1"/>
      </w:tblPr>
      <w:tblGrid>
        <w:gridCol w:w="6658"/>
        <w:gridCol w:w="1134"/>
        <w:gridCol w:w="1134"/>
        <w:gridCol w:w="714"/>
      </w:tblGrid>
      <w:tr w:rsidR="00354882" w14:paraId="7BB9CFB4" w14:textId="77777777" w:rsidTr="00D853A9">
        <w:trPr>
          <w:trHeight w:val="596"/>
        </w:trPr>
        <w:tc>
          <w:tcPr>
            <w:tcW w:w="665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32F2F" w14:textId="77777777" w:rsidR="00354882" w:rsidRDefault="00354882" w:rsidP="00D853A9">
            <w:pPr>
              <w:ind w:left="127"/>
              <w:rPr>
                <w:rFonts w:cs="Calibri"/>
                <w:b/>
                <w:bCs/>
                <w:color w:val="000000"/>
                <w:sz w:val="20"/>
                <w:szCs w:val="20"/>
              </w:rPr>
            </w:pPr>
            <w:r>
              <w:rPr>
                <w:rFonts w:cs="Calibri"/>
                <w:b/>
                <w:bCs/>
                <w:color w:val="000000"/>
                <w:sz w:val="20"/>
                <w:szCs w:val="20"/>
              </w:rPr>
              <w:t>Indikátor</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5F0B8" w14:textId="77777777" w:rsidR="00354882" w:rsidRDefault="00354882" w:rsidP="00D853A9">
            <w:pPr>
              <w:jc w:val="center"/>
              <w:rPr>
                <w:rFonts w:cs="Calibri"/>
                <w:b/>
                <w:bCs/>
                <w:color w:val="000000"/>
                <w:sz w:val="20"/>
                <w:szCs w:val="20"/>
              </w:rPr>
            </w:pPr>
            <w:r>
              <w:rPr>
                <w:rFonts w:cs="Calibri"/>
                <w:b/>
                <w:bCs/>
                <w:color w:val="000000"/>
                <w:sz w:val="20"/>
                <w:szCs w:val="20"/>
              </w:rPr>
              <w:t>Maximální skóre</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70AA18" w14:textId="77777777" w:rsidR="00354882" w:rsidRDefault="00354882" w:rsidP="00D853A9">
            <w:pPr>
              <w:jc w:val="center"/>
              <w:rPr>
                <w:rFonts w:cs="Calibri"/>
                <w:b/>
                <w:bCs/>
                <w:color w:val="000000"/>
                <w:sz w:val="20"/>
                <w:szCs w:val="20"/>
              </w:rPr>
            </w:pPr>
            <w:r>
              <w:rPr>
                <w:rFonts w:cs="Calibri"/>
                <w:b/>
                <w:bCs/>
                <w:color w:val="000000"/>
                <w:sz w:val="20"/>
                <w:szCs w:val="20"/>
              </w:rPr>
              <w:t>Aktuální skóre</w:t>
            </w:r>
          </w:p>
        </w:tc>
        <w:tc>
          <w:tcPr>
            <w:tcW w:w="71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A4018" w14:textId="77777777" w:rsidR="00354882" w:rsidRDefault="00354882" w:rsidP="00D853A9">
            <w:pPr>
              <w:jc w:val="center"/>
              <w:rPr>
                <w:rFonts w:cs="Calibri"/>
                <w:b/>
                <w:bCs/>
                <w:color w:val="000000"/>
              </w:rPr>
            </w:pPr>
            <w:r>
              <w:rPr>
                <w:rFonts w:cs="Calibri"/>
                <w:b/>
                <w:bCs/>
                <w:color w:val="000000"/>
              </w:rPr>
              <w:t>%</w:t>
            </w:r>
          </w:p>
        </w:tc>
      </w:tr>
      <w:tr w:rsidR="00354882" w14:paraId="7A494232" w14:textId="77777777" w:rsidTr="00D853A9">
        <w:trPr>
          <w:trHeight w:val="529"/>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621751" w14:textId="77777777" w:rsidR="00354882" w:rsidRDefault="00354882" w:rsidP="00D853A9">
            <w:pPr>
              <w:ind w:left="127"/>
              <w:rPr>
                <w:rFonts w:cs="Calibri"/>
                <w:sz w:val="20"/>
                <w:szCs w:val="20"/>
              </w:rPr>
            </w:pPr>
            <w:bookmarkStart w:id="27" w:name="RANGE!C5"/>
            <w:r>
              <w:rPr>
                <w:rFonts w:cstheme="minorHAnsi"/>
                <w:sz w:val="20"/>
                <w:szCs w:val="20"/>
              </w:rPr>
              <w:t>1.</w:t>
            </w:r>
            <w:r>
              <w:rPr>
                <w:sz w:val="20"/>
                <w:szCs w:val="20"/>
              </w:rPr>
              <w:t> </w:t>
            </w:r>
            <w:r w:rsidRPr="00C953BC">
              <w:rPr>
                <w:sz w:val="20"/>
                <w:szCs w:val="20"/>
              </w:rPr>
              <w:t xml:space="preserve">Vláda schválila a provádí plán přechodu od náhradního k podporovanému rozhodování  </w:t>
            </w:r>
            <w:bookmarkEnd w:id="27"/>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2539B2" w14:textId="77777777" w:rsidR="00354882" w:rsidRDefault="00354882" w:rsidP="00D853A9">
            <w:pPr>
              <w:jc w:val="center"/>
              <w:rPr>
                <w:rFonts w:cs="Calibri"/>
                <w:color w:val="000000"/>
                <w:sz w:val="20"/>
                <w:szCs w:val="20"/>
              </w:rPr>
            </w:pPr>
            <w:r>
              <w:rPr>
                <w:rFonts w:cs="Calibri"/>
                <w:color w:val="000000"/>
                <w:sz w:val="20"/>
                <w:szCs w:val="20"/>
              </w:rPr>
              <w:t>5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232F24" w14:textId="77777777" w:rsidR="00354882" w:rsidRDefault="00D853A9" w:rsidP="00D853A9">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D44ADF" w14:textId="77777777" w:rsidR="00354882" w:rsidRDefault="00D853A9" w:rsidP="00D853A9">
            <w:pPr>
              <w:jc w:val="center"/>
              <w:rPr>
                <w:rFonts w:cs="Calibri"/>
                <w:color w:val="000000"/>
                <w:sz w:val="20"/>
                <w:szCs w:val="20"/>
              </w:rPr>
            </w:pPr>
            <w:r>
              <w:rPr>
                <w:rFonts w:cs="Calibri"/>
                <w:color w:val="000000"/>
                <w:sz w:val="20"/>
                <w:szCs w:val="20"/>
              </w:rPr>
              <w:t>x</w:t>
            </w:r>
          </w:p>
        </w:tc>
      </w:tr>
      <w:tr w:rsidR="00354882" w14:paraId="4AE2B9E1" w14:textId="77777777" w:rsidTr="00D853A9">
        <w:trPr>
          <w:trHeight w:val="493"/>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7D7BA9" w14:textId="77777777" w:rsidR="00354882" w:rsidRDefault="00354882" w:rsidP="00D853A9">
            <w:pPr>
              <w:ind w:left="127"/>
              <w:rPr>
                <w:rFonts w:cs="Calibri"/>
                <w:sz w:val="20"/>
                <w:szCs w:val="20"/>
              </w:rPr>
            </w:pPr>
            <w:r>
              <w:rPr>
                <w:rFonts w:cstheme="minorHAnsi"/>
                <w:sz w:val="20"/>
                <w:szCs w:val="20"/>
              </w:rPr>
              <w:t>2.</w:t>
            </w:r>
            <w:r>
              <w:rPr>
                <w:sz w:val="20"/>
                <w:szCs w:val="20"/>
              </w:rPr>
              <w:t> </w:t>
            </w:r>
            <w:r w:rsidRPr="00C953BC">
              <w:rPr>
                <w:rFonts w:cs="Calibri"/>
                <w:sz w:val="20"/>
                <w:szCs w:val="20"/>
              </w:rPr>
              <w:t>Omezení svéprávnosti nevede k zásahu do základních práv</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FDFA34" w14:textId="77777777" w:rsidR="00354882" w:rsidRDefault="00354882" w:rsidP="00D853A9">
            <w:pPr>
              <w:jc w:val="center"/>
              <w:rPr>
                <w:rFonts w:cs="Calibri"/>
                <w:color w:val="000000"/>
                <w:sz w:val="20"/>
                <w:szCs w:val="20"/>
              </w:rPr>
            </w:pPr>
            <w:r>
              <w:rPr>
                <w:rFonts w:cs="Calibri"/>
                <w:color w:val="000000"/>
                <w:sz w:val="20"/>
                <w:szCs w:val="20"/>
              </w:rPr>
              <w:t>10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487BD" w14:textId="77777777" w:rsidR="00354882" w:rsidRDefault="00D853A9" w:rsidP="00D853A9">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8383F" w14:textId="77777777" w:rsidR="00354882" w:rsidRDefault="00D853A9" w:rsidP="00D853A9">
            <w:pPr>
              <w:jc w:val="center"/>
              <w:rPr>
                <w:rFonts w:cs="Calibri"/>
                <w:color w:val="000000"/>
                <w:sz w:val="20"/>
                <w:szCs w:val="20"/>
              </w:rPr>
            </w:pPr>
            <w:r>
              <w:rPr>
                <w:rFonts w:cs="Calibri"/>
                <w:color w:val="000000"/>
                <w:sz w:val="20"/>
                <w:szCs w:val="20"/>
              </w:rPr>
              <w:t>x</w:t>
            </w:r>
          </w:p>
        </w:tc>
      </w:tr>
      <w:tr w:rsidR="00354882" w14:paraId="3514C913" w14:textId="77777777" w:rsidTr="00D853A9">
        <w:trPr>
          <w:trHeight w:val="529"/>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01C347" w14:textId="77777777" w:rsidR="00354882" w:rsidRPr="00C953BC" w:rsidRDefault="00354882" w:rsidP="00D853A9">
            <w:pPr>
              <w:ind w:left="127"/>
              <w:rPr>
                <w:rFonts w:cstheme="minorHAnsi"/>
                <w:sz w:val="20"/>
                <w:szCs w:val="20"/>
              </w:rPr>
            </w:pPr>
            <w:r w:rsidRPr="00C953BC">
              <w:rPr>
                <w:rFonts w:cstheme="minorHAnsi"/>
                <w:sz w:val="20"/>
                <w:szCs w:val="20"/>
              </w:rPr>
              <w:t xml:space="preserve">3. Zvyšuje </w:t>
            </w:r>
            <w:r w:rsidRPr="00C953BC">
              <w:rPr>
                <w:rFonts w:cs="Calibri"/>
                <w:sz w:val="20"/>
                <w:szCs w:val="20"/>
              </w:rPr>
              <w:t>se</w:t>
            </w:r>
            <w:r w:rsidRPr="00C953BC">
              <w:rPr>
                <w:rFonts w:cstheme="minorHAnsi"/>
                <w:sz w:val="20"/>
                <w:szCs w:val="20"/>
              </w:rPr>
              <w:t xml:space="preserve"> podíl alternativ k omezení svéprávnosti ze všech rozhodnutí o podpůrných opatřeních </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7321" w14:textId="77777777" w:rsidR="00354882" w:rsidRDefault="00354882" w:rsidP="00D853A9">
            <w:pPr>
              <w:jc w:val="center"/>
              <w:rPr>
                <w:rFonts w:cs="Calibri"/>
                <w:color w:val="000000"/>
                <w:sz w:val="20"/>
                <w:szCs w:val="20"/>
              </w:rPr>
            </w:pPr>
            <w:r>
              <w:rPr>
                <w:rFonts w:cs="Calibri"/>
                <w:color w:val="000000"/>
                <w:sz w:val="20"/>
                <w:szCs w:val="20"/>
              </w:rPr>
              <w:t>100%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26880A" w14:textId="77777777" w:rsidR="00354882" w:rsidRDefault="00D853A9" w:rsidP="00D853A9">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DB350" w14:textId="77777777" w:rsidR="00354882" w:rsidRDefault="00D853A9" w:rsidP="00D853A9">
            <w:pPr>
              <w:jc w:val="center"/>
              <w:rPr>
                <w:rFonts w:cs="Calibri"/>
                <w:color w:val="000000"/>
                <w:sz w:val="20"/>
                <w:szCs w:val="20"/>
              </w:rPr>
            </w:pPr>
            <w:r>
              <w:rPr>
                <w:rFonts w:cs="Calibri"/>
                <w:color w:val="000000"/>
                <w:sz w:val="20"/>
                <w:szCs w:val="20"/>
              </w:rPr>
              <w:t>x</w:t>
            </w:r>
          </w:p>
        </w:tc>
      </w:tr>
      <w:tr w:rsidR="00354882" w14:paraId="1DDEC9C3" w14:textId="77777777" w:rsidTr="00D853A9">
        <w:trPr>
          <w:trHeight w:val="618"/>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9729C8A" w14:textId="77777777" w:rsidR="00354882" w:rsidRDefault="00354882" w:rsidP="00D853A9">
            <w:pPr>
              <w:ind w:left="127"/>
              <w:rPr>
                <w:rFonts w:cs="Calibri"/>
                <w:sz w:val="20"/>
                <w:szCs w:val="20"/>
              </w:rPr>
            </w:pPr>
            <w:r>
              <w:rPr>
                <w:rFonts w:cstheme="minorHAnsi"/>
                <w:sz w:val="20"/>
                <w:szCs w:val="20"/>
              </w:rPr>
              <w:t>4.</w:t>
            </w:r>
            <w:r>
              <w:rPr>
                <w:sz w:val="20"/>
                <w:szCs w:val="20"/>
              </w:rPr>
              <w:t> </w:t>
            </w:r>
            <w:r w:rsidRPr="00C953BC">
              <w:rPr>
                <w:rFonts w:cs="Calibri"/>
                <w:sz w:val="20"/>
                <w:szCs w:val="20"/>
              </w:rPr>
              <w:t>Právní úprava nástrojů podpory v rozhodování je v souladu s principy článku 12</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EC54A4" w14:textId="77777777" w:rsidR="00354882" w:rsidRDefault="00354882" w:rsidP="00D853A9">
            <w:pPr>
              <w:jc w:val="center"/>
              <w:rPr>
                <w:rFonts w:cs="Calibri"/>
                <w:color w:val="000000"/>
                <w:sz w:val="20"/>
                <w:szCs w:val="20"/>
              </w:rPr>
            </w:pPr>
            <w:r>
              <w:rPr>
                <w:rFonts w:cs="Calibri"/>
                <w:color w:val="000000"/>
                <w:sz w:val="20"/>
                <w:szCs w:val="20"/>
              </w:rPr>
              <w:t>48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7F0D1" w14:textId="77777777" w:rsidR="00354882" w:rsidRDefault="00D853A9" w:rsidP="00D853A9">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5E6895" w14:textId="77777777" w:rsidR="00354882" w:rsidRDefault="00D853A9" w:rsidP="00D853A9">
            <w:pPr>
              <w:jc w:val="center"/>
              <w:rPr>
                <w:rFonts w:cs="Calibri"/>
                <w:color w:val="000000"/>
                <w:sz w:val="20"/>
                <w:szCs w:val="20"/>
              </w:rPr>
            </w:pPr>
            <w:r>
              <w:rPr>
                <w:rFonts w:cs="Calibri"/>
                <w:color w:val="000000"/>
                <w:sz w:val="20"/>
                <w:szCs w:val="20"/>
              </w:rPr>
              <w:t>x</w:t>
            </w:r>
          </w:p>
        </w:tc>
      </w:tr>
      <w:tr w:rsidR="00354882" w14:paraId="468BAFF6" w14:textId="77777777" w:rsidTr="00D853A9">
        <w:trPr>
          <w:trHeight w:val="518"/>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EF0913" w14:textId="77777777" w:rsidR="00354882" w:rsidRDefault="00354882" w:rsidP="00D853A9">
            <w:pPr>
              <w:ind w:left="127"/>
              <w:rPr>
                <w:rFonts w:cs="Calibri"/>
                <w:sz w:val="20"/>
                <w:szCs w:val="20"/>
              </w:rPr>
            </w:pPr>
            <w:r>
              <w:rPr>
                <w:rFonts w:cstheme="minorHAnsi"/>
                <w:sz w:val="20"/>
                <w:szCs w:val="20"/>
              </w:rPr>
              <w:t>5.</w:t>
            </w:r>
            <w:r>
              <w:rPr>
                <w:sz w:val="20"/>
                <w:szCs w:val="20"/>
              </w:rPr>
              <w:t>  </w:t>
            </w:r>
            <w:r w:rsidRPr="00C953BC">
              <w:rPr>
                <w:rFonts w:cs="Calibri"/>
                <w:sz w:val="20"/>
                <w:szCs w:val="20"/>
              </w:rPr>
              <w:t xml:space="preserve"> Existují efektivní nástroje pro předběžný projev vůle</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3BC49B" w14:textId="77777777" w:rsidR="00354882" w:rsidRDefault="00354882" w:rsidP="00D853A9">
            <w:pPr>
              <w:jc w:val="center"/>
              <w:rPr>
                <w:rFonts w:cs="Calibri"/>
                <w:color w:val="000000"/>
                <w:sz w:val="20"/>
                <w:szCs w:val="20"/>
              </w:rPr>
            </w:pPr>
            <w:r>
              <w:rPr>
                <w:rFonts w:cs="Calibri"/>
                <w:color w:val="000000"/>
                <w:sz w:val="20"/>
                <w:szCs w:val="20"/>
              </w:rPr>
              <w:t>100%</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22DF5" w14:textId="77777777" w:rsidR="00354882" w:rsidRDefault="00D853A9" w:rsidP="00D853A9">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DA08AE" w14:textId="77777777" w:rsidR="00354882" w:rsidRDefault="00D853A9" w:rsidP="00D853A9">
            <w:pPr>
              <w:jc w:val="center"/>
              <w:rPr>
                <w:rFonts w:cs="Calibri"/>
                <w:color w:val="000000"/>
                <w:sz w:val="20"/>
                <w:szCs w:val="20"/>
              </w:rPr>
            </w:pPr>
            <w:r>
              <w:rPr>
                <w:rFonts w:cs="Calibri"/>
                <w:color w:val="000000"/>
                <w:sz w:val="20"/>
                <w:szCs w:val="20"/>
              </w:rPr>
              <w:t>x</w:t>
            </w:r>
          </w:p>
        </w:tc>
      </w:tr>
      <w:tr w:rsidR="00354882" w14:paraId="57F01301" w14:textId="77777777" w:rsidTr="00D853A9">
        <w:trPr>
          <w:trHeight w:val="300"/>
        </w:trPr>
        <w:tc>
          <w:tcPr>
            <w:tcW w:w="6658"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14:paraId="77EA4568" w14:textId="77777777" w:rsidR="00354882" w:rsidRDefault="00354882" w:rsidP="00D853A9">
            <w:pPr>
              <w:rPr>
                <w:rFonts w:cs="Calibri"/>
                <w:sz w:val="20"/>
                <w:szCs w:val="20"/>
              </w:rPr>
            </w:pPr>
            <w:r>
              <w:rPr>
                <w:rFonts w:cs="Calibri"/>
                <w:sz w:val="20"/>
                <w:szCs w:val="20"/>
              </w:rPr>
              <w:t xml:space="preserve">Celkem </w:t>
            </w:r>
          </w:p>
        </w:tc>
        <w:tc>
          <w:tcPr>
            <w:tcW w:w="1134" w:type="dxa"/>
            <w:tcBorders>
              <w:top w:val="nil"/>
              <w:left w:val="nil"/>
              <w:bottom w:val="single" w:sz="4" w:space="0" w:color="auto"/>
              <w:right w:val="single" w:sz="4" w:space="0" w:color="auto"/>
            </w:tcBorders>
            <w:shd w:val="clear" w:color="000000" w:fill="BFBFBF"/>
            <w:noWrap/>
            <w:tcMar>
              <w:top w:w="15" w:type="dxa"/>
              <w:left w:w="15" w:type="dxa"/>
              <w:bottom w:w="0" w:type="dxa"/>
              <w:right w:w="15" w:type="dxa"/>
            </w:tcMar>
            <w:vAlign w:val="bottom"/>
          </w:tcPr>
          <w:p w14:paraId="7175AD33" w14:textId="77777777" w:rsidR="00354882" w:rsidRPr="002219CE" w:rsidRDefault="00354882" w:rsidP="00D853A9">
            <w:pPr>
              <w:jc w:val="center"/>
              <w:rPr>
                <w:rFonts w:cs="Calibri"/>
                <w:b/>
                <w:color w:val="000000"/>
                <w:sz w:val="20"/>
                <w:szCs w:val="20"/>
              </w:rPr>
            </w:pPr>
            <w:r>
              <w:rPr>
                <w:rFonts w:cs="Calibri"/>
                <w:b/>
                <w:color w:val="000000"/>
                <w:sz w:val="20"/>
                <w:szCs w:val="20"/>
              </w:rPr>
              <w:t>100%</w:t>
            </w:r>
          </w:p>
        </w:tc>
        <w:tc>
          <w:tcPr>
            <w:tcW w:w="1134" w:type="dxa"/>
            <w:tcBorders>
              <w:top w:val="nil"/>
              <w:left w:val="nil"/>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A8278A2" w14:textId="77777777" w:rsidR="00354882" w:rsidRPr="002219CE" w:rsidRDefault="00D853A9" w:rsidP="00D853A9">
            <w:pPr>
              <w:jc w:val="center"/>
              <w:rPr>
                <w:rFonts w:cs="Calibri"/>
                <w:b/>
                <w:color w:val="000000"/>
                <w:sz w:val="20"/>
                <w:szCs w:val="20"/>
              </w:rPr>
            </w:pPr>
            <w:r>
              <w:rPr>
                <w:rFonts w:cs="Calibri"/>
                <w:b/>
                <w:color w:val="000000"/>
                <w:sz w:val="20"/>
                <w:szCs w:val="20"/>
              </w:rPr>
              <w:t>x</w:t>
            </w:r>
          </w:p>
        </w:tc>
        <w:tc>
          <w:tcPr>
            <w:tcW w:w="714" w:type="dxa"/>
            <w:tcBorders>
              <w:top w:val="nil"/>
              <w:left w:val="nil"/>
              <w:bottom w:val="single" w:sz="4" w:space="0" w:color="auto"/>
              <w:right w:val="single" w:sz="4" w:space="0" w:color="auto"/>
            </w:tcBorders>
            <w:shd w:val="clear" w:color="000000" w:fill="BFBFBF"/>
            <w:vAlign w:val="bottom"/>
          </w:tcPr>
          <w:p w14:paraId="0A5AC97A" w14:textId="77777777" w:rsidR="00354882" w:rsidRPr="002219CE" w:rsidRDefault="00D853A9" w:rsidP="00D853A9">
            <w:pPr>
              <w:jc w:val="center"/>
              <w:rPr>
                <w:rFonts w:cs="Calibri"/>
                <w:b/>
                <w:color w:val="000000"/>
                <w:sz w:val="20"/>
                <w:szCs w:val="20"/>
              </w:rPr>
            </w:pPr>
            <w:r>
              <w:rPr>
                <w:rFonts w:cs="Calibri"/>
                <w:b/>
                <w:color w:val="000000"/>
                <w:sz w:val="20"/>
                <w:szCs w:val="20"/>
              </w:rPr>
              <w:t>x</w:t>
            </w:r>
          </w:p>
        </w:tc>
      </w:tr>
    </w:tbl>
    <w:p w14:paraId="3015E45B" w14:textId="77777777" w:rsidR="00354882" w:rsidRPr="004D4535" w:rsidRDefault="00354882" w:rsidP="004D4535">
      <w:pPr>
        <w:pStyle w:val="Nadpis3"/>
        <w:rPr>
          <w:rStyle w:val="Siln"/>
          <w:b w:val="0"/>
          <w:bCs w:val="0"/>
        </w:rPr>
      </w:pPr>
      <w:bookmarkStart w:id="28" w:name="_Toc81417429"/>
      <w:r w:rsidRPr="004D4535">
        <w:rPr>
          <w:rStyle w:val="Siln"/>
          <w:b w:val="0"/>
          <w:bCs w:val="0"/>
        </w:rPr>
        <w:lastRenderedPageBreak/>
        <w:t>Vláda schválila a provádí plán přechodu od náhradního k podporovanému rozhodování</w:t>
      </w:r>
      <w:bookmarkEnd w:id="28"/>
      <w:r w:rsidRPr="004D4535">
        <w:rPr>
          <w:rStyle w:val="Siln"/>
          <w:b w:val="0"/>
          <w:bCs w:val="0"/>
        </w:rPr>
        <w:t xml:space="preserve">  </w:t>
      </w:r>
    </w:p>
    <w:p w14:paraId="52E64C7A" w14:textId="77777777" w:rsidR="00354882" w:rsidRPr="00354882" w:rsidRDefault="00354882" w:rsidP="00354882">
      <w:pPr>
        <w:pStyle w:val="Zkladntext"/>
        <w:rPr>
          <w:rStyle w:val="Siln"/>
        </w:rPr>
      </w:pPr>
    </w:p>
    <w:p w14:paraId="6810C0DB" w14:textId="77777777" w:rsidR="00354882" w:rsidRPr="00F5205B" w:rsidRDefault="00354882" w:rsidP="00354882">
      <w:pPr>
        <w:pStyle w:val="Zkladntext"/>
        <w:rPr>
          <w:rStyle w:val="pokyny"/>
          <w:color w:val="000000" w:themeColor="text1"/>
        </w:rPr>
      </w:pPr>
      <w:r w:rsidRPr="00F5205B">
        <w:rPr>
          <w:rStyle w:val="pokyny"/>
          <w:color w:val="000000" w:themeColor="text1"/>
        </w:rPr>
        <w:t>Stát má plán k přechodu od náhradního k podporovanému rozhodování, jehož součástí je:</w:t>
      </w:r>
    </w:p>
    <w:p w14:paraId="65C377E9" w14:textId="77777777" w:rsidR="00354882" w:rsidRPr="00354882" w:rsidRDefault="00354882" w:rsidP="00354882">
      <w:pPr>
        <w:pStyle w:val="Seznam"/>
        <w:rPr>
          <w:rStyle w:val="pokyny"/>
          <w:color w:val="auto"/>
        </w:rPr>
      </w:pPr>
      <w:r w:rsidRPr="00354882">
        <w:rPr>
          <w:rStyle w:val="pokyny"/>
          <w:color w:val="auto"/>
        </w:rPr>
        <w:t>Určení gesčního orgánu pro oblast podpory při rozhodování</w:t>
      </w:r>
    </w:p>
    <w:p w14:paraId="16DC0422" w14:textId="77777777" w:rsidR="00354882" w:rsidRPr="00354882" w:rsidRDefault="00354882" w:rsidP="00354882">
      <w:pPr>
        <w:pStyle w:val="Seznam"/>
        <w:rPr>
          <w:rStyle w:val="pokyny"/>
          <w:color w:val="auto"/>
        </w:rPr>
      </w:pPr>
      <w:r w:rsidRPr="00354882">
        <w:rPr>
          <w:rStyle w:val="pokyny"/>
          <w:color w:val="auto"/>
        </w:rPr>
        <w:t>Stanovení termínu pro ukončení využívání institutu omezení svéprávnosti</w:t>
      </w:r>
    </w:p>
    <w:p w14:paraId="119741B4" w14:textId="77777777" w:rsidR="00354882" w:rsidRPr="00354882" w:rsidRDefault="00354882" w:rsidP="00354882">
      <w:pPr>
        <w:pStyle w:val="Seznam"/>
        <w:rPr>
          <w:rStyle w:val="pokyny"/>
          <w:color w:val="auto"/>
        </w:rPr>
      </w:pPr>
      <w:r w:rsidRPr="00354882">
        <w:rPr>
          <w:rStyle w:val="pokyny"/>
          <w:color w:val="auto"/>
        </w:rPr>
        <w:t>Zřízení kontaktního místa pro poskytování informací o podpůrných opatřeních a pro podporu podpůrných osob</w:t>
      </w:r>
    </w:p>
    <w:p w14:paraId="72C05674" w14:textId="77777777" w:rsidR="00354882" w:rsidRPr="00354882" w:rsidRDefault="00354882" w:rsidP="00354882">
      <w:pPr>
        <w:pStyle w:val="Seznam"/>
        <w:rPr>
          <w:rStyle w:val="pokyny"/>
          <w:color w:val="auto"/>
        </w:rPr>
      </w:pPr>
      <w:r w:rsidRPr="00354882">
        <w:rPr>
          <w:rStyle w:val="pokyny"/>
          <w:color w:val="auto"/>
        </w:rPr>
        <w:t>Pravidelný sběr dat v oblasti podpory v rozhodování</w:t>
      </w:r>
    </w:p>
    <w:p w14:paraId="57C18598" w14:textId="77777777" w:rsidR="00354882" w:rsidRPr="00354882" w:rsidRDefault="00354882" w:rsidP="00354882">
      <w:pPr>
        <w:pStyle w:val="Seznam"/>
        <w:rPr>
          <w:rStyle w:val="pokyny"/>
          <w:color w:val="auto"/>
        </w:rPr>
      </w:pPr>
      <w:r w:rsidRPr="00354882">
        <w:rPr>
          <w:rStyle w:val="pokyny"/>
          <w:color w:val="auto"/>
        </w:rPr>
        <w:t>Finanční podpora pro profesionální nápomoc při rozhodování</w:t>
      </w:r>
    </w:p>
    <w:p w14:paraId="362EEFF6" w14:textId="77777777" w:rsidR="00354882" w:rsidRDefault="00354882" w:rsidP="00354882">
      <w:pPr>
        <w:pStyle w:val="Seznam"/>
        <w:numPr>
          <w:ilvl w:val="0"/>
          <w:numId w:val="0"/>
        </w:numPr>
        <w:rPr>
          <w:rStyle w:val="pokyny"/>
          <w:color w:val="000000" w:themeColor="text1"/>
        </w:rPr>
      </w:pPr>
    </w:p>
    <w:p w14:paraId="41B87EBE" w14:textId="77777777" w:rsidR="00354882" w:rsidRPr="007D4CD3" w:rsidRDefault="00354882" w:rsidP="00354882">
      <w:pPr>
        <w:pStyle w:val="Seznam"/>
        <w:numPr>
          <w:ilvl w:val="0"/>
          <w:numId w:val="0"/>
        </w:numPr>
        <w:rPr>
          <w:rStyle w:val="pokyny"/>
          <w:color w:val="000000" w:themeColor="text1"/>
        </w:rPr>
      </w:pPr>
      <w:r w:rsidRPr="00F5205B">
        <w:rPr>
          <w:rStyle w:val="pokyny"/>
          <w:color w:val="000000" w:themeColor="text1"/>
        </w:rPr>
        <w:t xml:space="preserve">Možnost dosáhnout celkového skóre: </w:t>
      </w:r>
      <w:r w:rsidRPr="007D4CD3">
        <w:rPr>
          <w:rStyle w:val="Siln"/>
          <w:b w:val="0"/>
        </w:rPr>
        <w:t>5</w:t>
      </w:r>
    </w:p>
    <w:p w14:paraId="5DE318B6" w14:textId="77777777" w:rsidR="00354882" w:rsidRPr="007D4CD3" w:rsidRDefault="00354882" w:rsidP="00354882">
      <w:pPr>
        <w:pStyle w:val="Seznam"/>
        <w:numPr>
          <w:ilvl w:val="0"/>
          <w:numId w:val="0"/>
        </w:numPr>
        <w:rPr>
          <w:rStyle w:val="Siln"/>
          <w:b w:val="0"/>
        </w:rPr>
      </w:pPr>
      <w:r w:rsidRPr="007D4CD3">
        <w:rPr>
          <w:rStyle w:val="pokyny"/>
          <w:color w:val="000000" w:themeColor="text1"/>
        </w:rPr>
        <w:t xml:space="preserve">Česko aktuálně dosahuje skóre: </w:t>
      </w:r>
      <w:r w:rsidRPr="007D4CD3">
        <w:rPr>
          <w:rStyle w:val="Siln"/>
          <w:b w:val="0"/>
        </w:rPr>
        <w:t>X</w:t>
      </w:r>
    </w:p>
    <w:p w14:paraId="6C37E837" w14:textId="77777777" w:rsidR="00354882" w:rsidRPr="00F5205B" w:rsidRDefault="00354882" w:rsidP="00354882">
      <w:pPr>
        <w:pStyle w:val="Seznam"/>
        <w:numPr>
          <w:ilvl w:val="0"/>
          <w:numId w:val="0"/>
        </w:numPr>
        <w:rPr>
          <w:rStyle w:val="pokyny"/>
          <w:color w:val="000000" w:themeColor="text1"/>
        </w:rPr>
      </w:pPr>
    </w:p>
    <w:p w14:paraId="37D4679D"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F5205B">
        <w:rPr>
          <w:rStyle w:val="pokyny"/>
          <w:color w:val="000000" w:themeColor="text1"/>
        </w:rPr>
        <w:t>Komentář</w:t>
      </w:r>
    </w:p>
    <w:p w14:paraId="6A97BF95"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F5205B">
        <w:rPr>
          <w:rStyle w:val="pokyny"/>
          <w:color w:val="000000" w:themeColor="text1"/>
        </w:rPr>
        <w:t>Pokud jde o podobu plánu, nemusí se jednat o jeden dokument, ale může jít o několik rozhodnutí/právních předpisů tvořící plán implementace článku 12.</w:t>
      </w:r>
    </w:p>
    <w:p w14:paraId="5A9DB741"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F5205B">
        <w:rPr>
          <w:rStyle w:val="pokyny"/>
          <w:color w:val="000000" w:themeColor="text1"/>
        </w:rPr>
        <w:t>(Ne)splnění jednotlivých kritérií může být doplněno komentářem, například o dosaženém pokroku v jednotlivém bodu.</w:t>
      </w:r>
    </w:p>
    <w:p w14:paraId="6F8C29AD" w14:textId="77777777" w:rsidR="00354882" w:rsidRPr="00F5205B" w:rsidRDefault="00354882" w:rsidP="00354882">
      <w:pPr>
        <w:pStyle w:val="Zkladntext"/>
        <w:spacing w:before="0" w:after="0" w:line="240" w:lineRule="auto"/>
        <w:rPr>
          <w:rStyle w:val="pokyny"/>
          <w:color w:val="000000" w:themeColor="text1"/>
        </w:rPr>
      </w:pPr>
    </w:p>
    <w:p w14:paraId="6F27D5B8" w14:textId="77777777" w:rsidR="00354882" w:rsidRPr="00F5205B" w:rsidRDefault="00354882" w:rsidP="00354882">
      <w:pPr>
        <w:pStyle w:val="Zkladntext"/>
        <w:spacing w:before="0" w:after="0" w:line="240" w:lineRule="auto"/>
        <w:rPr>
          <w:rStyle w:val="pokyny"/>
          <w:color w:val="000000" w:themeColor="text1"/>
        </w:rPr>
      </w:pPr>
      <w:r w:rsidRPr="00F5205B">
        <w:rPr>
          <w:rStyle w:val="pokyny"/>
          <w:color w:val="000000" w:themeColor="text1"/>
        </w:rPr>
        <w:t>Progres v implementaci čl. 12 Úmluvy:</w:t>
      </w:r>
    </w:p>
    <w:p w14:paraId="663EE80E" w14:textId="77777777" w:rsidR="00354882" w:rsidRPr="00354882" w:rsidRDefault="00354882" w:rsidP="00354882">
      <w:pPr>
        <w:pStyle w:val="Seznam"/>
        <w:rPr>
          <w:rStyle w:val="pokyny"/>
          <w:color w:val="auto"/>
        </w:rPr>
      </w:pPr>
      <w:r w:rsidRPr="00354882">
        <w:rPr>
          <w:rStyle w:val="pokyny"/>
          <w:color w:val="auto"/>
        </w:rPr>
        <w:t>Míra naplnění se postupně zvyšuje, v případě dosažení plného skóre, lze uvažovat o změně indikátoru.</w:t>
      </w:r>
    </w:p>
    <w:p w14:paraId="165956CD" w14:textId="77777777" w:rsidR="00354882" w:rsidRPr="00F5205B" w:rsidRDefault="00354882" w:rsidP="00354882">
      <w:pPr>
        <w:rPr>
          <w:rStyle w:val="pokyny"/>
          <w:color w:val="000000" w:themeColor="text1"/>
        </w:rPr>
      </w:pPr>
      <w:r w:rsidRPr="00F5205B">
        <w:rPr>
          <w:rStyle w:val="pokyny"/>
          <w:color w:val="000000" w:themeColor="text1"/>
        </w:rPr>
        <w:br w:type="page"/>
      </w:r>
    </w:p>
    <w:p w14:paraId="7C63B7A8" w14:textId="77777777" w:rsidR="00354882" w:rsidRPr="004D4535" w:rsidRDefault="00354882" w:rsidP="004D4535">
      <w:pPr>
        <w:pStyle w:val="Nadpis3"/>
        <w:rPr>
          <w:rStyle w:val="Siln"/>
          <w:b w:val="0"/>
          <w:bCs w:val="0"/>
        </w:rPr>
      </w:pPr>
      <w:bookmarkStart w:id="29" w:name="_Toc81417430"/>
      <w:r w:rsidRPr="004D4535">
        <w:rPr>
          <w:rStyle w:val="Siln"/>
          <w:b w:val="0"/>
          <w:bCs w:val="0"/>
        </w:rPr>
        <w:lastRenderedPageBreak/>
        <w:t>Omezení svéprávnosti nevede k zásahu do základních práv</w:t>
      </w:r>
      <w:bookmarkEnd w:id="29"/>
      <w:r w:rsidRPr="004D4535">
        <w:rPr>
          <w:rStyle w:val="Siln"/>
          <w:b w:val="0"/>
          <w:bCs w:val="0"/>
        </w:rPr>
        <w:t xml:space="preserve"> </w:t>
      </w:r>
    </w:p>
    <w:p w14:paraId="1889A949" w14:textId="77777777" w:rsidR="00354882" w:rsidRPr="00354882" w:rsidRDefault="00354882" w:rsidP="00354882">
      <w:pPr>
        <w:pStyle w:val="Seznam"/>
        <w:numPr>
          <w:ilvl w:val="0"/>
          <w:numId w:val="0"/>
        </w:numPr>
        <w:tabs>
          <w:tab w:val="left" w:pos="0"/>
        </w:tabs>
        <w:rPr>
          <w:rStyle w:val="Siln"/>
          <w:b w:val="0"/>
        </w:rPr>
      </w:pPr>
      <w:r w:rsidRPr="00354882">
        <w:rPr>
          <w:rStyle w:val="Siln"/>
          <w:b w:val="0"/>
        </w:rPr>
        <w:t>Konkrétně jde o tyto oblasti:</w:t>
      </w:r>
    </w:p>
    <w:p w14:paraId="743015BB"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Procesní způsobilost ve správním řízení a v řízení před soudy</w:t>
      </w:r>
    </w:p>
    <w:p w14:paraId="73BE9A52"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Rozhodnutí o umístění do zařízení sociálních služeb a zdravotních služeb</w:t>
      </w:r>
    </w:p>
    <w:p w14:paraId="72333180"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Rozhodování o poskytnutí zdravotních služeb a zásazích do integrity</w:t>
      </w:r>
    </w:p>
    <w:p w14:paraId="30FEE321"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Svoboda pohybu a národnosti</w:t>
      </w:r>
    </w:p>
    <w:p w14:paraId="3D5C248F"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Svoboda projevu</w:t>
      </w:r>
    </w:p>
    <w:p w14:paraId="12F344F0"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Uzavření manželství a registrovaného partnerství</w:t>
      </w:r>
    </w:p>
    <w:p w14:paraId="19A86D80"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Rodičovská odpovědnost, osvojení a určení otcovství</w:t>
      </w:r>
    </w:p>
    <w:p w14:paraId="6D7D97D2"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Aktivní volební právo nebo jeho výkon</w:t>
      </w:r>
    </w:p>
    <w:p w14:paraId="063648B5"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Pasivní volební právo nebo jeho výkon</w:t>
      </w:r>
    </w:p>
    <w:p w14:paraId="6B8FED24" w14:textId="77777777" w:rsidR="00354882" w:rsidRPr="00354882" w:rsidRDefault="00354882" w:rsidP="00354882">
      <w:pPr>
        <w:pStyle w:val="Odstavecseseznamem"/>
        <w:numPr>
          <w:ilvl w:val="0"/>
          <w:numId w:val="30"/>
        </w:numPr>
        <w:spacing w:line="240" w:lineRule="auto"/>
        <w:rPr>
          <w:rStyle w:val="Siln"/>
          <w:b w:val="0"/>
        </w:rPr>
      </w:pPr>
      <w:r w:rsidRPr="00354882">
        <w:rPr>
          <w:rStyle w:val="Siln"/>
          <w:b w:val="0"/>
        </w:rPr>
        <w:t>Pořízení závěti</w:t>
      </w:r>
    </w:p>
    <w:p w14:paraId="0B89706C" w14:textId="77777777" w:rsidR="00354882" w:rsidRPr="00354882" w:rsidRDefault="00354882" w:rsidP="00354882">
      <w:pPr>
        <w:pStyle w:val="Seznam"/>
        <w:numPr>
          <w:ilvl w:val="0"/>
          <w:numId w:val="0"/>
        </w:numPr>
        <w:ind w:left="567" w:hanging="567"/>
        <w:rPr>
          <w:rStyle w:val="Siln"/>
          <w:b w:val="0"/>
        </w:rPr>
      </w:pPr>
      <w:r w:rsidRPr="00354882">
        <w:rPr>
          <w:rStyle w:val="Siln"/>
          <w:b w:val="0"/>
        </w:rPr>
        <w:t>Maximální skóre: 10 bodů</w:t>
      </w:r>
    </w:p>
    <w:p w14:paraId="32AA99E8" w14:textId="77777777" w:rsidR="00354882" w:rsidRPr="00F5205B" w:rsidRDefault="00354882" w:rsidP="00354882">
      <w:pPr>
        <w:pStyle w:val="Seznam"/>
        <w:numPr>
          <w:ilvl w:val="0"/>
          <w:numId w:val="0"/>
        </w:numPr>
        <w:ind w:left="567" w:hanging="567"/>
        <w:rPr>
          <w:rStyle w:val="pokyny"/>
          <w:color w:val="000000" w:themeColor="text1"/>
        </w:rPr>
      </w:pPr>
      <w:r w:rsidRPr="00354882">
        <w:rPr>
          <w:rStyle w:val="Siln"/>
          <w:b w:val="0"/>
        </w:rPr>
        <w:t>Česko aktuálně dosahuje skóre: X</w:t>
      </w:r>
    </w:p>
    <w:p w14:paraId="55DF155F"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F5205B">
        <w:rPr>
          <w:rStyle w:val="pokyny"/>
          <w:color w:val="000000" w:themeColor="text1"/>
        </w:rPr>
        <w:t xml:space="preserve">Komentář </w:t>
      </w:r>
    </w:p>
    <w:p w14:paraId="6A43D146"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46C05C9F"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F5205B">
        <w:rPr>
          <w:rStyle w:val="Siln"/>
        </w:rPr>
        <w:t xml:space="preserve">Ačkoliv zásah do svéprávnosti je nutně spojen s omezením některých práv, zejména </w:t>
      </w:r>
      <w:r w:rsidRPr="00F5205B">
        <w:rPr>
          <w:rStyle w:val="pokyny"/>
          <w:color w:val="000000" w:themeColor="text1"/>
        </w:rPr>
        <w:t xml:space="preserve">práva vstupovat do soukromoprávních vztahů či práva rozhodovat o svém majetku, častokrát je důsledkem omezení svéprávnosti také nemožnost vykonávat další základní práva. Dle </w:t>
      </w:r>
      <w:hyperlink r:id="rId21" w:history="1">
        <w:r w:rsidRPr="00F5205B">
          <w:rPr>
            <w:rStyle w:val="Hypertextovodkaz"/>
          </w:rPr>
          <w:t>obecného komentáře</w:t>
        </w:r>
      </w:hyperlink>
      <w:r w:rsidRPr="00F5205B">
        <w:rPr>
          <w:rStyle w:val="pokyny"/>
          <w:color w:val="000000" w:themeColor="text1"/>
        </w:rPr>
        <w:t xml:space="preserve"> Výboru OSN pro práva osob se zdravotním postižením se zejména jedná o právo na přístup ke spravedlnosti (článek 13), právo osobní svobodu (článek 14), práva na respektování fyzické a duševní integrity osoby (článek 17), práva na svobodu pohybu a národnosti (článek 18), práva vybrat si, kde a s kým budou žít (článek 19), práva na svobodu projevu (článek 21), práva uzavřít manželství a založit rodinu (článek 23), práva na udělení souhlasu se zdravotní péčí (článek 25) a práva volit a být volen (článek 29).</w:t>
      </w:r>
      <w:r w:rsidRPr="00F5205B">
        <w:rPr>
          <w:rStyle w:val="Znakapoznpodarou"/>
        </w:rPr>
        <w:footnoteReference w:id="8"/>
      </w:r>
      <w:r w:rsidRPr="00F5205B">
        <w:rPr>
          <w:rStyle w:val="pokyny"/>
          <w:color w:val="000000" w:themeColor="text1"/>
        </w:rPr>
        <w:t xml:space="preserve"> Do indikátoru je kromě výše zmíněných oblastí zařazena také oblast pořízení závěti.  </w:t>
      </w:r>
    </w:p>
    <w:p w14:paraId="1D108685"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1E054AD9" w14:textId="77777777" w:rsidR="00354882" w:rsidRPr="00354882"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bCs/>
          <w:color w:val="auto"/>
        </w:rPr>
      </w:pPr>
      <w:r w:rsidRPr="00F5205B">
        <w:rPr>
          <w:rStyle w:val="pokyny"/>
          <w:color w:val="000000" w:themeColor="text1"/>
        </w:rPr>
        <w:t xml:space="preserve">Za každou oblast, ve které nelze podle platné právní úpravy zasáhnout v rámci řízení o svéprávnosti je přidělen 1 bod. </w:t>
      </w:r>
      <w:r w:rsidRPr="00354882">
        <w:rPr>
          <w:rStyle w:val="Siln"/>
          <w:b w:val="0"/>
        </w:rPr>
        <w:t xml:space="preserve">Každá oblast, ve které nebude indikátor naplněn, bude doplněna komentářem s odkazem na ustanovení zákona. </w:t>
      </w:r>
      <w:r w:rsidRPr="00354882">
        <w:rPr>
          <w:rStyle w:val="pokyny"/>
          <w:color w:val="000000" w:themeColor="text1"/>
        </w:rPr>
        <w:t xml:space="preserve"> </w:t>
      </w:r>
    </w:p>
    <w:p w14:paraId="4C1538F4" w14:textId="77777777" w:rsidR="00354882" w:rsidRPr="00354882"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6536C57A" w14:textId="77777777" w:rsidR="00354882" w:rsidRPr="00354882" w:rsidRDefault="00354882" w:rsidP="00354882">
      <w:pPr>
        <w:pStyle w:val="Zkladntext"/>
        <w:pBdr>
          <w:top w:val="single" w:sz="4" w:space="1" w:color="auto"/>
          <w:left w:val="single" w:sz="4" w:space="4" w:color="auto"/>
          <w:bottom w:val="single" w:sz="4" w:space="1" w:color="auto"/>
          <w:right w:val="single" w:sz="4" w:space="4" w:color="auto"/>
        </w:pBdr>
        <w:spacing w:before="0" w:after="0" w:line="240" w:lineRule="auto"/>
        <w:rPr>
          <w:rStyle w:val="Siln"/>
          <w:b w:val="0"/>
        </w:rPr>
      </w:pPr>
      <w:r w:rsidRPr="00354882">
        <w:rPr>
          <w:rStyle w:val="Siln"/>
          <w:b w:val="0"/>
        </w:rPr>
        <w:t>K naplnění může dojít jak prostřednictvím změny právní úpravy, tak také interpretací Nejvyššího soudu nebo Ústavního soudu.</w:t>
      </w:r>
    </w:p>
    <w:p w14:paraId="0142B530" w14:textId="77777777" w:rsidR="00354882" w:rsidRPr="00354882" w:rsidRDefault="00354882" w:rsidP="00354882">
      <w:pPr>
        <w:pStyle w:val="Zkladntext"/>
        <w:pBdr>
          <w:top w:val="single" w:sz="4" w:space="1" w:color="auto"/>
          <w:left w:val="single" w:sz="4" w:space="4" w:color="auto"/>
          <w:bottom w:val="single" w:sz="4" w:space="1" w:color="auto"/>
          <w:right w:val="single" w:sz="4" w:space="4" w:color="auto"/>
        </w:pBdr>
        <w:rPr>
          <w:rStyle w:val="pokyny"/>
          <w:bCs/>
          <w:color w:val="auto"/>
        </w:rPr>
      </w:pPr>
      <w:r w:rsidRPr="00354882">
        <w:rPr>
          <w:rStyle w:val="Siln"/>
          <w:b w:val="0"/>
        </w:rPr>
        <w:t>Data můžou být doplněny počtem rozhodnutí o omezení svéprávnosti v konkrétních oblastech, které sbírá Ministerstvo spravedlnosti (výkon volebního práva, možnost uzavřít sňatek, omezení rodičovské odpovědnosti, přivolení zásahu do integrity).</w:t>
      </w:r>
    </w:p>
    <w:p w14:paraId="772D9A12" w14:textId="77777777" w:rsidR="00354882" w:rsidRPr="00354882" w:rsidRDefault="00354882" w:rsidP="00354882">
      <w:pPr>
        <w:rPr>
          <w:rStyle w:val="Siln"/>
          <w:b w:val="0"/>
        </w:rPr>
      </w:pPr>
      <w:r w:rsidRPr="00354882">
        <w:rPr>
          <w:rStyle w:val="Siln"/>
          <w:b w:val="0"/>
        </w:rPr>
        <w:t>Progres v implementaci čl. 12 Úmluvy:</w:t>
      </w:r>
    </w:p>
    <w:p w14:paraId="2B7CA81E" w14:textId="77777777" w:rsidR="00354882" w:rsidRPr="00354882" w:rsidRDefault="00354882" w:rsidP="00354882">
      <w:pPr>
        <w:pStyle w:val="Seznam"/>
        <w:rPr>
          <w:rStyle w:val="Siln"/>
          <w:b w:val="0"/>
        </w:rPr>
      </w:pPr>
      <w:r w:rsidRPr="00354882">
        <w:rPr>
          <w:rStyle w:val="Siln"/>
          <w:b w:val="0"/>
        </w:rPr>
        <w:t>Zvyšuje se počet oblastí, ve kterých nelze zasáhnout do svéprávnosti.</w:t>
      </w:r>
    </w:p>
    <w:p w14:paraId="684A446A" w14:textId="77777777" w:rsidR="00354882" w:rsidRPr="00354882" w:rsidRDefault="00354882" w:rsidP="00354882">
      <w:pPr>
        <w:rPr>
          <w:rStyle w:val="Siln"/>
          <w:b w:val="0"/>
        </w:rPr>
      </w:pPr>
    </w:p>
    <w:p w14:paraId="042F7539" w14:textId="77777777" w:rsidR="00354882" w:rsidRPr="00893953" w:rsidRDefault="00354882" w:rsidP="00893953">
      <w:pPr>
        <w:pStyle w:val="Nadpis3"/>
        <w:rPr>
          <w:rStyle w:val="pokyny"/>
          <w:color w:val="008080"/>
        </w:rPr>
      </w:pPr>
      <w:bookmarkStart w:id="30" w:name="_Toc81417431"/>
      <w:r w:rsidRPr="00893953">
        <w:rPr>
          <w:rStyle w:val="Siln"/>
          <w:b w:val="0"/>
          <w:bCs w:val="0"/>
        </w:rPr>
        <w:lastRenderedPageBreak/>
        <w:t>Zvyšuje se podíl alternativ k omezení svéprávnosti ze všech rozhodnutí o podpůrných opatřeních</w:t>
      </w:r>
      <w:bookmarkEnd w:id="30"/>
      <w:r w:rsidRPr="00893953">
        <w:rPr>
          <w:rStyle w:val="Siln"/>
          <w:b w:val="0"/>
          <w:bCs w:val="0"/>
        </w:rPr>
        <w:t xml:space="preserve"> </w:t>
      </w:r>
    </w:p>
    <w:p w14:paraId="2BB0AF99" w14:textId="77777777" w:rsidR="00354882" w:rsidRPr="00F5205B" w:rsidRDefault="00354882" w:rsidP="00354882">
      <w:pPr>
        <w:pStyle w:val="Seznam"/>
        <w:numPr>
          <w:ilvl w:val="0"/>
          <w:numId w:val="0"/>
        </w:numPr>
        <w:rPr>
          <w:rStyle w:val="pokyny"/>
          <w:color w:val="000000" w:themeColor="text1"/>
        </w:rPr>
      </w:pPr>
      <w:r w:rsidRPr="00F5205B">
        <w:rPr>
          <w:rStyle w:val="pokyny"/>
          <w:color w:val="000000" w:themeColor="text1"/>
        </w:rPr>
        <w:t>Skóre je tvořeno procentem rozhodnutí o uložení podpůrného opatření bez omezení svéprávnosti (schválení smlouvy o nápomoci, schválení zastoupení členem domácnosti nebo ustanovení opatrovníka bez omezení svéprávnosti) ze všech rozhodnutí o podpůrných opatřeních za konkrétní rok; bude se pohybovat mezi 0 – 100 %.</w:t>
      </w:r>
    </w:p>
    <w:p w14:paraId="344D5AA6" w14:textId="77777777" w:rsidR="00354882" w:rsidRPr="00F5205B" w:rsidRDefault="00354882" w:rsidP="00354882">
      <w:pPr>
        <w:pStyle w:val="Seznam"/>
        <w:numPr>
          <w:ilvl w:val="0"/>
          <w:numId w:val="0"/>
        </w:numPr>
        <w:rPr>
          <w:rStyle w:val="pokyny"/>
          <w:color w:val="000000" w:themeColor="text1"/>
        </w:rPr>
      </w:pPr>
      <w:r w:rsidRPr="00F5205B">
        <w:rPr>
          <w:rStyle w:val="pokyny"/>
          <w:color w:val="000000" w:themeColor="text1"/>
        </w:rPr>
        <w:t xml:space="preserve">Maximální skóre: </w:t>
      </w:r>
      <w:r w:rsidRPr="00F5205B">
        <w:rPr>
          <w:rStyle w:val="pokyny"/>
          <w:b/>
          <w:color w:val="000000" w:themeColor="text1"/>
        </w:rPr>
        <w:t xml:space="preserve">100% </w:t>
      </w:r>
      <w:r w:rsidRPr="00F5205B">
        <w:rPr>
          <w:rStyle w:val="pokyny"/>
          <w:color w:val="000000" w:themeColor="text1"/>
        </w:rPr>
        <w:t>(žádné rozhodnutí o omezení svéprávnosti)</w:t>
      </w:r>
    </w:p>
    <w:p w14:paraId="169B5285" w14:textId="77777777" w:rsidR="00354882" w:rsidRPr="00F5205B" w:rsidRDefault="00354882" w:rsidP="00354882">
      <w:pPr>
        <w:pStyle w:val="Zkladntext"/>
        <w:rPr>
          <w:rStyle w:val="Siln"/>
        </w:rPr>
      </w:pPr>
      <w:r w:rsidRPr="00F5205B">
        <w:rPr>
          <w:rStyle w:val="pokyny"/>
          <w:color w:val="000000" w:themeColor="text1"/>
        </w:rPr>
        <w:t xml:space="preserve">Poslední dosažené skóre (rok 2019): </w:t>
      </w:r>
      <w:r w:rsidRPr="00F5205B">
        <w:rPr>
          <w:rStyle w:val="Siln"/>
        </w:rPr>
        <w:t>14%</w:t>
      </w:r>
    </w:p>
    <w:p w14:paraId="5FB98557" w14:textId="77777777" w:rsidR="00354882" w:rsidRDefault="00354882" w:rsidP="00354882">
      <w:pPr>
        <w:pStyle w:val="Zkladntext"/>
        <w:rPr>
          <w:rStyle w:val="Siln"/>
        </w:rPr>
      </w:pPr>
    </w:p>
    <w:p w14:paraId="6B3D5051" w14:textId="77777777" w:rsidR="00354882" w:rsidRPr="00F5205B" w:rsidRDefault="00354882" w:rsidP="00354882">
      <w:pPr>
        <w:pStyle w:val="Zkladntext"/>
        <w:rPr>
          <w:rStyle w:val="pokyny"/>
          <w:b/>
          <w:color w:val="000000" w:themeColor="text1"/>
        </w:rPr>
      </w:pPr>
      <w:r w:rsidRPr="00F5205B">
        <w:rPr>
          <w:rStyle w:val="Siln"/>
        </w:rPr>
        <w:t>Porovnání dat za jednotlivé roky:</w:t>
      </w:r>
    </w:p>
    <w:tbl>
      <w:tblPr>
        <w:tblW w:w="8535" w:type="dxa"/>
        <w:tblInd w:w="-38" w:type="dxa"/>
        <w:tblLayout w:type="fixed"/>
        <w:tblCellMar>
          <w:left w:w="30" w:type="dxa"/>
          <w:right w:w="30" w:type="dxa"/>
        </w:tblCellMar>
        <w:tblLook w:val="0000" w:firstRow="0" w:lastRow="0" w:firstColumn="0" w:lastColumn="0" w:noHBand="0" w:noVBand="0"/>
      </w:tblPr>
      <w:tblGrid>
        <w:gridCol w:w="300"/>
        <w:gridCol w:w="3132"/>
        <w:gridCol w:w="851"/>
        <w:gridCol w:w="850"/>
        <w:gridCol w:w="851"/>
        <w:gridCol w:w="850"/>
        <w:gridCol w:w="851"/>
        <w:gridCol w:w="850"/>
      </w:tblGrid>
      <w:tr w:rsidR="00354882" w:rsidRPr="00F5205B" w14:paraId="0C0F1B0B" w14:textId="77777777" w:rsidTr="00D853A9">
        <w:trPr>
          <w:trHeight w:val="300"/>
        </w:trPr>
        <w:tc>
          <w:tcPr>
            <w:tcW w:w="300" w:type="dxa"/>
            <w:tcBorders>
              <w:top w:val="single" w:sz="6" w:space="0" w:color="auto"/>
              <w:left w:val="single" w:sz="6" w:space="0" w:color="auto"/>
              <w:bottom w:val="single" w:sz="6" w:space="0" w:color="auto"/>
              <w:right w:val="nil"/>
            </w:tcBorders>
          </w:tcPr>
          <w:p w14:paraId="2A3F1AFA" w14:textId="77777777" w:rsidR="00354882" w:rsidRPr="00F5205B" w:rsidRDefault="00354882" w:rsidP="00D853A9">
            <w:pPr>
              <w:autoSpaceDE w:val="0"/>
              <w:autoSpaceDN w:val="0"/>
              <w:adjustRightInd w:val="0"/>
              <w:jc w:val="center"/>
              <w:rPr>
                <w:rFonts w:cs="Calibri"/>
                <w:color w:val="000000"/>
                <w:sz w:val="24"/>
                <w:szCs w:val="24"/>
              </w:rPr>
            </w:pPr>
          </w:p>
        </w:tc>
        <w:tc>
          <w:tcPr>
            <w:tcW w:w="3132" w:type="dxa"/>
            <w:tcBorders>
              <w:top w:val="single" w:sz="6" w:space="0" w:color="auto"/>
              <w:left w:val="nil"/>
              <w:bottom w:val="single" w:sz="6" w:space="0" w:color="auto"/>
              <w:right w:val="single" w:sz="6" w:space="0" w:color="auto"/>
            </w:tcBorders>
          </w:tcPr>
          <w:p w14:paraId="51FAC3DB" w14:textId="77777777" w:rsidR="00354882" w:rsidRPr="00F5205B" w:rsidRDefault="00354882" w:rsidP="00D853A9">
            <w:pPr>
              <w:autoSpaceDE w:val="0"/>
              <w:autoSpaceDN w:val="0"/>
              <w:adjustRightInd w:val="0"/>
              <w:jc w:val="center"/>
              <w:rPr>
                <w:rFonts w:cs="Calibri"/>
                <w:color w:val="000000"/>
                <w:sz w:val="22"/>
                <w:szCs w:val="22"/>
              </w:rPr>
            </w:pPr>
          </w:p>
        </w:tc>
        <w:tc>
          <w:tcPr>
            <w:tcW w:w="851" w:type="dxa"/>
            <w:tcBorders>
              <w:top w:val="single" w:sz="6" w:space="0" w:color="auto"/>
              <w:left w:val="single" w:sz="6" w:space="0" w:color="auto"/>
              <w:bottom w:val="single" w:sz="6" w:space="0" w:color="auto"/>
              <w:right w:val="single" w:sz="6" w:space="0" w:color="auto"/>
            </w:tcBorders>
          </w:tcPr>
          <w:p w14:paraId="1C389D00" w14:textId="77777777" w:rsidR="00354882" w:rsidRPr="00F5205B" w:rsidRDefault="00354882" w:rsidP="00D853A9">
            <w:pPr>
              <w:autoSpaceDE w:val="0"/>
              <w:autoSpaceDN w:val="0"/>
              <w:adjustRightInd w:val="0"/>
              <w:jc w:val="right"/>
              <w:rPr>
                <w:rFonts w:cs="Calibri"/>
                <w:b/>
                <w:bCs/>
                <w:color w:val="000000"/>
                <w:sz w:val="22"/>
                <w:szCs w:val="22"/>
              </w:rPr>
            </w:pPr>
            <w:r w:rsidRPr="00F5205B">
              <w:rPr>
                <w:rFonts w:cs="Calibri"/>
                <w:b/>
                <w:bCs/>
                <w:color w:val="000000"/>
                <w:sz w:val="22"/>
                <w:szCs w:val="22"/>
              </w:rPr>
              <w:t>2014</w:t>
            </w:r>
          </w:p>
        </w:tc>
        <w:tc>
          <w:tcPr>
            <w:tcW w:w="850" w:type="dxa"/>
            <w:tcBorders>
              <w:top w:val="single" w:sz="6" w:space="0" w:color="auto"/>
              <w:left w:val="single" w:sz="6" w:space="0" w:color="auto"/>
              <w:bottom w:val="single" w:sz="6" w:space="0" w:color="auto"/>
              <w:right w:val="single" w:sz="6" w:space="0" w:color="auto"/>
            </w:tcBorders>
          </w:tcPr>
          <w:p w14:paraId="42EBC6D1" w14:textId="77777777" w:rsidR="00354882" w:rsidRPr="00F5205B" w:rsidRDefault="00354882" w:rsidP="00D853A9">
            <w:pPr>
              <w:autoSpaceDE w:val="0"/>
              <w:autoSpaceDN w:val="0"/>
              <w:adjustRightInd w:val="0"/>
              <w:jc w:val="right"/>
              <w:rPr>
                <w:rFonts w:cs="Calibri"/>
                <w:b/>
                <w:bCs/>
                <w:color w:val="000000"/>
                <w:sz w:val="22"/>
                <w:szCs w:val="22"/>
              </w:rPr>
            </w:pPr>
            <w:r w:rsidRPr="00F5205B">
              <w:rPr>
                <w:rFonts w:cs="Calibri"/>
                <w:b/>
                <w:bCs/>
                <w:color w:val="000000"/>
                <w:sz w:val="22"/>
                <w:szCs w:val="22"/>
              </w:rPr>
              <w:t>2015</w:t>
            </w:r>
          </w:p>
        </w:tc>
        <w:tc>
          <w:tcPr>
            <w:tcW w:w="851" w:type="dxa"/>
            <w:tcBorders>
              <w:top w:val="single" w:sz="6" w:space="0" w:color="auto"/>
              <w:left w:val="single" w:sz="6" w:space="0" w:color="auto"/>
              <w:bottom w:val="single" w:sz="6" w:space="0" w:color="auto"/>
              <w:right w:val="single" w:sz="6" w:space="0" w:color="auto"/>
            </w:tcBorders>
          </w:tcPr>
          <w:p w14:paraId="6A371425" w14:textId="77777777" w:rsidR="00354882" w:rsidRPr="00F5205B" w:rsidRDefault="00354882" w:rsidP="00D853A9">
            <w:pPr>
              <w:autoSpaceDE w:val="0"/>
              <w:autoSpaceDN w:val="0"/>
              <w:adjustRightInd w:val="0"/>
              <w:jc w:val="right"/>
              <w:rPr>
                <w:rFonts w:cs="Calibri"/>
                <w:b/>
                <w:bCs/>
                <w:color w:val="000000"/>
                <w:sz w:val="22"/>
                <w:szCs w:val="22"/>
              </w:rPr>
            </w:pPr>
            <w:r w:rsidRPr="00F5205B">
              <w:rPr>
                <w:rFonts w:cs="Calibri"/>
                <w:b/>
                <w:bCs/>
                <w:color w:val="000000"/>
                <w:sz w:val="22"/>
                <w:szCs w:val="22"/>
              </w:rPr>
              <w:t>2016</w:t>
            </w:r>
          </w:p>
        </w:tc>
        <w:tc>
          <w:tcPr>
            <w:tcW w:w="850" w:type="dxa"/>
            <w:tcBorders>
              <w:top w:val="single" w:sz="6" w:space="0" w:color="auto"/>
              <w:left w:val="single" w:sz="6" w:space="0" w:color="auto"/>
              <w:bottom w:val="single" w:sz="6" w:space="0" w:color="auto"/>
              <w:right w:val="single" w:sz="6" w:space="0" w:color="auto"/>
            </w:tcBorders>
          </w:tcPr>
          <w:p w14:paraId="5E0CAF93" w14:textId="77777777" w:rsidR="00354882" w:rsidRPr="00F5205B" w:rsidRDefault="00354882" w:rsidP="00D853A9">
            <w:pPr>
              <w:autoSpaceDE w:val="0"/>
              <w:autoSpaceDN w:val="0"/>
              <w:adjustRightInd w:val="0"/>
              <w:jc w:val="right"/>
              <w:rPr>
                <w:rFonts w:cs="Calibri"/>
                <w:b/>
                <w:bCs/>
                <w:color w:val="000000"/>
                <w:sz w:val="22"/>
                <w:szCs w:val="22"/>
              </w:rPr>
            </w:pPr>
            <w:r w:rsidRPr="00F5205B">
              <w:rPr>
                <w:rFonts w:cs="Calibri"/>
                <w:b/>
                <w:bCs/>
                <w:color w:val="000000"/>
                <w:sz w:val="22"/>
                <w:szCs w:val="22"/>
              </w:rPr>
              <w:t>2017</w:t>
            </w:r>
          </w:p>
        </w:tc>
        <w:tc>
          <w:tcPr>
            <w:tcW w:w="851" w:type="dxa"/>
            <w:tcBorders>
              <w:top w:val="single" w:sz="6" w:space="0" w:color="auto"/>
              <w:left w:val="single" w:sz="6" w:space="0" w:color="auto"/>
              <w:bottom w:val="single" w:sz="6" w:space="0" w:color="auto"/>
              <w:right w:val="single" w:sz="6" w:space="0" w:color="auto"/>
            </w:tcBorders>
          </w:tcPr>
          <w:p w14:paraId="27B875F7" w14:textId="77777777" w:rsidR="00354882" w:rsidRPr="00F5205B" w:rsidRDefault="00354882" w:rsidP="00D853A9">
            <w:pPr>
              <w:autoSpaceDE w:val="0"/>
              <w:autoSpaceDN w:val="0"/>
              <w:adjustRightInd w:val="0"/>
              <w:jc w:val="right"/>
              <w:rPr>
                <w:rFonts w:cs="Calibri"/>
                <w:b/>
                <w:bCs/>
                <w:color w:val="000000"/>
                <w:sz w:val="22"/>
                <w:szCs w:val="22"/>
              </w:rPr>
            </w:pPr>
            <w:r w:rsidRPr="00F5205B">
              <w:rPr>
                <w:rFonts w:cs="Calibri"/>
                <w:b/>
                <w:bCs/>
                <w:color w:val="000000"/>
                <w:sz w:val="22"/>
                <w:szCs w:val="22"/>
              </w:rPr>
              <w:t>2018</w:t>
            </w:r>
          </w:p>
        </w:tc>
        <w:tc>
          <w:tcPr>
            <w:tcW w:w="850" w:type="dxa"/>
            <w:tcBorders>
              <w:top w:val="single" w:sz="6" w:space="0" w:color="auto"/>
              <w:left w:val="single" w:sz="6" w:space="0" w:color="auto"/>
              <w:bottom w:val="single" w:sz="6" w:space="0" w:color="auto"/>
              <w:right w:val="single" w:sz="6" w:space="0" w:color="auto"/>
            </w:tcBorders>
          </w:tcPr>
          <w:p w14:paraId="6A925D38" w14:textId="77777777" w:rsidR="00354882" w:rsidRPr="00F5205B" w:rsidRDefault="00354882" w:rsidP="00D853A9">
            <w:pPr>
              <w:autoSpaceDE w:val="0"/>
              <w:autoSpaceDN w:val="0"/>
              <w:adjustRightInd w:val="0"/>
              <w:jc w:val="right"/>
              <w:rPr>
                <w:rFonts w:cs="Calibri"/>
                <w:b/>
                <w:bCs/>
                <w:color w:val="000000"/>
                <w:sz w:val="22"/>
                <w:szCs w:val="22"/>
              </w:rPr>
            </w:pPr>
            <w:r w:rsidRPr="00F5205B">
              <w:rPr>
                <w:rFonts w:cs="Calibri"/>
                <w:b/>
                <w:bCs/>
                <w:color w:val="000000"/>
                <w:sz w:val="22"/>
                <w:szCs w:val="22"/>
              </w:rPr>
              <w:t>2019</w:t>
            </w:r>
          </w:p>
        </w:tc>
      </w:tr>
      <w:tr w:rsidR="00354882" w:rsidRPr="00F5205B" w14:paraId="4584689C" w14:textId="77777777" w:rsidTr="00D853A9">
        <w:trPr>
          <w:trHeight w:val="300"/>
        </w:trPr>
        <w:tc>
          <w:tcPr>
            <w:tcW w:w="300" w:type="dxa"/>
            <w:tcBorders>
              <w:top w:val="single" w:sz="6" w:space="0" w:color="auto"/>
              <w:left w:val="single" w:sz="6" w:space="0" w:color="auto"/>
              <w:bottom w:val="single" w:sz="6" w:space="0" w:color="auto"/>
              <w:right w:val="single" w:sz="6" w:space="0" w:color="auto"/>
            </w:tcBorders>
          </w:tcPr>
          <w:p w14:paraId="3A8D257A" w14:textId="77777777" w:rsidR="00354882" w:rsidRPr="00F5205B" w:rsidRDefault="00354882" w:rsidP="00D853A9">
            <w:pPr>
              <w:autoSpaceDE w:val="0"/>
              <w:autoSpaceDN w:val="0"/>
              <w:adjustRightInd w:val="0"/>
              <w:jc w:val="right"/>
              <w:rPr>
                <w:rFonts w:cs="Calibri"/>
                <w:color w:val="000000"/>
                <w:sz w:val="24"/>
                <w:szCs w:val="24"/>
              </w:rPr>
            </w:pPr>
          </w:p>
        </w:tc>
        <w:tc>
          <w:tcPr>
            <w:tcW w:w="3132" w:type="dxa"/>
            <w:tcBorders>
              <w:top w:val="single" w:sz="6" w:space="0" w:color="auto"/>
              <w:left w:val="single" w:sz="6" w:space="0" w:color="auto"/>
              <w:bottom w:val="single" w:sz="6" w:space="0" w:color="auto"/>
              <w:right w:val="single" w:sz="6" w:space="0" w:color="auto"/>
            </w:tcBorders>
          </w:tcPr>
          <w:p w14:paraId="53E380CD" w14:textId="77777777" w:rsidR="00354882" w:rsidRPr="00F5205B" w:rsidRDefault="00354882" w:rsidP="00D853A9">
            <w:pPr>
              <w:autoSpaceDE w:val="0"/>
              <w:autoSpaceDN w:val="0"/>
              <w:adjustRightInd w:val="0"/>
              <w:rPr>
                <w:rFonts w:cs="Calibri"/>
                <w:bCs/>
                <w:color w:val="000000"/>
                <w:sz w:val="22"/>
                <w:szCs w:val="22"/>
              </w:rPr>
            </w:pPr>
            <w:r w:rsidRPr="00F5205B">
              <w:rPr>
                <w:rFonts w:cs="Calibri"/>
                <w:bCs/>
                <w:color w:val="000000"/>
                <w:sz w:val="22"/>
                <w:szCs w:val="22"/>
              </w:rPr>
              <w:t>Smlouvy o nápomoci</w:t>
            </w:r>
          </w:p>
        </w:tc>
        <w:tc>
          <w:tcPr>
            <w:tcW w:w="851" w:type="dxa"/>
            <w:tcBorders>
              <w:top w:val="single" w:sz="6" w:space="0" w:color="auto"/>
              <w:left w:val="single" w:sz="6" w:space="0" w:color="auto"/>
              <w:bottom w:val="single" w:sz="6" w:space="0" w:color="auto"/>
              <w:right w:val="single" w:sz="6" w:space="0" w:color="auto"/>
            </w:tcBorders>
          </w:tcPr>
          <w:p w14:paraId="59D11D40"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25</w:t>
            </w:r>
          </w:p>
        </w:tc>
        <w:tc>
          <w:tcPr>
            <w:tcW w:w="850" w:type="dxa"/>
            <w:tcBorders>
              <w:top w:val="single" w:sz="6" w:space="0" w:color="auto"/>
              <w:left w:val="single" w:sz="6" w:space="0" w:color="auto"/>
              <w:bottom w:val="single" w:sz="6" w:space="0" w:color="auto"/>
              <w:right w:val="single" w:sz="6" w:space="0" w:color="auto"/>
            </w:tcBorders>
          </w:tcPr>
          <w:p w14:paraId="465C05DA"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64</w:t>
            </w:r>
          </w:p>
        </w:tc>
        <w:tc>
          <w:tcPr>
            <w:tcW w:w="851" w:type="dxa"/>
            <w:tcBorders>
              <w:top w:val="single" w:sz="6" w:space="0" w:color="auto"/>
              <w:left w:val="single" w:sz="6" w:space="0" w:color="auto"/>
              <w:bottom w:val="single" w:sz="6" w:space="0" w:color="auto"/>
              <w:right w:val="single" w:sz="6" w:space="0" w:color="auto"/>
            </w:tcBorders>
          </w:tcPr>
          <w:p w14:paraId="535961B9"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66</w:t>
            </w:r>
          </w:p>
        </w:tc>
        <w:tc>
          <w:tcPr>
            <w:tcW w:w="850" w:type="dxa"/>
            <w:tcBorders>
              <w:top w:val="single" w:sz="6" w:space="0" w:color="auto"/>
              <w:left w:val="single" w:sz="6" w:space="0" w:color="auto"/>
              <w:bottom w:val="single" w:sz="6" w:space="0" w:color="auto"/>
              <w:right w:val="single" w:sz="6" w:space="0" w:color="auto"/>
            </w:tcBorders>
          </w:tcPr>
          <w:p w14:paraId="2706D4C5"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43</w:t>
            </w:r>
          </w:p>
        </w:tc>
        <w:tc>
          <w:tcPr>
            <w:tcW w:w="851" w:type="dxa"/>
            <w:tcBorders>
              <w:top w:val="single" w:sz="6" w:space="0" w:color="auto"/>
              <w:left w:val="single" w:sz="6" w:space="0" w:color="auto"/>
              <w:bottom w:val="single" w:sz="6" w:space="0" w:color="auto"/>
              <w:right w:val="single" w:sz="6" w:space="0" w:color="auto"/>
            </w:tcBorders>
          </w:tcPr>
          <w:p w14:paraId="4C1D45E2"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48</w:t>
            </w:r>
          </w:p>
        </w:tc>
        <w:tc>
          <w:tcPr>
            <w:tcW w:w="850" w:type="dxa"/>
            <w:tcBorders>
              <w:top w:val="single" w:sz="6" w:space="0" w:color="auto"/>
              <w:left w:val="single" w:sz="6" w:space="0" w:color="auto"/>
              <w:bottom w:val="single" w:sz="6" w:space="0" w:color="auto"/>
              <w:right w:val="single" w:sz="6" w:space="0" w:color="auto"/>
            </w:tcBorders>
          </w:tcPr>
          <w:p w14:paraId="1A0ED169"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38</w:t>
            </w:r>
          </w:p>
        </w:tc>
      </w:tr>
      <w:tr w:rsidR="00354882" w:rsidRPr="00F5205B" w14:paraId="5C606D87" w14:textId="77777777" w:rsidTr="00D853A9">
        <w:trPr>
          <w:trHeight w:val="300"/>
        </w:trPr>
        <w:tc>
          <w:tcPr>
            <w:tcW w:w="300" w:type="dxa"/>
            <w:tcBorders>
              <w:top w:val="single" w:sz="6" w:space="0" w:color="auto"/>
              <w:left w:val="single" w:sz="6" w:space="0" w:color="auto"/>
              <w:bottom w:val="single" w:sz="6" w:space="0" w:color="auto"/>
              <w:right w:val="single" w:sz="6" w:space="0" w:color="auto"/>
            </w:tcBorders>
          </w:tcPr>
          <w:p w14:paraId="03ADFCBF" w14:textId="77777777" w:rsidR="00354882" w:rsidRPr="00F5205B" w:rsidRDefault="00354882" w:rsidP="00D853A9">
            <w:pPr>
              <w:autoSpaceDE w:val="0"/>
              <w:autoSpaceDN w:val="0"/>
              <w:adjustRightInd w:val="0"/>
              <w:jc w:val="right"/>
              <w:rPr>
                <w:rFonts w:cs="Calibri"/>
                <w:color w:val="000000"/>
                <w:sz w:val="24"/>
                <w:szCs w:val="24"/>
              </w:rPr>
            </w:pPr>
          </w:p>
        </w:tc>
        <w:tc>
          <w:tcPr>
            <w:tcW w:w="3132" w:type="dxa"/>
            <w:tcBorders>
              <w:top w:val="single" w:sz="6" w:space="0" w:color="auto"/>
              <w:left w:val="single" w:sz="6" w:space="0" w:color="auto"/>
              <w:bottom w:val="single" w:sz="6" w:space="0" w:color="auto"/>
              <w:right w:val="single" w:sz="6" w:space="0" w:color="auto"/>
            </w:tcBorders>
          </w:tcPr>
          <w:p w14:paraId="44C5D738" w14:textId="77777777" w:rsidR="00354882" w:rsidRPr="00F5205B" w:rsidRDefault="00354882" w:rsidP="00D853A9">
            <w:pPr>
              <w:autoSpaceDE w:val="0"/>
              <w:autoSpaceDN w:val="0"/>
              <w:adjustRightInd w:val="0"/>
              <w:rPr>
                <w:rFonts w:cs="Calibri"/>
                <w:bCs/>
                <w:color w:val="000000"/>
                <w:sz w:val="22"/>
                <w:szCs w:val="22"/>
              </w:rPr>
            </w:pPr>
            <w:r w:rsidRPr="00F5205B">
              <w:rPr>
                <w:rFonts w:cs="Calibri"/>
                <w:bCs/>
                <w:color w:val="000000"/>
                <w:sz w:val="22"/>
                <w:szCs w:val="22"/>
              </w:rPr>
              <w:t>Zastoupení členem domácnosti</w:t>
            </w:r>
          </w:p>
        </w:tc>
        <w:tc>
          <w:tcPr>
            <w:tcW w:w="851" w:type="dxa"/>
            <w:tcBorders>
              <w:top w:val="single" w:sz="6" w:space="0" w:color="auto"/>
              <w:left w:val="single" w:sz="6" w:space="0" w:color="auto"/>
              <w:bottom w:val="single" w:sz="6" w:space="0" w:color="auto"/>
              <w:right w:val="single" w:sz="6" w:space="0" w:color="auto"/>
            </w:tcBorders>
          </w:tcPr>
          <w:p w14:paraId="74DE6325"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364</w:t>
            </w:r>
          </w:p>
        </w:tc>
        <w:tc>
          <w:tcPr>
            <w:tcW w:w="850" w:type="dxa"/>
            <w:tcBorders>
              <w:top w:val="single" w:sz="6" w:space="0" w:color="auto"/>
              <w:left w:val="single" w:sz="6" w:space="0" w:color="auto"/>
              <w:bottom w:val="single" w:sz="6" w:space="0" w:color="auto"/>
              <w:right w:val="single" w:sz="6" w:space="0" w:color="auto"/>
            </w:tcBorders>
          </w:tcPr>
          <w:p w14:paraId="128E808C"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568</w:t>
            </w:r>
          </w:p>
        </w:tc>
        <w:tc>
          <w:tcPr>
            <w:tcW w:w="851" w:type="dxa"/>
            <w:tcBorders>
              <w:top w:val="single" w:sz="6" w:space="0" w:color="auto"/>
              <w:left w:val="single" w:sz="6" w:space="0" w:color="auto"/>
              <w:bottom w:val="single" w:sz="6" w:space="0" w:color="auto"/>
              <w:right w:val="single" w:sz="6" w:space="0" w:color="auto"/>
            </w:tcBorders>
          </w:tcPr>
          <w:p w14:paraId="7FE6494E"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406</w:t>
            </w:r>
          </w:p>
        </w:tc>
        <w:tc>
          <w:tcPr>
            <w:tcW w:w="850" w:type="dxa"/>
            <w:tcBorders>
              <w:top w:val="single" w:sz="6" w:space="0" w:color="auto"/>
              <w:left w:val="single" w:sz="6" w:space="0" w:color="auto"/>
              <w:bottom w:val="single" w:sz="6" w:space="0" w:color="auto"/>
              <w:right w:val="single" w:sz="6" w:space="0" w:color="auto"/>
            </w:tcBorders>
          </w:tcPr>
          <w:p w14:paraId="40973C5B"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139</w:t>
            </w:r>
          </w:p>
        </w:tc>
        <w:tc>
          <w:tcPr>
            <w:tcW w:w="851" w:type="dxa"/>
            <w:tcBorders>
              <w:top w:val="single" w:sz="6" w:space="0" w:color="auto"/>
              <w:left w:val="single" w:sz="6" w:space="0" w:color="auto"/>
              <w:bottom w:val="single" w:sz="6" w:space="0" w:color="auto"/>
              <w:right w:val="single" w:sz="6" w:space="0" w:color="auto"/>
            </w:tcBorders>
          </w:tcPr>
          <w:p w14:paraId="04F35531"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164</w:t>
            </w:r>
          </w:p>
        </w:tc>
        <w:tc>
          <w:tcPr>
            <w:tcW w:w="850" w:type="dxa"/>
            <w:tcBorders>
              <w:top w:val="single" w:sz="6" w:space="0" w:color="auto"/>
              <w:left w:val="single" w:sz="6" w:space="0" w:color="auto"/>
              <w:bottom w:val="single" w:sz="6" w:space="0" w:color="auto"/>
              <w:right w:val="single" w:sz="6" w:space="0" w:color="auto"/>
            </w:tcBorders>
          </w:tcPr>
          <w:p w14:paraId="0617DC05"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144</w:t>
            </w:r>
          </w:p>
        </w:tc>
      </w:tr>
      <w:tr w:rsidR="00354882" w:rsidRPr="00F5205B" w14:paraId="2C78010F" w14:textId="77777777" w:rsidTr="00D853A9">
        <w:trPr>
          <w:trHeight w:val="300"/>
        </w:trPr>
        <w:tc>
          <w:tcPr>
            <w:tcW w:w="300" w:type="dxa"/>
            <w:tcBorders>
              <w:top w:val="single" w:sz="6" w:space="0" w:color="auto"/>
              <w:left w:val="single" w:sz="6" w:space="0" w:color="auto"/>
              <w:bottom w:val="single" w:sz="6" w:space="0" w:color="auto"/>
              <w:right w:val="single" w:sz="6" w:space="0" w:color="auto"/>
            </w:tcBorders>
          </w:tcPr>
          <w:p w14:paraId="7A56B958" w14:textId="77777777" w:rsidR="00354882" w:rsidRPr="00F5205B" w:rsidRDefault="00354882" w:rsidP="00D853A9">
            <w:pPr>
              <w:autoSpaceDE w:val="0"/>
              <w:autoSpaceDN w:val="0"/>
              <w:adjustRightInd w:val="0"/>
              <w:jc w:val="right"/>
              <w:rPr>
                <w:rFonts w:cs="Calibri"/>
                <w:color w:val="000000"/>
                <w:sz w:val="24"/>
                <w:szCs w:val="24"/>
              </w:rPr>
            </w:pPr>
          </w:p>
        </w:tc>
        <w:tc>
          <w:tcPr>
            <w:tcW w:w="3132" w:type="dxa"/>
            <w:tcBorders>
              <w:top w:val="single" w:sz="6" w:space="0" w:color="auto"/>
              <w:left w:val="single" w:sz="6" w:space="0" w:color="auto"/>
              <w:bottom w:val="single" w:sz="6" w:space="0" w:color="auto"/>
              <w:right w:val="single" w:sz="6" w:space="0" w:color="auto"/>
            </w:tcBorders>
          </w:tcPr>
          <w:p w14:paraId="6C1154FC" w14:textId="77777777" w:rsidR="00354882" w:rsidRPr="00F5205B" w:rsidRDefault="00354882" w:rsidP="00D853A9">
            <w:pPr>
              <w:autoSpaceDE w:val="0"/>
              <w:autoSpaceDN w:val="0"/>
              <w:adjustRightInd w:val="0"/>
              <w:rPr>
                <w:rFonts w:cs="Calibri"/>
                <w:bCs/>
                <w:color w:val="000000"/>
                <w:sz w:val="22"/>
                <w:szCs w:val="22"/>
              </w:rPr>
            </w:pPr>
            <w:r w:rsidRPr="00F5205B">
              <w:rPr>
                <w:rFonts w:cs="Calibri"/>
                <w:bCs/>
                <w:color w:val="000000"/>
                <w:sz w:val="22"/>
                <w:szCs w:val="22"/>
              </w:rPr>
              <w:t>Opatrovnictví</w:t>
            </w:r>
          </w:p>
        </w:tc>
        <w:tc>
          <w:tcPr>
            <w:tcW w:w="851" w:type="dxa"/>
            <w:tcBorders>
              <w:top w:val="single" w:sz="6" w:space="0" w:color="auto"/>
              <w:left w:val="single" w:sz="6" w:space="0" w:color="auto"/>
              <w:bottom w:val="single" w:sz="6" w:space="0" w:color="auto"/>
              <w:right w:val="single" w:sz="6" w:space="0" w:color="auto"/>
            </w:tcBorders>
          </w:tcPr>
          <w:p w14:paraId="6FF636AA"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956</w:t>
            </w:r>
          </w:p>
        </w:tc>
        <w:tc>
          <w:tcPr>
            <w:tcW w:w="850" w:type="dxa"/>
            <w:tcBorders>
              <w:top w:val="single" w:sz="6" w:space="0" w:color="auto"/>
              <w:left w:val="single" w:sz="6" w:space="0" w:color="auto"/>
              <w:bottom w:val="single" w:sz="6" w:space="0" w:color="auto"/>
              <w:right w:val="single" w:sz="6" w:space="0" w:color="auto"/>
            </w:tcBorders>
          </w:tcPr>
          <w:p w14:paraId="539BFFFB"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1641</w:t>
            </w:r>
          </w:p>
        </w:tc>
        <w:tc>
          <w:tcPr>
            <w:tcW w:w="851" w:type="dxa"/>
            <w:tcBorders>
              <w:top w:val="single" w:sz="6" w:space="0" w:color="auto"/>
              <w:left w:val="single" w:sz="6" w:space="0" w:color="auto"/>
              <w:bottom w:val="single" w:sz="6" w:space="0" w:color="auto"/>
              <w:right w:val="single" w:sz="6" w:space="0" w:color="auto"/>
            </w:tcBorders>
          </w:tcPr>
          <w:p w14:paraId="22B83380"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2975</w:t>
            </w:r>
          </w:p>
        </w:tc>
        <w:tc>
          <w:tcPr>
            <w:tcW w:w="850" w:type="dxa"/>
            <w:tcBorders>
              <w:top w:val="single" w:sz="6" w:space="0" w:color="auto"/>
              <w:left w:val="single" w:sz="6" w:space="0" w:color="auto"/>
              <w:bottom w:val="single" w:sz="6" w:space="0" w:color="auto"/>
              <w:right w:val="single" w:sz="6" w:space="0" w:color="auto"/>
            </w:tcBorders>
          </w:tcPr>
          <w:p w14:paraId="0F9C7DE2"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2844</w:t>
            </w:r>
          </w:p>
        </w:tc>
        <w:tc>
          <w:tcPr>
            <w:tcW w:w="851" w:type="dxa"/>
            <w:tcBorders>
              <w:top w:val="single" w:sz="6" w:space="0" w:color="auto"/>
              <w:left w:val="single" w:sz="6" w:space="0" w:color="auto"/>
              <w:bottom w:val="single" w:sz="6" w:space="0" w:color="auto"/>
              <w:right w:val="single" w:sz="6" w:space="0" w:color="auto"/>
            </w:tcBorders>
          </w:tcPr>
          <w:p w14:paraId="01960C6A"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2279</w:t>
            </w:r>
          </w:p>
        </w:tc>
        <w:tc>
          <w:tcPr>
            <w:tcW w:w="850" w:type="dxa"/>
            <w:tcBorders>
              <w:top w:val="single" w:sz="6" w:space="0" w:color="auto"/>
              <w:left w:val="single" w:sz="6" w:space="0" w:color="auto"/>
              <w:bottom w:val="single" w:sz="6" w:space="0" w:color="auto"/>
              <w:right w:val="single" w:sz="6" w:space="0" w:color="auto"/>
            </w:tcBorders>
          </w:tcPr>
          <w:p w14:paraId="7466F2A8"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2211</w:t>
            </w:r>
          </w:p>
        </w:tc>
      </w:tr>
      <w:tr w:rsidR="00354882" w:rsidRPr="00F5205B" w14:paraId="620927BA" w14:textId="77777777" w:rsidTr="00D853A9">
        <w:trPr>
          <w:trHeight w:val="300"/>
        </w:trPr>
        <w:tc>
          <w:tcPr>
            <w:tcW w:w="3432" w:type="dxa"/>
            <w:gridSpan w:val="2"/>
            <w:tcBorders>
              <w:top w:val="single" w:sz="6" w:space="0" w:color="auto"/>
              <w:left w:val="single" w:sz="6" w:space="0" w:color="auto"/>
              <w:bottom w:val="single" w:sz="6" w:space="0" w:color="auto"/>
              <w:right w:val="single" w:sz="6" w:space="0" w:color="auto"/>
            </w:tcBorders>
            <w:shd w:val="solid" w:color="C0C0C0" w:fill="auto"/>
          </w:tcPr>
          <w:p w14:paraId="12CD5C5E" w14:textId="77777777" w:rsidR="00354882" w:rsidRPr="00F5205B" w:rsidRDefault="00354882" w:rsidP="00D853A9">
            <w:pPr>
              <w:autoSpaceDE w:val="0"/>
              <w:autoSpaceDN w:val="0"/>
              <w:adjustRightInd w:val="0"/>
              <w:rPr>
                <w:rFonts w:cs="Calibri"/>
                <w:bCs/>
                <w:color w:val="000000"/>
                <w:sz w:val="22"/>
                <w:szCs w:val="22"/>
              </w:rPr>
            </w:pPr>
            <w:r w:rsidRPr="00F5205B">
              <w:rPr>
                <w:rFonts w:cs="Calibri"/>
                <w:bCs/>
                <w:color w:val="000000"/>
                <w:sz w:val="22"/>
                <w:szCs w:val="22"/>
              </w:rPr>
              <w:t>Celkem alternativ</w:t>
            </w:r>
          </w:p>
        </w:tc>
        <w:tc>
          <w:tcPr>
            <w:tcW w:w="851" w:type="dxa"/>
            <w:tcBorders>
              <w:top w:val="single" w:sz="6" w:space="0" w:color="auto"/>
              <w:left w:val="single" w:sz="6" w:space="0" w:color="auto"/>
              <w:bottom w:val="single" w:sz="6" w:space="0" w:color="auto"/>
              <w:right w:val="single" w:sz="6" w:space="0" w:color="auto"/>
            </w:tcBorders>
            <w:shd w:val="solid" w:color="C0C0C0" w:fill="auto"/>
          </w:tcPr>
          <w:p w14:paraId="6B5D334D"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1345</w:t>
            </w:r>
          </w:p>
        </w:tc>
        <w:tc>
          <w:tcPr>
            <w:tcW w:w="850" w:type="dxa"/>
            <w:tcBorders>
              <w:top w:val="single" w:sz="6" w:space="0" w:color="auto"/>
              <w:left w:val="single" w:sz="6" w:space="0" w:color="auto"/>
              <w:bottom w:val="single" w:sz="6" w:space="0" w:color="auto"/>
              <w:right w:val="single" w:sz="6" w:space="0" w:color="auto"/>
            </w:tcBorders>
            <w:shd w:val="solid" w:color="C0C0C0" w:fill="auto"/>
          </w:tcPr>
          <w:p w14:paraId="7185F0CE"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2273</w:t>
            </w:r>
          </w:p>
        </w:tc>
        <w:tc>
          <w:tcPr>
            <w:tcW w:w="851" w:type="dxa"/>
            <w:tcBorders>
              <w:top w:val="single" w:sz="6" w:space="0" w:color="auto"/>
              <w:left w:val="single" w:sz="6" w:space="0" w:color="auto"/>
              <w:bottom w:val="single" w:sz="6" w:space="0" w:color="auto"/>
              <w:right w:val="single" w:sz="6" w:space="0" w:color="auto"/>
            </w:tcBorders>
            <w:shd w:val="solid" w:color="C0C0C0" w:fill="auto"/>
          </w:tcPr>
          <w:p w14:paraId="3A73F4F7"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3447</w:t>
            </w:r>
          </w:p>
        </w:tc>
        <w:tc>
          <w:tcPr>
            <w:tcW w:w="850" w:type="dxa"/>
            <w:tcBorders>
              <w:top w:val="single" w:sz="6" w:space="0" w:color="auto"/>
              <w:left w:val="single" w:sz="6" w:space="0" w:color="auto"/>
              <w:bottom w:val="single" w:sz="6" w:space="0" w:color="auto"/>
              <w:right w:val="single" w:sz="6" w:space="0" w:color="auto"/>
            </w:tcBorders>
            <w:shd w:val="solid" w:color="C0C0C0" w:fill="auto"/>
          </w:tcPr>
          <w:p w14:paraId="0D897163"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3026</w:t>
            </w:r>
          </w:p>
        </w:tc>
        <w:tc>
          <w:tcPr>
            <w:tcW w:w="851" w:type="dxa"/>
            <w:tcBorders>
              <w:top w:val="single" w:sz="6" w:space="0" w:color="auto"/>
              <w:left w:val="single" w:sz="6" w:space="0" w:color="auto"/>
              <w:bottom w:val="single" w:sz="6" w:space="0" w:color="auto"/>
              <w:right w:val="single" w:sz="6" w:space="0" w:color="auto"/>
            </w:tcBorders>
            <w:shd w:val="solid" w:color="C0C0C0" w:fill="auto"/>
          </w:tcPr>
          <w:p w14:paraId="6CCFABA5"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2491</w:t>
            </w:r>
          </w:p>
        </w:tc>
        <w:tc>
          <w:tcPr>
            <w:tcW w:w="850" w:type="dxa"/>
            <w:tcBorders>
              <w:top w:val="single" w:sz="6" w:space="0" w:color="auto"/>
              <w:left w:val="single" w:sz="6" w:space="0" w:color="auto"/>
              <w:bottom w:val="single" w:sz="6" w:space="0" w:color="auto"/>
              <w:right w:val="single" w:sz="6" w:space="0" w:color="auto"/>
            </w:tcBorders>
            <w:shd w:val="solid" w:color="C0C0C0" w:fill="auto"/>
          </w:tcPr>
          <w:p w14:paraId="75F8BA1F"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2393</w:t>
            </w:r>
          </w:p>
        </w:tc>
      </w:tr>
      <w:tr w:rsidR="00354882" w:rsidRPr="00F5205B" w14:paraId="637B99CA" w14:textId="77777777" w:rsidTr="00D853A9">
        <w:trPr>
          <w:trHeight w:val="300"/>
        </w:trPr>
        <w:tc>
          <w:tcPr>
            <w:tcW w:w="3432" w:type="dxa"/>
            <w:gridSpan w:val="2"/>
            <w:tcBorders>
              <w:top w:val="single" w:sz="6" w:space="0" w:color="auto"/>
              <w:left w:val="single" w:sz="6" w:space="0" w:color="auto"/>
              <w:bottom w:val="single" w:sz="6" w:space="0" w:color="auto"/>
              <w:right w:val="single" w:sz="6" w:space="0" w:color="auto"/>
            </w:tcBorders>
            <w:shd w:val="solid" w:color="C0C0C0" w:fill="auto"/>
          </w:tcPr>
          <w:p w14:paraId="1445FD23" w14:textId="77777777" w:rsidR="00354882" w:rsidRPr="00F5205B" w:rsidRDefault="00354882" w:rsidP="00D853A9">
            <w:pPr>
              <w:autoSpaceDE w:val="0"/>
              <w:autoSpaceDN w:val="0"/>
              <w:adjustRightInd w:val="0"/>
              <w:rPr>
                <w:rFonts w:cs="Calibri"/>
                <w:bCs/>
                <w:color w:val="000000"/>
                <w:sz w:val="22"/>
                <w:szCs w:val="22"/>
              </w:rPr>
            </w:pPr>
            <w:r w:rsidRPr="00F5205B">
              <w:rPr>
                <w:rFonts w:cs="Calibri"/>
                <w:bCs/>
                <w:color w:val="000000"/>
                <w:sz w:val="22"/>
                <w:szCs w:val="22"/>
              </w:rPr>
              <w:t>Omezení svéprávnosti*</w:t>
            </w:r>
          </w:p>
        </w:tc>
        <w:tc>
          <w:tcPr>
            <w:tcW w:w="851" w:type="dxa"/>
            <w:tcBorders>
              <w:top w:val="single" w:sz="6" w:space="0" w:color="auto"/>
              <w:left w:val="single" w:sz="6" w:space="0" w:color="auto"/>
              <w:bottom w:val="single" w:sz="6" w:space="0" w:color="auto"/>
              <w:right w:val="single" w:sz="6" w:space="0" w:color="auto"/>
            </w:tcBorders>
            <w:shd w:val="solid" w:color="C0C0C0" w:fill="auto"/>
          </w:tcPr>
          <w:p w14:paraId="5C0CF723"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3 855</w:t>
            </w:r>
          </w:p>
        </w:tc>
        <w:tc>
          <w:tcPr>
            <w:tcW w:w="850" w:type="dxa"/>
            <w:tcBorders>
              <w:top w:val="single" w:sz="6" w:space="0" w:color="auto"/>
              <w:left w:val="single" w:sz="6" w:space="0" w:color="auto"/>
              <w:bottom w:val="single" w:sz="6" w:space="0" w:color="auto"/>
              <w:right w:val="single" w:sz="6" w:space="0" w:color="auto"/>
            </w:tcBorders>
            <w:shd w:val="solid" w:color="C0C0C0" w:fill="auto"/>
          </w:tcPr>
          <w:p w14:paraId="7871E83B"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11 914</w:t>
            </w:r>
          </w:p>
        </w:tc>
        <w:tc>
          <w:tcPr>
            <w:tcW w:w="851" w:type="dxa"/>
            <w:tcBorders>
              <w:top w:val="single" w:sz="6" w:space="0" w:color="auto"/>
              <w:left w:val="single" w:sz="6" w:space="0" w:color="auto"/>
              <w:bottom w:val="single" w:sz="6" w:space="0" w:color="auto"/>
              <w:right w:val="single" w:sz="6" w:space="0" w:color="auto"/>
            </w:tcBorders>
            <w:shd w:val="solid" w:color="C0C0C0" w:fill="auto"/>
          </w:tcPr>
          <w:p w14:paraId="44E71C90"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13 243</w:t>
            </w:r>
          </w:p>
        </w:tc>
        <w:tc>
          <w:tcPr>
            <w:tcW w:w="850" w:type="dxa"/>
            <w:tcBorders>
              <w:top w:val="single" w:sz="6" w:space="0" w:color="auto"/>
              <w:left w:val="single" w:sz="6" w:space="0" w:color="auto"/>
              <w:bottom w:val="single" w:sz="6" w:space="0" w:color="auto"/>
              <w:right w:val="single" w:sz="6" w:space="0" w:color="auto"/>
            </w:tcBorders>
            <w:shd w:val="solid" w:color="C0C0C0" w:fill="auto"/>
          </w:tcPr>
          <w:p w14:paraId="713FA756"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10 407</w:t>
            </w:r>
          </w:p>
        </w:tc>
        <w:tc>
          <w:tcPr>
            <w:tcW w:w="851" w:type="dxa"/>
            <w:tcBorders>
              <w:top w:val="single" w:sz="6" w:space="0" w:color="auto"/>
              <w:left w:val="single" w:sz="6" w:space="0" w:color="auto"/>
              <w:bottom w:val="single" w:sz="6" w:space="0" w:color="auto"/>
              <w:right w:val="single" w:sz="6" w:space="0" w:color="auto"/>
            </w:tcBorders>
            <w:shd w:val="solid" w:color="C0C0C0" w:fill="auto"/>
          </w:tcPr>
          <w:p w14:paraId="32038514"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13 117</w:t>
            </w:r>
          </w:p>
        </w:tc>
        <w:tc>
          <w:tcPr>
            <w:tcW w:w="850" w:type="dxa"/>
            <w:tcBorders>
              <w:top w:val="single" w:sz="6" w:space="0" w:color="auto"/>
              <w:left w:val="single" w:sz="6" w:space="0" w:color="auto"/>
              <w:bottom w:val="single" w:sz="6" w:space="0" w:color="auto"/>
              <w:right w:val="single" w:sz="6" w:space="0" w:color="auto"/>
            </w:tcBorders>
            <w:shd w:val="solid" w:color="C0C0C0" w:fill="auto"/>
          </w:tcPr>
          <w:p w14:paraId="4C152D67" w14:textId="77777777" w:rsidR="00354882" w:rsidRPr="00F5205B" w:rsidRDefault="00354882" w:rsidP="00D853A9">
            <w:pPr>
              <w:autoSpaceDE w:val="0"/>
              <w:autoSpaceDN w:val="0"/>
              <w:adjustRightInd w:val="0"/>
              <w:jc w:val="right"/>
              <w:rPr>
                <w:rFonts w:cs="Calibri"/>
                <w:color w:val="000000"/>
                <w:sz w:val="22"/>
                <w:szCs w:val="22"/>
              </w:rPr>
            </w:pPr>
            <w:r w:rsidRPr="00F5205B">
              <w:rPr>
                <w:rFonts w:cs="Calibri"/>
                <w:color w:val="000000"/>
                <w:sz w:val="22"/>
                <w:szCs w:val="22"/>
              </w:rPr>
              <w:t>14 633</w:t>
            </w:r>
          </w:p>
        </w:tc>
      </w:tr>
      <w:tr w:rsidR="00354882" w:rsidRPr="00F5205B" w14:paraId="75A410C6" w14:textId="77777777" w:rsidTr="00D853A9">
        <w:trPr>
          <w:trHeight w:val="300"/>
        </w:trPr>
        <w:tc>
          <w:tcPr>
            <w:tcW w:w="3432" w:type="dxa"/>
            <w:gridSpan w:val="2"/>
            <w:tcBorders>
              <w:top w:val="single" w:sz="6" w:space="0" w:color="auto"/>
              <w:left w:val="single" w:sz="6" w:space="0" w:color="auto"/>
              <w:bottom w:val="single" w:sz="6" w:space="0" w:color="auto"/>
              <w:right w:val="single" w:sz="6" w:space="0" w:color="auto"/>
            </w:tcBorders>
            <w:shd w:val="solid" w:color="808080" w:fill="auto"/>
          </w:tcPr>
          <w:p w14:paraId="17C7BE44" w14:textId="77777777" w:rsidR="00354882" w:rsidRPr="00F5205B" w:rsidRDefault="00354882" w:rsidP="00D853A9">
            <w:pPr>
              <w:autoSpaceDE w:val="0"/>
              <w:autoSpaceDN w:val="0"/>
              <w:adjustRightInd w:val="0"/>
              <w:rPr>
                <w:rFonts w:cs="Calibri"/>
                <w:bCs/>
                <w:color w:val="FFFFFF"/>
                <w:sz w:val="22"/>
                <w:szCs w:val="22"/>
              </w:rPr>
            </w:pPr>
            <w:r w:rsidRPr="00F5205B">
              <w:rPr>
                <w:rFonts w:cs="Calibri"/>
                <w:bCs/>
                <w:color w:val="FFFFFF"/>
                <w:sz w:val="22"/>
                <w:szCs w:val="22"/>
              </w:rPr>
              <w:t>Poměr alternativy/všechna rozhodnutí</w:t>
            </w:r>
          </w:p>
        </w:tc>
        <w:tc>
          <w:tcPr>
            <w:tcW w:w="851" w:type="dxa"/>
            <w:tcBorders>
              <w:top w:val="single" w:sz="6" w:space="0" w:color="auto"/>
              <w:left w:val="single" w:sz="6" w:space="0" w:color="auto"/>
              <w:bottom w:val="single" w:sz="6" w:space="0" w:color="auto"/>
              <w:right w:val="single" w:sz="6" w:space="0" w:color="auto"/>
            </w:tcBorders>
            <w:shd w:val="solid" w:color="808080" w:fill="auto"/>
          </w:tcPr>
          <w:p w14:paraId="64DAEF0C" w14:textId="77777777" w:rsidR="00354882" w:rsidRPr="00F5205B" w:rsidRDefault="00354882" w:rsidP="00D853A9">
            <w:pPr>
              <w:autoSpaceDE w:val="0"/>
              <w:autoSpaceDN w:val="0"/>
              <w:adjustRightInd w:val="0"/>
              <w:jc w:val="right"/>
              <w:rPr>
                <w:rFonts w:cs="Calibri"/>
                <w:color w:val="FFFFFF"/>
                <w:sz w:val="22"/>
                <w:szCs w:val="22"/>
              </w:rPr>
            </w:pPr>
            <w:r w:rsidRPr="00F5205B">
              <w:rPr>
                <w:rFonts w:cs="Calibri"/>
                <w:color w:val="FFFFFF"/>
                <w:sz w:val="22"/>
                <w:szCs w:val="22"/>
              </w:rPr>
              <w:t>26%</w:t>
            </w:r>
          </w:p>
        </w:tc>
        <w:tc>
          <w:tcPr>
            <w:tcW w:w="850" w:type="dxa"/>
            <w:tcBorders>
              <w:top w:val="single" w:sz="6" w:space="0" w:color="auto"/>
              <w:left w:val="single" w:sz="6" w:space="0" w:color="auto"/>
              <w:bottom w:val="single" w:sz="6" w:space="0" w:color="auto"/>
              <w:right w:val="single" w:sz="6" w:space="0" w:color="auto"/>
            </w:tcBorders>
            <w:shd w:val="solid" w:color="808080" w:fill="auto"/>
          </w:tcPr>
          <w:p w14:paraId="3E118FFA" w14:textId="77777777" w:rsidR="00354882" w:rsidRPr="00F5205B" w:rsidRDefault="00354882" w:rsidP="00D853A9">
            <w:pPr>
              <w:autoSpaceDE w:val="0"/>
              <w:autoSpaceDN w:val="0"/>
              <w:adjustRightInd w:val="0"/>
              <w:jc w:val="right"/>
              <w:rPr>
                <w:rFonts w:cs="Calibri"/>
                <w:color w:val="FFFFFF"/>
                <w:sz w:val="22"/>
                <w:szCs w:val="22"/>
              </w:rPr>
            </w:pPr>
            <w:r w:rsidRPr="00F5205B">
              <w:rPr>
                <w:rFonts w:cs="Calibri"/>
                <w:color w:val="FFFFFF"/>
                <w:sz w:val="22"/>
                <w:szCs w:val="22"/>
              </w:rPr>
              <w:t>16%</w:t>
            </w:r>
          </w:p>
        </w:tc>
        <w:tc>
          <w:tcPr>
            <w:tcW w:w="851" w:type="dxa"/>
            <w:tcBorders>
              <w:top w:val="single" w:sz="6" w:space="0" w:color="auto"/>
              <w:left w:val="single" w:sz="6" w:space="0" w:color="auto"/>
              <w:bottom w:val="single" w:sz="6" w:space="0" w:color="auto"/>
              <w:right w:val="single" w:sz="6" w:space="0" w:color="auto"/>
            </w:tcBorders>
            <w:shd w:val="solid" w:color="808080" w:fill="auto"/>
          </w:tcPr>
          <w:p w14:paraId="42CD43E2" w14:textId="77777777" w:rsidR="00354882" w:rsidRPr="00F5205B" w:rsidRDefault="00354882" w:rsidP="00D853A9">
            <w:pPr>
              <w:autoSpaceDE w:val="0"/>
              <w:autoSpaceDN w:val="0"/>
              <w:adjustRightInd w:val="0"/>
              <w:jc w:val="right"/>
              <w:rPr>
                <w:rFonts w:cs="Calibri"/>
                <w:color w:val="FFFFFF"/>
                <w:sz w:val="22"/>
                <w:szCs w:val="22"/>
              </w:rPr>
            </w:pPr>
            <w:r w:rsidRPr="00F5205B">
              <w:rPr>
                <w:rFonts w:cs="Calibri"/>
                <w:color w:val="FFFFFF"/>
                <w:sz w:val="22"/>
                <w:szCs w:val="22"/>
              </w:rPr>
              <w:t>21%</w:t>
            </w:r>
          </w:p>
        </w:tc>
        <w:tc>
          <w:tcPr>
            <w:tcW w:w="850" w:type="dxa"/>
            <w:tcBorders>
              <w:top w:val="single" w:sz="6" w:space="0" w:color="auto"/>
              <w:left w:val="single" w:sz="6" w:space="0" w:color="auto"/>
              <w:bottom w:val="single" w:sz="6" w:space="0" w:color="auto"/>
              <w:right w:val="single" w:sz="6" w:space="0" w:color="auto"/>
            </w:tcBorders>
            <w:shd w:val="solid" w:color="808080" w:fill="auto"/>
          </w:tcPr>
          <w:p w14:paraId="57B21BAD" w14:textId="77777777" w:rsidR="00354882" w:rsidRPr="00F5205B" w:rsidRDefault="00354882" w:rsidP="00D853A9">
            <w:pPr>
              <w:autoSpaceDE w:val="0"/>
              <w:autoSpaceDN w:val="0"/>
              <w:adjustRightInd w:val="0"/>
              <w:jc w:val="right"/>
              <w:rPr>
                <w:rFonts w:cs="Calibri"/>
                <w:color w:val="FFFFFF"/>
                <w:sz w:val="22"/>
                <w:szCs w:val="22"/>
              </w:rPr>
            </w:pPr>
            <w:r w:rsidRPr="00F5205B">
              <w:rPr>
                <w:rFonts w:cs="Calibri"/>
                <w:color w:val="FFFFFF"/>
                <w:sz w:val="22"/>
                <w:szCs w:val="22"/>
              </w:rPr>
              <w:t>23%</w:t>
            </w:r>
          </w:p>
        </w:tc>
        <w:tc>
          <w:tcPr>
            <w:tcW w:w="851" w:type="dxa"/>
            <w:tcBorders>
              <w:top w:val="single" w:sz="6" w:space="0" w:color="auto"/>
              <w:left w:val="single" w:sz="6" w:space="0" w:color="auto"/>
              <w:bottom w:val="single" w:sz="6" w:space="0" w:color="auto"/>
              <w:right w:val="single" w:sz="6" w:space="0" w:color="auto"/>
            </w:tcBorders>
            <w:shd w:val="solid" w:color="808080" w:fill="auto"/>
          </w:tcPr>
          <w:p w14:paraId="66DCAF3C" w14:textId="77777777" w:rsidR="00354882" w:rsidRPr="00F5205B" w:rsidRDefault="00354882" w:rsidP="00D853A9">
            <w:pPr>
              <w:autoSpaceDE w:val="0"/>
              <w:autoSpaceDN w:val="0"/>
              <w:adjustRightInd w:val="0"/>
              <w:jc w:val="right"/>
              <w:rPr>
                <w:rFonts w:cs="Calibri"/>
                <w:color w:val="FFFFFF"/>
                <w:sz w:val="22"/>
                <w:szCs w:val="22"/>
              </w:rPr>
            </w:pPr>
            <w:r w:rsidRPr="00F5205B">
              <w:rPr>
                <w:rFonts w:cs="Calibri"/>
                <w:color w:val="FFFFFF"/>
                <w:sz w:val="22"/>
                <w:szCs w:val="22"/>
              </w:rPr>
              <w:t>16%</w:t>
            </w:r>
          </w:p>
        </w:tc>
        <w:tc>
          <w:tcPr>
            <w:tcW w:w="850" w:type="dxa"/>
            <w:tcBorders>
              <w:top w:val="single" w:sz="6" w:space="0" w:color="auto"/>
              <w:left w:val="single" w:sz="6" w:space="0" w:color="auto"/>
              <w:bottom w:val="single" w:sz="6" w:space="0" w:color="auto"/>
              <w:right w:val="single" w:sz="6" w:space="0" w:color="auto"/>
            </w:tcBorders>
            <w:shd w:val="solid" w:color="808080" w:fill="auto"/>
          </w:tcPr>
          <w:p w14:paraId="3B3B8683" w14:textId="77777777" w:rsidR="00354882" w:rsidRPr="00F5205B" w:rsidRDefault="00354882" w:rsidP="00D853A9">
            <w:pPr>
              <w:autoSpaceDE w:val="0"/>
              <w:autoSpaceDN w:val="0"/>
              <w:adjustRightInd w:val="0"/>
              <w:jc w:val="right"/>
              <w:rPr>
                <w:rFonts w:cs="Calibri"/>
                <w:color w:val="FFFFFF"/>
                <w:sz w:val="22"/>
                <w:szCs w:val="22"/>
              </w:rPr>
            </w:pPr>
            <w:r w:rsidRPr="00F5205B">
              <w:rPr>
                <w:rFonts w:cs="Calibri"/>
                <w:color w:val="FFFFFF"/>
                <w:sz w:val="22"/>
                <w:szCs w:val="22"/>
              </w:rPr>
              <w:t>14%</w:t>
            </w:r>
          </w:p>
        </w:tc>
      </w:tr>
    </w:tbl>
    <w:p w14:paraId="32247D2F" w14:textId="77777777" w:rsidR="00354882" w:rsidRDefault="00354882" w:rsidP="00354882">
      <w:pPr>
        <w:pStyle w:val="Seznam"/>
        <w:numPr>
          <w:ilvl w:val="0"/>
          <w:numId w:val="0"/>
        </w:numPr>
        <w:rPr>
          <w:rStyle w:val="pokyny"/>
          <w:color w:val="000000" w:themeColor="text1"/>
        </w:rPr>
      </w:pPr>
      <w:r w:rsidRPr="00F5205B">
        <w:rPr>
          <w:rStyle w:val="pokyny"/>
          <w:color w:val="000000" w:themeColor="text1"/>
        </w:rPr>
        <w:t xml:space="preserve">* Do rozhodnutí o omezení svéprávnosti se zahrnují také rozhodnutí o prodloužení trvání omezení a rozhodnutí o změně míry omezení svéprávnosti </w:t>
      </w:r>
    </w:p>
    <w:p w14:paraId="3CE3344A" w14:textId="77777777" w:rsidR="00354882" w:rsidRPr="00F5205B" w:rsidRDefault="00354882" w:rsidP="00354882">
      <w:pPr>
        <w:pStyle w:val="Seznam"/>
        <w:numPr>
          <w:ilvl w:val="0"/>
          <w:numId w:val="0"/>
        </w:numPr>
        <w:rPr>
          <w:rStyle w:val="pokyny"/>
          <w:color w:val="000000" w:themeColor="text1"/>
        </w:rPr>
      </w:pPr>
    </w:p>
    <w:p w14:paraId="7359C7E8" w14:textId="77777777" w:rsidR="00354882" w:rsidRPr="00F5205B" w:rsidRDefault="00354882" w:rsidP="00354882">
      <w:pPr>
        <w:pStyle w:val="Seznam"/>
        <w:numPr>
          <w:ilvl w:val="0"/>
          <w:numId w:val="0"/>
        </w:numPr>
        <w:pBdr>
          <w:top w:val="single" w:sz="4" w:space="1" w:color="auto"/>
          <w:left w:val="single" w:sz="4" w:space="4" w:color="auto"/>
          <w:bottom w:val="single" w:sz="4" w:space="1" w:color="auto"/>
          <w:right w:val="single" w:sz="4" w:space="4" w:color="auto"/>
        </w:pBdr>
        <w:spacing w:before="0" w:after="0"/>
        <w:ind w:left="567" w:hanging="567"/>
        <w:rPr>
          <w:rStyle w:val="pokyny"/>
          <w:color w:val="000000" w:themeColor="text1"/>
        </w:rPr>
      </w:pPr>
      <w:r w:rsidRPr="00F5205B">
        <w:rPr>
          <w:rStyle w:val="pokyny"/>
          <w:color w:val="000000" w:themeColor="text1"/>
        </w:rPr>
        <w:t>Komentář</w:t>
      </w:r>
    </w:p>
    <w:p w14:paraId="565704FE"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F5205B">
        <w:rPr>
          <w:rStyle w:val="pokyny"/>
          <w:color w:val="000000" w:themeColor="text1"/>
        </w:rPr>
        <w:t>Data budou pravidelně získávána od Ministerstva spravedlnosti, které vede statistiky ohledně rozhodnutí o podpůrných opatřeních.</w:t>
      </w:r>
    </w:p>
    <w:p w14:paraId="63676BE6" w14:textId="77777777" w:rsidR="00354882" w:rsidRPr="00F5205B" w:rsidRDefault="00354882" w:rsidP="00354882">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F5205B">
        <w:rPr>
          <w:rStyle w:val="pokyny"/>
          <w:color w:val="000000" w:themeColor="text1"/>
        </w:rPr>
        <w:t xml:space="preserve">Do hodnocení se budou počítat pouze pravomocná rozhodnutí o podpůrných opatřeních, nikoliv rozhodnutí o navrácení svéprávnosti (bez podpůrného opatření) či nemeritorní rozhodnutí (o zastavení řízení). </w:t>
      </w:r>
    </w:p>
    <w:p w14:paraId="11A3386A" w14:textId="77777777" w:rsidR="00354882" w:rsidRPr="00F5205B" w:rsidRDefault="00354882" w:rsidP="00354882">
      <w:pPr>
        <w:rPr>
          <w:rStyle w:val="Siln"/>
        </w:rPr>
      </w:pPr>
    </w:p>
    <w:p w14:paraId="3DB7F687" w14:textId="77777777" w:rsidR="00354882" w:rsidRPr="00354882" w:rsidRDefault="00354882" w:rsidP="00354882">
      <w:pPr>
        <w:rPr>
          <w:rStyle w:val="Siln"/>
          <w:b w:val="0"/>
        </w:rPr>
      </w:pPr>
      <w:r w:rsidRPr="00354882">
        <w:rPr>
          <w:rStyle w:val="Siln"/>
          <w:b w:val="0"/>
        </w:rPr>
        <w:t>Progres v implementaci čl. 12 Úmluvy:</w:t>
      </w:r>
    </w:p>
    <w:p w14:paraId="55795F79" w14:textId="77777777" w:rsidR="00354882" w:rsidRPr="00354882" w:rsidRDefault="00354882" w:rsidP="00354882">
      <w:pPr>
        <w:pStyle w:val="Seznam"/>
        <w:rPr>
          <w:rStyle w:val="pokyny"/>
          <w:b/>
          <w:bCs/>
          <w:color w:val="auto"/>
        </w:rPr>
      </w:pPr>
      <w:r w:rsidRPr="00354882">
        <w:rPr>
          <w:rStyle w:val="Siln"/>
          <w:b w:val="0"/>
        </w:rPr>
        <w:t xml:space="preserve">Podíl rozhodnutí o omezení svéprávností klesá a naopak stoupá počet rozhodnutí o ostatních podpůrných opatřeních (nápomoc při rozhodování, zastoupení členem domácnosti, opatrovnictví bez omezení svéprávnosti). </w:t>
      </w:r>
      <w:r w:rsidRPr="00354882">
        <w:rPr>
          <w:rStyle w:val="pokyny"/>
          <w:b/>
          <w:color w:val="000000" w:themeColor="text1"/>
        </w:rPr>
        <w:br w:type="page"/>
      </w:r>
    </w:p>
    <w:p w14:paraId="2C509B45" w14:textId="77777777" w:rsidR="00354882" w:rsidRPr="00893953" w:rsidRDefault="00354882" w:rsidP="00893953">
      <w:pPr>
        <w:pStyle w:val="Nadpis3"/>
        <w:rPr>
          <w:rStyle w:val="Siln"/>
          <w:b w:val="0"/>
          <w:bCs w:val="0"/>
        </w:rPr>
      </w:pPr>
      <w:bookmarkStart w:id="31" w:name="_Toc81417432"/>
      <w:r w:rsidRPr="00893953">
        <w:rPr>
          <w:rStyle w:val="Siln"/>
          <w:b w:val="0"/>
          <w:bCs w:val="0"/>
        </w:rPr>
        <w:lastRenderedPageBreak/>
        <w:t>Právní úprava nástrojů podpory v rozhodování je v souladu s principy článku 12</w:t>
      </w:r>
      <w:bookmarkEnd w:id="31"/>
    </w:p>
    <w:p w14:paraId="2B6178A4" w14:textId="77777777" w:rsidR="00354882" w:rsidRPr="00F5205B" w:rsidRDefault="00354882" w:rsidP="00354882">
      <w:pPr>
        <w:pStyle w:val="Seznam"/>
        <w:numPr>
          <w:ilvl w:val="0"/>
          <w:numId w:val="0"/>
        </w:numPr>
        <w:tabs>
          <w:tab w:val="left" w:pos="0"/>
        </w:tabs>
        <w:rPr>
          <w:rStyle w:val="pokyny"/>
          <w:color w:val="000000" w:themeColor="text1"/>
        </w:rPr>
      </w:pPr>
      <w:r w:rsidRPr="00F5205B">
        <w:rPr>
          <w:rStyle w:val="pokyny"/>
          <w:color w:val="000000" w:themeColor="text1"/>
        </w:rPr>
        <w:t>Jednotlivé nástroje podpory v rozhodování jsou postaveny na těchto principech:</w:t>
      </w:r>
    </w:p>
    <w:p w14:paraId="555DE57F"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Dostupnost – může je využít také člověk, který nemá žádné blízké osoby, který bydlí mimo velká města, dostupné jsou také informace o nástrojích podpory</w:t>
      </w:r>
    </w:p>
    <w:p w14:paraId="0E3A22A4"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 xml:space="preserve">Přístupnost – nástroj je „nízkoprahový“, přístupu k němu nebrání administrativní či finanční bariéry či specifické komunikační nároky člověka </w:t>
      </w:r>
    </w:p>
    <w:p w14:paraId="674F9776"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Dobrovolnost – člověk může podporu odmítnout</w:t>
      </w:r>
    </w:p>
    <w:p w14:paraId="7372784F"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Respekt k přáním a preferencím – podpůrná osoba nesmí jednat bez konzultace s člověkem nebo proti jeho vůli</w:t>
      </w:r>
    </w:p>
    <w:p w14:paraId="097E64DD"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Sociální model postižení – podpora je založena na potřebách člověka, nikoliv na existenci postižení</w:t>
      </w:r>
    </w:p>
    <w:p w14:paraId="50F036FE"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Flexibilita – podpora odpovídá potřebám konkrétního člověka, je „na míru“</w:t>
      </w:r>
    </w:p>
    <w:p w14:paraId="2A7A9DC5" w14:textId="77777777" w:rsidR="00354882" w:rsidRPr="00F5205B" w:rsidRDefault="00354882" w:rsidP="00354882">
      <w:pPr>
        <w:pStyle w:val="Seznam"/>
        <w:tabs>
          <w:tab w:val="left" w:pos="567"/>
        </w:tabs>
        <w:spacing w:before="0" w:after="0" w:line="240" w:lineRule="auto"/>
        <w:rPr>
          <w:rStyle w:val="pokyny"/>
          <w:color w:val="000000" w:themeColor="text1"/>
        </w:rPr>
      </w:pPr>
      <w:r w:rsidRPr="00F5205B">
        <w:rPr>
          <w:rStyle w:val="pokyny"/>
          <w:color w:val="000000" w:themeColor="text1"/>
        </w:rPr>
        <w:t>Uznání podpůrných osob – podpůrné osoby se můžou účastnit jednání podporovaného člověka, nemůžou být z rozhodování vyloučeny, případně s nimi organizace a jednají samostatně</w:t>
      </w:r>
    </w:p>
    <w:p w14:paraId="3D034CD5" w14:textId="77777777" w:rsidR="00354882" w:rsidRPr="00F5205B" w:rsidRDefault="00354882" w:rsidP="00354882">
      <w:pPr>
        <w:pStyle w:val="Seznam"/>
        <w:tabs>
          <w:tab w:val="left" w:pos="567"/>
        </w:tabs>
        <w:spacing w:before="0" w:after="0" w:line="240" w:lineRule="auto"/>
        <w:rPr>
          <w:rStyle w:val="pokyny"/>
          <w:color w:val="000000" w:themeColor="text1"/>
        </w:rPr>
      </w:pPr>
      <w:r>
        <w:rPr>
          <w:rStyle w:val="pokyny"/>
          <w:color w:val="000000" w:themeColor="text1"/>
        </w:rPr>
        <w:t>Dohled</w:t>
      </w:r>
      <w:r w:rsidRPr="00F5205B">
        <w:rPr>
          <w:rStyle w:val="pokyny"/>
          <w:color w:val="000000" w:themeColor="text1"/>
        </w:rPr>
        <w:t xml:space="preserve"> – podpora podléhá pravidelné kontrole, podporovaný člověk nebo jeho blízká osoba může dát podnět na zneplatnění rozhodnutí či zrušení podpory</w:t>
      </w:r>
    </w:p>
    <w:p w14:paraId="42A75F0C" w14:textId="77777777" w:rsidR="00354882" w:rsidRPr="008A5F90" w:rsidRDefault="00354882" w:rsidP="008A5F90">
      <w:pPr>
        <w:pStyle w:val="Zkladntext"/>
        <w:rPr>
          <w:rStyle w:val="Siln"/>
          <w:b w:val="0"/>
        </w:rPr>
      </w:pPr>
      <w:r w:rsidRPr="008A5F90">
        <w:rPr>
          <w:rStyle w:val="Siln"/>
          <w:b w:val="0"/>
        </w:rPr>
        <w:t>Každý naplněný princip je ohodnocen 1 bodem, celkové skóre se počítá procentuálním vyjádřením souladu s principy Úmluvy.</w:t>
      </w:r>
    </w:p>
    <w:p w14:paraId="29F616C5" w14:textId="77777777" w:rsidR="00354882" w:rsidRPr="008A5F90" w:rsidRDefault="00354882" w:rsidP="00354882">
      <w:pPr>
        <w:pStyle w:val="Seznam"/>
        <w:numPr>
          <w:ilvl w:val="0"/>
          <w:numId w:val="0"/>
        </w:numPr>
        <w:rPr>
          <w:rStyle w:val="Siln"/>
          <w:b w:val="0"/>
          <w:bCs w:val="0"/>
          <w:color w:val="000000" w:themeColor="text1"/>
        </w:rPr>
      </w:pPr>
      <w:r w:rsidRPr="008A5F90">
        <w:rPr>
          <w:rStyle w:val="Siln"/>
          <w:b w:val="0"/>
        </w:rPr>
        <w:t>Maximální skóre: 48 bodů</w:t>
      </w:r>
    </w:p>
    <w:p w14:paraId="60D43B03" w14:textId="77777777" w:rsidR="00354882" w:rsidRDefault="00354882" w:rsidP="00354882">
      <w:pPr>
        <w:pStyle w:val="Seznam"/>
        <w:numPr>
          <w:ilvl w:val="0"/>
          <w:numId w:val="0"/>
        </w:numPr>
        <w:rPr>
          <w:rStyle w:val="Siln"/>
          <w:b w:val="0"/>
        </w:rPr>
      </w:pPr>
      <w:r w:rsidRPr="008A5F90">
        <w:rPr>
          <w:rStyle w:val="Siln"/>
          <w:b w:val="0"/>
        </w:rPr>
        <w:t>Aktuální skóre: X</w:t>
      </w:r>
    </w:p>
    <w:tbl>
      <w:tblPr>
        <w:tblW w:w="9279" w:type="dxa"/>
        <w:tblInd w:w="-147" w:type="dxa"/>
        <w:tblCellMar>
          <w:left w:w="70" w:type="dxa"/>
          <w:right w:w="70" w:type="dxa"/>
        </w:tblCellMar>
        <w:tblLook w:val="04A0" w:firstRow="1" w:lastRow="0" w:firstColumn="1" w:lastColumn="0" w:noHBand="0" w:noVBand="1"/>
      </w:tblPr>
      <w:tblGrid>
        <w:gridCol w:w="1764"/>
        <w:gridCol w:w="1497"/>
        <w:gridCol w:w="1114"/>
        <w:gridCol w:w="1409"/>
        <w:gridCol w:w="1259"/>
        <w:gridCol w:w="1184"/>
        <w:gridCol w:w="1052"/>
      </w:tblGrid>
      <w:tr w:rsidR="008A5F90" w:rsidRPr="00F5205B" w14:paraId="65013DA0" w14:textId="77777777" w:rsidTr="008A5F90">
        <w:trPr>
          <w:trHeight w:val="758"/>
        </w:trPr>
        <w:tc>
          <w:tcPr>
            <w:tcW w:w="17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8CBD0" w14:textId="77777777" w:rsidR="008A5F90" w:rsidRPr="00F5205B" w:rsidRDefault="008A5F90" w:rsidP="00D853A9">
            <w:pPr>
              <w:rPr>
                <w:b/>
                <w:bCs/>
                <w:color w:val="000000"/>
                <w:sz w:val="20"/>
                <w:szCs w:val="20"/>
              </w:rPr>
            </w:pPr>
            <w:r w:rsidRPr="00F5205B">
              <w:rPr>
                <w:b/>
                <w:bCs/>
                <w:color w:val="000000"/>
                <w:sz w:val="20"/>
                <w:szCs w:val="20"/>
              </w:rPr>
              <w:t> </w:t>
            </w:r>
          </w:p>
        </w:tc>
        <w:tc>
          <w:tcPr>
            <w:tcW w:w="1497" w:type="dxa"/>
            <w:tcBorders>
              <w:top w:val="single" w:sz="4" w:space="0" w:color="auto"/>
              <w:left w:val="nil"/>
              <w:bottom w:val="single" w:sz="4" w:space="0" w:color="auto"/>
              <w:right w:val="single" w:sz="4" w:space="0" w:color="auto"/>
            </w:tcBorders>
            <w:shd w:val="clear" w:color="auto" w:fill="auto"/>
            <w:vAlign w:val="center"/>
            <w:hideMark/>
          </w:tcPr>
          <w:p w14:paraId="25DFCFB8" w14:textId="77777777" w:rsidR="008A5F90" w:rsidRPr="00F5205B" w:rsidRDefault="008A5F90" w:rsidP="00D853A9">
            <w:pPr>
              <w:rPr>
                <w:b/>
                <w:bCs/>
                <w:color w:val="000000"/>
                <w:sz w:val="20"/>
                <w:szCs w:val="20"/>
              </w:rPr>
            </w:pPr>
            <w:r w:rsidRPr="00F5205B">
              <w:rPr>
                <w:b/>
                <w:bCs/>
                <w:color w:val="000000"/>
                <w:sz w:val="20"/>
                <w:szCs w:val="20"/>
              </w:rPr>
              <w:t>Nápomoc při rozhodování</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14:paraId="16308191" w14:textId="77777777" w:rsidR="008A5F90" w:rsidRPr="00F5205B" w:rsidRDefault="008A5F90" w:rsidP="00D853A9">
            <w:pPr>
              <w:rPr>
                <w:b/>
                <w:bCs/>
                <w:color w:val="000000"/>
                <w:sz w:val="20"/>
                <w:szCs w:val="20"/>
              </w:rPr>
            </w:pPr>
            <w:r w:rsidRPr="00F5205B">
              <w:rPr>
                <w:b/>
                <w:bCs/>
                <w:color w:val="000000"/>
                <w:sz w:val="20"/>
                <w:szCs w:val="20"/>
              </w:rPr>
              <w:t>Zastoupení členem domácnosti</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14:paraId="5DE7423C" w14:textId="77777777" w:rsidR="008A5F90" w:rsidRPr="00F5205B" w:rsidRDefault="008A5F90" w:rsidP="00D853A9">
            <w:pPr>
              <w:rPr>
                <w:b/>
                <w:bCs/>
                <w:color w:val="000000"/>
                <w:sz w:val="20"/>
                <w:szCs w:val="20"/>
              </w:rPr>
            </w:pPr>
            <w:r w:rsidRPr="00F5205B">
              <w:rPr>
                <w:b/>
                <w:bCs/>
                <w:color w:val="000000"/>
                <w:sz w:val="20"/>
                <w:szCs w:val="20"/>
              </w:rPr>
              <w:t>Opatrovnictví</w:t>
            </w:r>
          </w:p>
        </w:tc>
        <w:tc>
          <w:tcPr>
            <w:tcW w:w="1259" w:type="dxa"/>
            <w:tcBorders>
              <w:top w:val="single" w:sz="4" w:space="0" w:color="auto"/>
              <w:left w:val="nil"/>
              <w:bottom w:val="single" w:sz="4" w:space="0" w:color="auto"/>
              <w:right w:val="single" w:sz="4" w:space="0" w:color="auto"/>
            </w:tcBorders>
            <w:shd w:val="clear" w:color="auto" w:fill="auto"/>
            <w:vAlign w:val="center"/>
            <w:hideMark/>
          </w:tcPr>
          <w:p w14:paraId="0BE4D83C" w14:textId="77777777" w:rsidR="008A5F90" w:rsidRPr="00F5205B" w:rsidRDefault="008A5F90" w:rsidP="00D853A9">
            <w:pPr>
              <w:rPr>
                <w:b/>
                <w:bCs/>
                <w:color w:val="000000"/>
                <w:sz w:val="20"/>
                <w:szCs w:val="20"/>
              </w:rPr>
            </w:pPr>
            <w:r w:rsidRPr="00F5205B">
              <w:rPr>
                <w:b/>
                <w:bCs/>
                <w:color w:val="000000"/>
                <w:sz w:val="20"/>
                <w:szCs w:val="20"/>
              </w:rPr>
              <w:t>Opatrovnická rada</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65482081" w14:textId="77777777" w:rsidR="008A5F90" w:rsidRPr="00F5205B" w:rsidRDefault="008A5F90" w:rsidP="00D853A9">
            <w:pPr>
              <w:rPr>
                <w:b/>
                <w:bCs/>
                <w:color w:val="000000"/>
                <w:sz w:val="20"/>
                <w:szCs w:val="20"/>
              </w:rPr>
            </w:pPr>
            <w:r w:rsidRPr="00F5205B">
              <w:rPr>
                <w:b/>
                <w:bCs/>
                <w:color w:val="000000"/>
                <w:sz w:val="20"/>
                <w:szCs w:val="20"/>
              </w:rPr>
              <w:t>Zvláštní příjemce</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14:paraId="1B13E33C" w14:textId="77777777" w:rsidR="008A5F90" w:rsidRPr="00F5205B" w:rsidRDefault="008A5F90" w:rsidP="00D853A9">
            <w:pPr>
              <w:rPr>
                <w:b/>
                <w:bCs/>
                <w:color w:val="000000"/>
                <w:sz w:val="20"/>
                <w:szCs w:val="20"/>
              </w:rPr>
            </w:pPr>
            <w:r w:rsidRPr="00F5205B">
              <w:rPr>
                <w:b/>
                <w:bCs/>
                <w:color w:val="000000"/>
                <w:sz w:val="20"/>
                <w:szCs w:val="20"/>
              </w:rPr>
              <w:t>Důvěrník</w:t>
            </w:r>
          </w:p>
        </w:tc>
      </w:tr>
      <w:tr w:rsidR="008A5F90" w:rsidRPr="00F5205B" w14:paraId="184E82A5" w14:textId="77777777" w:rsidTr="008A5F90">
        <w:trPr>
          <w:trHeight w:val="417"/>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7BA6123E" w14:textId="77777777" w:rsidR="008A5F90" w:rsidRPr="00F5205B" w:rsidRDefault="008A5F90" w:rsidP="00D853A9">
            <w:pPr>
              <w:rPr>
                <w:b/>
                <w:bCs/>
                <w:color w:val="000000"/>
                <w:sz w:val="20"/>
                <w:szCs w:val="20"/>
              </w:rPr>
            </w:pPr>
            <w:r w:rsidRPr="00F5205B">
              <w:rPr>
                <w:b/>
                <w:bCs/>
                <w:color w:val="000000"/>
                <w:sz w:val="20"/>
                <w:szCs w:val="20"/>
              </w:rPr>
              <w:t>Dostupnost</w:t>
            </w:r>
          </w:p>
        </w:tc>
        <w:tc>
          <w:tcPr>
            <w:tcW w:w="1497" w:type="dxa"/>
            <w:tcBorders>
              <w:top w:val="nil"/>
              <w:left w:val="nil"/>
              <w:bottom w:val="single" w:sz="4" w:space="0" w:color="auto"/>
              <w:right w:val="single" w:sz="4" w:space="0" w:color="auto"/>
            </w:tcBorders>
            <w:shd w:val="clear" w:color="auto" w:fill="auto"/>
            <w:noWrap/>
            <w:vAlign w:val="bottom"/>
            <w:hideMark/>
          </w:tcPr>
          <w:p w14:paraId="2D16BCAD"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5C50FEE7"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2A4FDDC1"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54FAF5ED"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3AB96382"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752B46F8"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31EB0463" w14:textId="77777777" w:rsidTr="008A5F90">
        <w:trPr>
          <w:trHeight w:val="423"/>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16F6B2CF" w14:textId="77777777" w:rsidR="008A5F90" w:rsidRPr="00F5205B" w:rsidRDefault="008A5F90" w:rsidP="00D853A9">
            <w:pPr>
              <w:rPr>
                <w:b/>
                <w:bCs/>
                <w:color w:val="000000"/>
                <w:sz w:val="20"/>
                <w:szCs w:val="20"/>
              </w:rPr>
            </w:pPr>
            <w:r w:rsidRPr="00F5205B">
              <w:rPr>
                <w:b/>
                <w:bCs/>
                <w:color w:val="000000"/>
                <w:sz w:val="20"/>
                <w:szCs w:val="20"/>
              </w:rPr>
              <w:t>Přístupnost</w:t>
            </w:r>
          </w:p>
        </w:tc>
        <w:tc>
          <w:tcPr>
            <w:tcW w:w="1497" w:type="dxa"/>
            <w:tcBorders>
              <w:top w:val="nil"/>
              <w:left w:val="nil"/>
              <w:bottom w:val="single" w:sz="4" w:space="0" w:color="auto"/>
              <w:right w:val="single" w:sz="4" w:space="0" w:color="auto"/>
            </w:tcBorders>
            <w:shd w:val="clear" w:color="auto" w:fill="auto"/>
            <w:noWrap/>
            <w:vAlign w:val="bottom"/>
            <w:hideMark/>
          </w:tcPr>
          <w:p w14:paraId="113671E3"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70BBDE44"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724AB782"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376EEA24"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351940EB"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24DC490B"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2525FC3A" w14:textId="77777777" w:rsidTr="008A5F90">
        <w:trPr>
          <w:trHeight w:val="572"/>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20141831" w14:textId="77777777" w:rsidR="008A5F90" w:rsidRPr="00F5205B" w:rsidRDefault="008A5F90" w:rsidP="00D853A9">
            <w:pPr>
              <w:rPr>
                <w:b/>
                <w:bCs/>
                <w:color w:val="000000"/>
                <w:sz w:val="20"/>
                <w:szCs w:val="20"/>
              </w:rPr>
            </w:pPr>
            <w:r w:rsidRPr="00F5205B">
              <w:rPr>
                <w:b/>
                <w:bCs/>
                <w:color w:val="000000"/>
                <w:sz w:val="20"/>
                <w:szCs w:val="20"/>
              </w:rPr>
              <w:t>Dobrovolnost</w:t>
            </w:r>
          </w:p>
        </w:tc>
        <w:tc>
          <w:tcPr>
            <w:tcW w:w="1497" w:type="dxa"/>
            <w:tcBorders>
              <w:top w:val="nil"/>
              <w:left w:val="nil"/>
              <w:bottom w:val="single" w:sz="4" w:space="0" w:color="auto"/>
              <w:right w:val="single" w:sz="4" w:space="0" w:color="auto"/>
            </w:tcBorders>
            <w:shd w:val="clear" w:color="auto" w:fill="auto"/>
            <w:noWrap/>
            <w:vAlign w:val="bottom"/>
            <w:hideMark/>
          </w:tcPr>
          <w:p w14:paraId="3DF0DB8E"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5C23A290"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5E204F31"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188B05B0"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2865E038"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67578F6B"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7B3F702B" w14:textId="77777777" w:rsidTr="008A5F90">
        <w:trPr>
          <w:trHeight w:val="428"/>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3D49F651" w14:textId="77777777" w:rsidR="008A5F90" w:rsidRPr="00F5205B" w:rsidRDefault="008A5F90" w:rsidP="00D853A9">
            <w:pPr>
              <w:rPr>
                <w:b/>
                <w:bCs/>
                <w:color w:val="000000"/>
                <w:sz w:val="20"/>
                <w:szCs w:val="20"/>
              </w:rPr>
            </w:pPr>
            <w:r w:rsidRPr="00F5205B">
              <w:rPr>
                <w:b/>
                <w:bCs/>
                <w:color w:val="000000"/>
                <w:sz w:val="20"/>
                <w:szCs w:val="20"/>
              </w:rPr>
              <w:t>Respekt k přáním a preferencím</w:t>
            </w:r>
          </w:p>
        </w:tc>
        <w:tc>
          <w:tcPr>
            <w:tcW w:w="1497" w:type="dxa"/>
            <w:tcBorders>
              <w:top w:val="nil"/>
              <w:left w:val="nil"/>
              <w:bottom w:val="single" w:sz="4" w:space="0" w:color="auto"/>
              <w:right w:val="single" w:sz="4" w:space="0" w:color="auto"/>
            </w:tcBorders>
            <w:shd w:val="clear" w:color="auto" w:fill="auto"/>
            <w:noWrap/>
            <w:vAlign w:val="bottom"/>
            <w:hideMark/>
          </w:tcPr>
          <w:p w14:paraId="597B5292"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6B1BA060"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1DE46DF3"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5F5ACC7B"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39637648"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37BD7BB4"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7E03BE46" w14:textId="77777777" w:rsidTr="008A5F90">
        <w:trPr>
          <w:trHeight w:val="473"/>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4BBF2246" w14:textId="77777777" w:rsidR="008A5F90" w:rsidRPr="00F5205B" w:rsidRDefault="008A5F90" w:rsidP="00D853A9">
            <w:pPr>
              <w:rPr>
                <w:b/>
                <w:bCs/>
                <w:color w:val="000000"/>
                <w:sz w:val="20"/>
                <w:szCs w:val="20"/>
              </w:rPr>
            </w:pPr>
            <w:r w:rsidRPr="00F5205B">
              <w:rPr>
                <w:b/>
                <w:bCs/>
                <w:color w:val="000000"/>
                <w:sz w:val="20"/>
                <w:szCs w:val="20"/>
              </w:rPr>
              <w:t>Sociální model</w:t>
            </w:r>
          </w:p>
        </w:tc>
        <w:tc>
          <w:tcPr>
            <w:tcW w:w="1497" w:type="dxa"/>
            <w:tcBorders>
              <w:top w:val="nil"/>
              <w:left w:val="nil"/>
              <w:bottom w:val="single" w:sz="4" w:space="0" w:color="auto"/>
              <w:right w:val="single" w:sz="4" w:space="0" w:color="auto"/>
            </w:tcBorders>
            <w:shd w:val="clear" w:color="auto" w:fill="auto"/>
            <w:noWrap/>
            <w:vAlign w:val="bottom"/>
            <w:hideMark/>
          </w:tcPr>
          <w:p w14:paraId="7E92AC9F"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5BF53DC1"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6A4F07D4"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74EC2D60"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2395A227"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3E7A89C2"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7A64EE73" w14:textId="77777777" w:rsidTr="008A5F90">
        <w:trPr>
          <w:trHeight w:val="436"/>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70A78BB9" w14:textId="77777777" w:rsidR="008A5F90" w:rsidRPr="00F5205B" w:rsidRDefault="008A5F90" w:rsidP="00D853A9">
            <w:pPr>
              <w:rPr>
                <w:b/>
                <w:bCs/>
                <w:color w:val="000000"/>
                <w:sz w:val="20"/>
                <w:szCs w:val="20"/>
              </w:rPr>
            </w:pPr>
            <w:r w:rsidRPr="00F5205B">
              <w:rPr>
                <w:b/>
                <w:bCs/>
                <w:color w:val="000000"/>
                <w:sz w:val="20"/>
                <w:szCs w:val="20"/>
              </w:rPr>
              <w:t>Flexibilita</w:t>
            </w:r>
          </w:p>
        </w:tc>
        <w:tc>
          <w:tcPr>
            <w:tcW w:w="1497" w:type="dxa"/>
            <w:tcBorders>
              <w:top w:val="nil"/>
              <w:left w:val="nil"/>
              <w:bottom w:val="single" w:sz="4" w:space="0" w:color="auto"/>
              <w:right w:val="single" w:sz="4" w:space="0" w:color="auto"/>
            </w:tcBorders>
            <w:shd w:val="clear" w:color="auto" w:fill="auto"/>
            <w:noWrap/>
            <w:vAlign w:val="bottom"/>
            <w:hideMark/>
          </w:tcPr>
          <w:p w14:paraId="66A821A1"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5B1F0D34"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514A7D6C"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31BA89E7"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5C492B72"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7E14AE05"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2E682624" w14:textId="77777777" w:rsidTr="008A5F90">
        <w:trPr>
          <w:trHeight w:val="559"/>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0D1C9CB4" w14:textId="77777777" w:rsidR="008A5F90" w:rsidRPr="00F5205B" w:rsidRDefault="008A5F90" w:rsidP="00D853A9">
            <w:pPr>
              <w:rPr>
                <w:b/>
                <w:bCs/>
                <w:color w:val="000000"/>
                <w:sz w:val="20"/>
                <w:szCs w:val="20"/>
              </w:rPr>
            </w:pPr>
            <w:r w:rsidRPr="00F5205B">
              <w:rPr>
                <w:b/>
                <w:bCs/>
                <w:color w:val="000000"/>
                <w:sz w:val="20"/>
                <w:szCs w:val="20"/>
              </w:rPr>
              <w:t>Uznání podpůrné osoby</w:t>
            </w:r>
          </w:p>
        </w:tc>
        <w:tc>
          <w:tcPr>
            <w:tcW w:w="1497" w:type="dxa"/>
            <w:tcBorders>
              <w:top w:val="nil"/>
              <w:left w:val="nil"/>
              <w:bottom w:val="single" w:sz="4" w:space="0" w:color="auto"/>
              <w:right w:val="single" w:sz="4" w:space="0" w:color="auto"/>
            </w:tcBorders>
            <w:shd w:val="clear" w:color="auto" w:fill="auto"/>
            <w:noWrap/>
            <w:vAlign w:val="bottom"/>
            <w:hideMark/>
          </w:tcPr>
          <w:p w14:paraId="1DB460A9"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2BED00DF"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3E473DCF"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4E1AFD06"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7C69AC50"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7D0470CB"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66CAA77D" w14:textId="77777777" w:rsidTr="008A5F90">
        <w:trPr>
          <w:trHeight w:val="423"/>
        </w:trPr>
        <w:tc>
          <w:tcPr>
            <w:tcW w:w="1764" w:type="dxa"/>
            <w:tcBorders>
              <w:top w:val="nil"/>
              <w:left w:val="single" w:sz="4" w:space="0" w:color="auto"/>
              <w:bottom w:val="single" w:sz="4" w:space="0" w:color="auto"/>
              <w:right w:val="single" w:sz="4" w:space="0" w:color="auto"/>
            </w:tcBorders>
            <w:shd w:val="clear" w:color="auto" w:fill="auto"/>
            <w:vAlign w:val="center"/>
            <w:hideMark/>
          </w:tcPr>
          <w:p w14:paraId="6C8BF96F" w14:textId="77777777" w:rsidR="008A5F90" w:rsidRPr="00F5205B" w:rsidRDefault="008A5F90" w:rsidP="00D853A9">
            <w:pPr>
              <w:rPr>
                <w:b/>
                <w:bCs/>
                <w:color w:val="000000"/>
                <w:sz w:val="20"/>
                <w:szCs w:val="20"/>
              </w:rPr>
            </w:pPr>
            <w:r>
              <w:rPr>
                <w:b/>
                <w:bCs/>
                <w:color w:val="000000"/>
                <w:sz w:val="20"/>
                <w:szCs w:val="20"/>
              </w:rPr>
              <w:t>Dohled</w:t>
            </w:r>
          </w:p>
        </w:tc>
        <w:tc>
          <w:tcPr>
            <w:tcW w:w="1497" w:type="dxa"/>
            <w:tcBorders>
              <w:top w:val="nil"/>
              <w:left w:val="nil"/>
              <w:bottom w:val="single" w:sz="4" w:space="0" w:color="auto"/>
              <w:right w:val="single" w:sz="4" w:space="0" w:color="auto"/>
            </w:tcBorders>
            <w:shd w:val="clear" w:color="auto" w:fill="auto"/>
            <w:noWrap/>
            <w:vAlign w:val="bottom"/>
            <w:hideMark/>
          </w:tcPr>
          <w:p w14:paraId="50ED06AB" w14:textId="77777777" w:rsidR="008A5F90" w:rsidRPr="00F5205B" w:rsidRDefault="008A5F90" w:rsidP="00D853A9">
            <w:pPr>
              <w:jc w:val="right"/>
              <w:rPr>
                <w:color w:val="000000"/>
                <w:sz w:val="20"/>
                <w:szCs w:val="20"/>
              </w:rPr>
            </w:pPr>
            <w:r>
              <w:rPr>
                <w:color w:val="000000"/>
                <w:sz w:val="20"/>
                <w:szCs w:val="20"/>
              </w:rPr>
              <w:t>x</w:t>
            </w:r>
          </w:p>
        </w:tc>
        <w:tc>
          <w:tcPr>
            <w:tcW w:w="1114" w:type="dxa"/>
            <w:tcBorders>
              <w:top w:val="nil"/>
              <w:left w:val="nil"/>
              <w:bottom w:val="single" w:sz="4" w:space="0" w:color="auto"/>
              <w:right w:val="single" w:sz="4" w:space="0" w:color="auto"/>
            </w:tcBorders>
            <w:shd w:val="clear" w:color="auto" w:fill="auto"/>
            <w:noWrap/>
            <w:vAlign w:val="bottom"/>
            <w:hideMark/>
          </w:tcPr>
          <w:p w14:paraId="3025A4F7" w14:textId="77777777" w:rsidR="008A5F90" w:rsidRPr="00F5205B" w:rsidRDefault="008A5F90" w:rsidP="00D853A9">
            <w:pPr>
              <w:jc w:val="right"/>
              <w:rPr>
                <w:color w:val="000000"/>
                <w:sz w:val="20"/>
                <w:szCs w:val="20"/>
              </w:rPr>
            </w:pPr>
            <w:r>
              <w:rPr>
                <w:color w:val="000000"/>
                <w:sz w:val="20"/>
                <w:szCs w:val="20"/>
              </w:rPr>
              <w:t>x</w:t>
            </w:r>
          </w:p>
        </w:tc>
        <w:tc>
          <w:tcPr>
            <w:tcW w:w="1409" w:type="dxa"/>
            <w:tcBorders>
              <w:top w:val="nil"/>
              <w:left w:val="nil"/>
              <w:bottom w:val="single" w:sz="4" w:space="0" w:color="auto"/>
              <w:right w:val="single" w:sz="4" w:space="0" w:color="auto"/>
            </w:tcBorders>
            <w:shd w:val="clear" w:color="auto" w:fill="auto"/>
            <w:noWrap/>
            <w:vAlign w:val="bottom"/>
            <w:hideMark/>
          </w:tcPr>
          <w:p w14:paraId="2F365F37" w14:textId="77777777" w:rsidR="008A5F90" w:rsidRPr="00F5205B" w:rsidRDefault="008A5F90" w:rsidP="00D853A9">
            <w:pPr>
              <w:jc w:val="right"/>
              <w:rPr>
                <w:color w:val="000000"/>
                <w:sz w:val="20"/>
                <w:szCs w:val="20"/>
              </w:rPr>
            </w:pPr>
            <w:r>
              <w:rPr>
                <w:color w:val="000000"/>
                <w:sz w:val="20"/>
                <w:szCs w:val="20"/>
              </w:rPr>
              <w:t>x</w:t>
            </w:r>
          </w:p>
        </w:tc>
        <w:tc>
          <w:tcPr>
            <w:tcW w:w="1259" w:type="dxa"/>
            <w:tcBorders>
              <w:top w:val="nil"/>
              <w:left w:val="nil"/>
              <w:bottom w:val="single" w:sz="4" w:space="0" w:color="auto"/>
              <w:right w:val="single" w:sz="4" w:space="0" w:color="auto"/>
            </w:tcBorders>
            <w:shd w:val="clear" w:color="auto" w:fill="auto"/>
            <w:noWrap/>
            <w:vAlign w:val="bottom"/>
            <w:hideMark/>
          </w:tcPr>
          <w:p w14:paraId="53EF7F65" w14:textId="77777777" w:rsidR="008A5F90" w:rsidRPr="00F5205B" w:rsidRDefault="008A5F90" w:rsidP="00D853A9">
            <w:pPr>
              <w:jc w:val="right"/>
              <w:rPr>
                <w:color w:val="000000"/>
                <w:sz w:val="20"/>
                <w:szCs w:val="20"/>
              </w:rPr>
            </w:pPr>
            <w:r>
              <w:rPr>
                <w:color w:val="000000"/>
                <w:sz w:val="20"/>
                <w:szCs w:val="20"/>
              </w:rPr>
              <w:t>x</w:t>
            </w:r>
          </w:p>
        </w:tc>
        <w:tc>
          <w:tcPr>
            <w:tcW w:w="1184" w:type="dxa"/>
            <w:tcBorders>
              <w:top w:val="nil"/>
              <w:left w:val="nil"/>
              <w:bottom w:val="single" w:sz="4" w:space="0" w:color="auto"/>
              <w:right w:val="single" w:sz="4" w:space="0" w:color="auto"/>
            </w:tcBorders>
            <w:shd w:val="clear" w:color="auto" w:fill="auto"/>
            <w:noWrap/>
            <w:vAlign w:val="bottom"/>
            <w:hideMark/>
          </w:tcPr>
          <w:p w14:paraId="25F72B4C" w14:textId="77777777" w:rsidR="008A5F90" w:rsidRPr="00F5205B" w:rsidRDefault="008A5F90" w:rsidP="00D853A9">
            <w:pPr>
              <w:jc w:val="right"/>
              <w:rPr>
                <w:color w:val="000000"/>
                <w:sz w:val="20"/>
                <w:szCs w:val="20"/>
              </w:rPr>
            </w:pPr>
            <w:r>
              <w:rPr>
                <w:color w:val="000000"/>
                <w:sz w:val="20"/>
                <w:szCs w:val="20"/>
              </w:rPr>
              <w:t>x</w:t>
            </w:r>
          </w:p>
        </w:tc>
        <w:tc>
          <w:tcPr>
            <w:tcW w:w="1052" w:type="dxa"/>
            <w:tcBorders>
              <w:top w:val="nil"/>
              <w:left w:val="nil"/>
              <w:bottom w:val="single" w:sz="4" w:space="0" w:color="auto"/>
              <w:right w:val="single" w:sz="4" w:space="0" w:color="auto"/>
            </w:tcBorders>
            <w:shd w:val="clear" w:color="auto" w:fill="auto"/>
            <w:noWrap/>
            <w:vAlign w:val="bottom"/>
            <w:hideMark/>
          </w:tcPr>
          <w:p w14:paraId="1644C1C7" w14:textId="77777777" w:rsidR="008A5F90" w:rsidRPr="00F5205B" w:rsidRDefault="008A5F90" w:rsidP="00D853A9">
            <w:pPr>
              <w:jc w:val="right"/>
              <w:rPr>
                <w:color w:val="000000"/>
                <w:sz w:val="20"/>
                <w:szCs w:val="20"/>
              </w:rPr>
            </w:pPr>
            <w:r>
              <w:rPr>
                <w:color w:val="000000"/>
                <w:sz w:val="20"/>
                <w:szCs w:val="20"/>
              </w:rPr>
              <w:t>x</w:t>
            </w:r>
          </w:p>
        </w:tc>
      </w:tr>
      <w:tr w:rsidR="008A5F90" w:rsidRPr="00F5205B" w14:paraId="7D2AE794" w14:textId="77777777" w:rsidTr="008A5F90">
        <w:trPr>
          <w:trHeight w:val="415"/>
        </w:trPr>
        <w:tc>
          <w:tcPr>
            <w:tcW w:w="1764" w:type="dxa"/>
            <w:tcBorders>
              <w:top w:val="nil"/>
              <w:left w:val="single" w:sz="4" w:space="0" w:color="auto"/>
              <w:bottom w:val="single" w:sz="4" w:space="0" w:color="auto"/>
              <w:right w:val="single" w:sz="4" w:space="0" w:color="auto"/>
            </w:tcBorders>
            <w:shd w:val="clear" w:color="000000" w:fill="D9D9D9"/>
            <w:noWrap/>
            <w:vAlign w:val="bottom"/>
          </w:tcPr>
          <w:p w14:paraId="07884918" w14:textId="77777777" w:rsidR="008A5F90" w:rsidRPr="00F5205B" w:rsidRDefault="008A5F90" w:rsidP="00D853A9">
            <w:pPr>
              <w:rPr>
                <w:b/>
                <w:bCs/>
                <w:color w:val="000000"/>
                <w:sz w:val="20"/>
                <w:szCs w:val="20"/>
              </w:rPr>
            </w:pPr>
            <w:r>
              <w:rPr>
                <w:b/>
                <w:bCs/>
                <w:color w:val="000000"/>
                <w:sz w:val="20"/>
                <w:szCs w:val="20"/>
              </w:rPr>
              <w:t xml:space="preserve">Celkem </w:t>
            </w:r>
          </w:p>
        </w:tc>
        <w:tc>
          <w:tcPr>
            <w:tcW w:w="1497" w:type="dxa"/>
            <w:tcBorders>
              <w:top w:val="nil"/>
              <w:left w:val="nil"/>
              <w:bottom w:val="single" w:sz="4" w:space="0" w:color="auto"/>
              <w:right w:val="single" w:sz="4" w:space="0" w:color="auto"/>
            </w:tcBorders>
            <w:shd w:val="clear" w:color="000000" w:fill="D9D9D9"/>
            <w:noWrap/>
            <w:vAlign w:val="bottom"/>
          </w:tcPr>
          <w:p w14:paraId="1268D9AA" w14:textId="77777777" w:rsidR="008A5F90" w:rsidRPr="00F5205B" w:rsidRDefault="008A5F90" w:rsidP="00D853A9">
            <w:pPr>
              <w:jc w:val="right"/>
              <w:rPr>
                <w:b/>
                <w:bCs/>
                <w:color w:val="000000"/>
                <w:sz w:val="20"/>
                <w:szCs w:val="20"/>
              </w:rPr>
            </w:pPr>
            <w:r>
              <w:rPr>
                <w:b/>
                <w:bCs/>
                <w:color w:val="000000"/>
                <w:sz w:val="20"/>
                <w:szCs w:val="20"/>
              </w:rPr>
              <w:t>x</w:t>
            </w:r>
          </w:p>
        </w:tc>
        <w:tc>
          <w:tcPr>
            <w:tcW w:w="1114" w:type="dxa"/>
            <w:tcBorders>
              <w:top w:val="nil"/>
              <w:left w:val="nil"/>
              <w:bottom w:val="single" w:sz="4" w:space="0" w:color="auto"/>
              <w:right w:val="single" w:sz="4" w:space="0" w:color="auto"/>
            </w:tcBorders>
            <w:shd w:val="clear" w:color="000000" w:fill="D9D9D9"/>
            <w:noWrap/>
            <w:vAlign w:val="bottom"/>
          </w:tcPr>
          <w:p w14:paraId="5B730E39" w14:textId="77777777" w:rsidR="008A5F90" w:rsidRPr="00F5205B" w:rsidRDefault="008A5F90" w:rsidP="00D853A9">
            <w:pPr>
              <w:jc w:val="right"/>
              <w:rPr>
                <w:b/>
                <w:bCs/>
                <w:color w:val="000000"/>
                <w:sz w:val="20"/>
                <w:szCs w:val="20"/>
              </w:rPr>
            </w:pPr>
            <w:r>
              <w:rPr>
                <w:b/>
                <w:bCs/>
                <w:color w:val="000000"/>
                <w:sz w:val="20"/>
                <w:szCs w:val="20"/>
              </w:rPr>
              <w:t>x</w:t>
            </w:r>
          </w:p>
        </w:tc>
        <w:tc>
          <w:tcPr>
            <w:tcW w:w="1409" w:type="dxa"/>
            <w:tcBorders>
              <w:top w:val="nil"/>
              <w:left w:val="nil"/>
              <w:bottom w:val="single" w:sz="4" w:space="0" w:color="auto"/>
              <w:right w:val="single" w:sz="4" w:space="0" w:color="auto"/>
            </w:tcBorders>
            <w:shd w:val="clear" w:color="000000" w:fill="D9D9D9"/>
            <w:noWrap/>
            <w:vAlign w:val="bottom"/>
          </w:tcPr>
          <w:p w14:paraId="67F574C6" w14:textId="77777777" w:rsidR="008A5F90" w:rsidRPr="00F5205B" w:rsidRDefault="008A5F90" w:rsidP="00D853A9">
            <w:pPr>
              <w:jc w:val="right"/>
              <w:rPr>
                <w:b/>
                <w:bCs/>
                <w:color w:val="000000"/>
                <w:sz w:val="20"/>
                <w:szCs w:val="20"/>
              </w:rPr>
            </w:pPr>
            <w:r>
              <w:rPr>
                <w:b/>
                <w:bCs/>
                <w:color w:val="000000"/>
                <w:sz w:val="20"/>
                <w:szCs w:val="20"/>
              </w:rPr>
              <w:t>x</w:t>
            </w:r>
          </w:p>
        </w:tc>
        <w:tc>
          <w:tcPr>
            <w:tcW w:w="1259" w:type="dxa"/>
            <w:tcBorders>
              <w:top w:val="nil"/>
              <w:left w:val="nil"/>
              <w:bottom w:val="single" w:sz="4" w:space="0" w:color="auto"/>
              <w:right w:val="single" w:sz="4" w:space="0" w:color="auto"/>
            </w:tcBorders>
            <w:shd w:val="clear" w:color="000000" w:fill="D9D9D9"/>
            <w:noWrap/>
            <w:vAlign w:val="bottom"/>
          </w:tcPr>
          <w:p w14:paraId="4E8DC87D" w14:textId="77777777" w:rsidR="008A5F90" w:rsidRPr="00F5205B" w:rsidRDefault="008A5F90" w:rsidP="00D853A9">
            <w:pPr>
              <w:jc w:val="right"/>
              <w:rPr>
                <w:b/>
                <w:bCs/>
                <w:color w:val="000000"/>
                <w:sz w:val="20"/>
                <w:szCs w:val="20"/>
              </w:rPr>
            </w:pPr>
            <w:r>
              <w:rPr>
                <w:b/>
                <w:bCs/>
                <w:color w:val="000000"/>
                <w:sz w:val="20"/>
                <w:szCs w:val="20"/>
              </w:rPr>
              <w:t>x</w:t>
            </w:r>
          </w:p>
        </w:tc>
        <w:tc>
          <w:tcPr>
            <w:tcW w:w="1184" w:type="dxa"/>
            <w:tcBorders>
              <w:top w:val="nil"/>
              <w:left w:val="nil"/>
              <w:bottom w:val="single" w:sz="4" w:space="0" w:color="auto"/>
              <w:right w:val="single" w:sz="4" w:space="0" w:color="auto"/>
            </w:tcBorders>
            <w:shd w:val="clear" w:color="000000" w:fill="D9D9D9"/>
            <w:noWrap/>
            <w:vAlign w:val="bottom"/>
          </w:tcPr>
          <w:p w14:paraId="30514737" w14:textId="77777777" w:rsidR="008A5F90" w:rsidRPr="00F5205B" w:rsidRDefault="008A5F90" w:rsidP="00D853A9">
            <w:pPr>
              <w:jc w:val="right"/>
              <w:rPr>
                <w:b/>
                <w:bCs/>
                <w:color w:val="000000"/>
                <w:sz w:val="20"/>
                <w:szCs w:val="20"/>
              </w:rPr>
            </w:pPr>
            <w:r>
              <w:rPr>
                <w:b/>
                <w:bCs/>
                <w:color w:val="000000"/>
                <w:sz w:val="20"/>
                <w:szCs w:val="20"/>
              </w:rPr>
              <w:t>x</w:t>
            </w:r>
          </w:p>
        </w:tc>
        <w:tc>
          <w:tcPr>
            <w:tcW w:w="1052" w:type="dxa"/>
            <w:tcBorders>
              <w:top w:val="nil"/>
              <w:left w:val="nil"/>
              <w:bottom w:val="single" w:sz="4" w:space="0" w:color="auto"/>
              <w:right w:val="single" w:sz="4" w:space="0" w:color="auto"/>
            </w:tcBorders>
            <w:shd w:val="clear" w:color="000000" w:fill="D9D9D9"/>
            <w:noWrap/>
            <w:vAlign w:val="bottom"/>
          </w:tcPr>
          <w:p w14:paraId="3925E0B9" w14:textId="77777777" w:rsidR="008A5F90" w:rsidRPr="00F5205B" w:rsidRDefault="008A5F90" w:rsidP="00D853A9">
            <w:pPr>
              <w:jc w:val="right"/>
              <w:rPr>
                <w:b/>
                <w:bCs/>
                <w:color w:val="000000"/>
                <w:sz w:val="20"/>
                <w:szCs w:val="20"/>
              </w:rPr>
            </w:pPr>
            <w:r>
              <w:rPr>
                <w:b/>
                <w:bCs/>
                <w:color w:val="000000"/>
                <w:sz w:val="20"/>
                <w:szCs w:val="20"/>
              </w:rPr>
              <w:t>x</w:t>
            </w:r>
          </w:p>
        </w:tc>
      </w:tr>
      <w:tr w:rsidR="008A5F90" w:rsidRPr="00F5205B" w14:paraId="10E24256" w14:textId="77777777" w:rsidTr="008A5F90">
        <w:trPr>
          <w:trHeight w:val="415"/>
        </w:trPr>
        <w:tc>
          <w:tcPr>
            <w:tcW w:w="1764" w:type="dxa"/>
            <w:tcBorders>
              <w:top w:val="nil"/>
              <w:left w:val="single" w:sz="4" w:space="0" w:color="auto"/>
              <w:bottom w:val="single" w:sz="4" w:space="0" w:color="auto"/>
              <w:right w:val="single" w:sz="4" w:space="0" w:color="auto"/>
            </w:tcBorders>
            <w:shd w:val="clear" w:color="000000" w:fill="D9D9D9"/>
            <w:noWrap/>
            <w:vAlign w:val="bottom"/>
            <w:hideMark/>
          </w:tcPr>
          <w:p w14:paraId="720318D1" w14:textId="77777777" w:rsidR="008A5F90" w:rsidRPr="00F5205B" w:rsidRDefault="008A5F90" w:rsidP="00D853A9">
            <w:pPr>
              <w:rPr>
                <w:b/>
                <w:bCs/>
                <w:color w:val="000000"/>
                <w:sz w:val="20"/>
                <w:szCs w:val="20"/>
              </w:rPr>
            </w:pPr>
            <w:r w:rsidRPr="00F5205B">
              <w:rPr>
                <w:b/>
                <w:bCs/>
                <w:color w:val="000000"/>
                <w:sz w:val="20"/>
                <w:szCs w:val="20"/>
              </w:rPr>
              <w:t>Celkem %</w:t>
            </w:r>
          </w:p>
        </w:tc>
        <w:tc>
          <w:tcPr>
            <w:tcW w:w="1497" w:type="dxa"/>
            <w:tcBorders>
              <w:top w:val="nil"/>
              <w:left w:val="nil"/>
              <w:bottom w:val="single" w:sz="4" w:space="0" w:color="auto"/>
              <w:right w:val="single" w:sz="4" w:space="0" w:color="auto"/>
            </w:tcBorders>
            <w:shd w:val="clear" w:color="000000" w:fill="D9D9D9"/>
            <w:noWrap/>
            <w:vAlign w:val="bottom"/>
            <w:hideMark/>
          </w:tcPr>
          <w:p w14:paraId="7BDBF419" w14:textId="77777777" w:rsidR="008A5F90" w:rsidRPr="00F5205B" w:rsidRDefault="008A5F90" w:rsidP="00D853A9">
            <w:pPr>
              <w:jc w:val="right"/>
              <w:rPr>
                <w:b/>
                <w:bCs/>
                <w:color w:val="000000"/>
                <w:sz w:val="20"/>
                <w:szCs w:val="20"/>
              </w:rPr>
            </w:pPr>
            <w:r>
              <w:rPr>
                <w:b/>
                <w:bCs/>
                <w:color w:val="000000"/>
                <w:sz w:val="20"/>
                <w:szCs w:val="20"/>
              </w:rPr>
              <w:t>x</w:t>
            </w:r>
            <w:r w:rsidRPr="00F5205B">
              <w:rPr>
                <w:b/>
                <w:bCs/>
                <w:color w:val="000000"/>
                <w:sz w:val="20"/>
                <w:szCs w:val="20"/>
              </w:rPr>
              <w:t>%</w:t>
            </w:r>
          </w:p>
        </w:tc>
        <w:tc>
          <w:tcPr>
            <w:tcW w:w="1114" w:type="dxa"/>
            <w:tcBorders>
              <w:top w:val="nil"/>
              <w:left w:val="nil"/>
              <w:bottom w:val="single" w:sz="4" w:space="0" w:color="auto"/>
              <w:right w:val="single" w:sz="4" w:space="0" w:color="auto"/>
            </w:tcBorders>
            <w:shd w:val="clear" w:color="000000" w:fill="D9D9D9"/>
            <w:noWrap/>
            <w:vAlign w:val="bottom"/>
            <w:hideMark/>
          </w:tcPr>
          <w:p w14:paraId="40304BC2" w14:textId="77777777" w:rsidR="008A5F90" w:rsidRPr="00F5205B" w:rsidRDefault="008A5F90" w:rsidP="00D853A9">
            <w:pPr>
              <w:jc w:val="right"/>
              <w:rPr>
                <w:b/>
                <w:bCs/>
                <w:color w:val="000000"/>
                <w:sz w:val="20"/>
                <w:szCs w:val="20"/>
              </w:rPr>
            </w:pPr>
            <w:r>
              <w:rPr>
                <w:b/>
                <w:bCs/>
                <w:color w:val="000000"/>
                <w:sz w:val="20"/>
                <w:szCs w:val="20"/>
              </w:rPr>
              <w:t>x</w:t>
            </w:r>
            <w:r w:rsidRPr="00F5205B">
              <w:rPr>
                <w:b/>
                <w:bCs/>
                <w:color w:val="000000"/>
                <w:sz w:val="20"/>
                <w:szCs w:val="20"/>
              </w:rPr>
              <w:t>%</w:t>
            </w:r>
          </w:p>
        </w:tc>
        <w:tc>
          <w:tcPr>
            <w:tcW w:w="1409" w:type="dxa"/>
            <w:tcBorders>
              <w:top w:val="nil"/>
              <w:left w:val="nil"/>
              <w:bottom w:val="single" w:sz="4" w:space="0" w:color="auto"/>
              <w:right w:val="single" w:sz="4" w:space="0" w:color="auto"/>
            </w:tcBorders>
            <w:shd w:val="clear" w:color="000000" w:fill="D9D9D9"/>
            <w:noWrap/>
            <w:vAlign w:val="bottom"/>
            <w:hideMark/>
          </w:tcPr>
          <w:p w14:paraId="17D721E1" w14:textId="77777777" w:rsidR="008A5F90" w:rsidRPr="00F5205B" w:rsidRDefault="008A5F90" w:rsidP="00D853A9">
            <w:pPr>
              <w:jc w:val="right"/>
              <w:rPr>
                <w:b/>
                <w:bCs/>
                <w:color w:val="000000"/>
                <w:sz w:val="20"/>
                <w:szCs w:val="20"/>
              </w:rPr>
            </w:pPr>
            <w:r>
              <w:rPr>
                <w:b/>
                <w:bCs/>
                <w:color w:val="000000"/>
                <w:sz w:val="20"/>
                <w:szCs w:val="20"/>
              </w:rPr>
              <w:t>x</w:t>
            </w:r>
            <w:r w:rsidRPr="00F5205B">
              <w:rPr>
                <w:b/>
                <w:bCs/>
                <w:color w:val="000000"/>
                <w:sz w:val="20"/>
                <w:szCs w:val="20"/>
              </w:rPr>
              <w:t>%</w:t>
            </w:r>
          </w:p>
        </w:tc>
        <w:tc>
          <w:tcPr>
            <w:tcW w:w="1259" w:type="dxa"/>
            <w:tcBorders>
              <w:top w:val="nil"/>
              <w:left w:val="nil"/>
              <w:bottom w:val="single" w:sz="4" w:space="0" w:color="auto"/>
              <w:right w:val="single" w:sz="4" w:space="0" w:color="auto"/>
            </w:tcBorders>
            <w:shd w:val="clear" w:color="000000" w:fill="D9D9D9"/>
            <w:noWrap/>
            <w:vAlign w:val="bottom"/>
            <w:hideMark/>
          </w:tcPr>
          <w:p w14:paraId="333B6465" w14:textId="77777777" w:rsidR="008A5F90" w:rsidRPr="00F5205B" w:rsidRDefault="008A5F90" w:rsidP="00D853A9">
            <w:pPr>
              <w:jc w:val="right"/>
              <w:rPr>
                <w:b/>
                <w:bCs/>
                <w:color w:val="000000"/>
                <w:sz w:val="20"/>
                <w:szCs w:val="20"/>
              </w:rPr>
            </w:pPr>
            <w:r>
              <w:rPr>
                <w:b/>
                <w:bCs/>
                <w:color w:val="000000"/>
                <w:sz w:val="20"/>
                <w:szCs w:val="20"/>
              </w:rPr>
              <w:t>x</w:t>
            </w:r>
            <w:r w:rsidRPr="00F5205B">
              <w:rPr>
                <w:b/>
                <w:bCs/>
                <w:color w:val="000000"/>
                <w:sz w:val="20"/>
                <w:szCs w:val="20"/>
              </w:rPr>
              <w:t>%</w:t>
            </w:r>
          </w:p>
        </w:tc>
        <w:tc>
          <w:tcPr>
            <w:tcW w:w="1184" w:type="dxa"/>
            <w:tcBorders>
              <w:top w:val="nil"/>
              <w:left w:val="nil"/>
              <w:bottom w:val="single" w:sz="4" w:space="0" w:color="auto"/>
              <w:right w:val="single" w:sz="4" w:space="0" w:color="auto"/>
            </w:tcBorders>
            <w:shd w:val="clear" w:color="000000" w:fill="D9D9D9"/>
            <w:noWrap/>
            <w:vAlign w:val="bottom"/>
            <w:hideMark/>
          </w:tcPr>
          <w:p w14:paraId="08873E40" w14:textId="77777777" w:rsidR="008A5F90" w:rsidRPr="00F5205B" w:rsidRDefault="008A5F90" w:rsidP="00D853A9">
            <w:pPr>
              <w:jc w:val="right"/>
              <w:rPr>
                <w:b/>
                <w:bCs/>
                <w:color w:val="000000"/>
                <w:sz w:val="20"/>
                <w:szCs w:val="20"/>
              </w:rPr>
            </w:pPr>
            <w:r>
              <w:rPr>
                <w:b/>
                <w:bCs/>
                <w:color w:val="000000"/>
                <w:sz w:val="20"/>
                <w:szCs w:val="20"/>
              </w:rPr>
              <w:t>x</w:t>
            </w:r>
            <w:r w:rsidRPr="00F5205B">
              <w:rPr>
                <w:b/>
                <w:bCs/>
                <w:color w:val="000000"/>
                <w:sz w:val="20"/>
                <w:szCs w:val="20"/>
              </w:rPr>
              <w:t>%</w:t>
            </w:r>
          </w:p>
        </w:tc>
        <w:tc>
          <w:tcPr>
            <w:tcW w:w="1052" w:type="dxa"/>
            <w:tcBorders>
              <w:top w:val="nil"/>
              <w:left w:val="nil"/>
              <w:bottom w:val="single" w:sz="4" w:space="0" w:color="auto"/>
              <w:right w:val="single" w:sz="4" w:space="0" w:color="auto"/>
            </w:tcBorders>
            <w:shd w:val="clear" w:color="000000" w:fill="D9D9D9"/>
            <w:noWrap/>
            <w:vAlign w:val="bottom"/>
            <w:hideMark/>
          </w:tcPr>
          <w:p w14:paraId="476BE2A2" w14:textId="77777777" w:rsidR="008A5F90" w:rsidRPr="00F5205B" w:rsidRDefault="008A5F90" w:rsidP="00D853A9">
            <w:pPr>
              <w:jc w:val="right"/>
              <w:rPr>
                <w:b/>
                <w:bCs/>
                <w:color w:val="000000"/>
                <w:sz w:val="20"/>
                <w:szCs w:val="20"/>
              </w:rPr>
            </w:pPr>
            <w:r>
              <w:rPr>
                <w:b/>
                <w:bCs/>
                <w:color w:val="000000"/>
                <w:sz w:val="20"/>
                <w:szCs w:val="20"/>
              </w:rPr>
              <w:t>x</w:t>
            </w:r>
            <w:r w:rsidRPr="00F5205B">
              <w:rPr>
                <w:b/>
                <w:bCs/>
                <w:color w:val="000000"/>
                <w:sz w:val="20"/>
                <w:szCs w:val="20"/>
              </w:rPr>
              <w:t>%</w:t>
            </w:r>
          </w:p>
        </w:tc>
      </w:tr>
    </w:tbl>
    <w:p w14:paraId="53179CC8" w14:textId="77777777" w:rsidR="008A5F90" w:rsidRDefault="008A5F90" w:rsidP="00354882">
      <w:pPr>
        <w:pStyle w:val="Seznam"/>
        <w:numPr>
          <w:ilvl w:val="0"/>
          <w:numId w:val="0"/>
        </w:numPr>
        <w:rPr>
          <w:rStyle w:val="Siln"/>
          <w:b w:val="0"/>
        </w:rPr>
      </w:pPr>
    </w:p>
    <w:p w14:paraId="4BE67FB2" w14:textId="77777777" w:rsidR="008A5F90" w:rsidRPr="008A5F90" w:rsidRDefault="008A5F90" w:rsidP="00354882">
      <w:pPr>
        <w:pStyle w:val="Seznam"/>
        <w:numPr>
          <w:ilvl w:val="0"/>
          <w:numId w:val="0"/>
        </w:numPr>
        <w:rPr>
          <w:rStyle w:val="Siln"/>
          <w:b w:val="0"/>
        </w:rPr>
      </w:pPr>
    </w:p>
    <w:p w14:paraId="64BD9DBD" w14:textId="77777777" w:rsidR="00354882" w:rsidRPr="008A5F90" w:rsidRDefault="00354882" w:rsidP="00354882">
      <w:pPr>
        <w:pStyle w:val="Seznam"/>
        <w:numPr>
          <w:ilvl w:val="0"/>
          <w:numId w:val="0"/>
        </w:numPr>
        <w:pBdr>
          <w:top w:val="single" w:sz="4" w:space="0" w:color="auto"/>
          <w:left w:val="single" w:sz="4" w:space="4" w:color="auto"/>
          <w:bottom w:val="single" w:sz="4" w:space="1" w:color="auto"/>
          <w:right w:val="single" w:sz="4" w:space="4" w:color="auto"/>
        </w:pBdr>
        <w:ind w:left="567" w:hanging="567"/>
        <w:rPr>
          <w:rStyle w:val="Siln"/>
          <w:b w:val="0"/>
        </w:rPr>
      </w:pPr>
      <w:r w:rsidRPr="008A5F90">
        <w:rPr>
          <w:rStyle w:val="Siln"/>
          <w:b w:val="0"/>
        </w:rPr>
        <w:lastRenderedPageBreak/>
        <w:t>Komentář</w:t>
      </w:r>
    </w:p>
    <w:p w14:paraId="59593FD7" w14:textId="77777777" w:rsidR="00354882" w:rsidRPr="00D853A9" w:rsidRDefault="00354882" w:rsidP="00354882">
      <w:pPr>
        <w:pStyle w:val="Seznam"/>
        <w:numPr>
          <w:ilvl w:val="0"/>
          <w:numId w:val="0"/>
        </w:numPr>
        <w:pBdr>
          <w:top w:val="single" w:sz="4" w:space="0" w:color="auto"/>
          <w:left w:val="single" w:sz="4" w:space="4" w:color="auto"/>
          <w:bottom w:val="single" w:sz="4" w:space="1" w:color="auto"/>
          <w:right w:val="single" w:sz="4" w:space="4" w:color="auto"/>
        </w:pBdr>
        <w:rPr>
          <w:rStyle w:val="Siln"/>
        </w:rPr>
      </w:pPr>
      <w:r w:rsidRPr="008A5F90">
        <w:rPr>
          <w:rStyle w:val="Siln"/>
          <w:b w:val="0"/>
        </w:rPr>
        <w:t>Jednotlivé principy vycházejí z </w:t>
      </w:r>
      <w:hyperlink r:id="rId22" w:history="1">
        <w:r w:rsidRPr="00D853A9">
          <w:rPr>
            <w:rStyle w:val="Hypertextovodkaz"/>
          </w:rPr>
          <w:t>Obecného komentáře</w:t>
        </w:r>
      </w:hyperlink>
      <w:r w:rsidRPr="00D853A9">
        <w:rPr>
          <w:rStyle w:val="Siln"/>
        </w:rPr>
        <w:t xml:space="preserve"> </w:t>
      </w:r>
      <w:r w:rsidRPr="00D853A9">
        <w:rPr>
          <w:rStyle w:val="Siln"/>
          <w:b w:val="0"/>
        </w:rPr>
        <w:t>Výboru OSN k článku 12 a</w:t>
      </w:r>
      <w:r w:rsidRPr="00D853A9">
        <w:rPr>
          <w:rStyle w:val="Siln"/>
        </w:rPr>
        <w:t xml:space="preserve"> </w:t>
      </w:r>
      <w:hyperlink r:id="rId23" w:history="1">
        <w:r w:rsidRPr="00D853A9">
          <w:rPr>
            <w:rStyle w:val="Hypertextovodkaz"/>
          </w:rPr>
          <w:t>publikace Evropské sítě národních lidskoprávních institucí (ENNHR) o implementaci podporovaném rozhodování</w:t>
        </w:r>
      </w:hyperlink>
      <w:r w:rsidRPr="00D853A9">
        <w:rPr>
          <w:rStyle w:val="Siln"/>
        </w:rPr>
        <w:t xml:space="preserve">.  </w:t>
      </w:r>
    </w:p>
    <w:p w14:paraId="4FF2EF53" w14:textId="77777777" w:rsidR="00354882" w:rsidRPr="008A5F90" w:rsidRDefault="00354882" w:rsidP="00354882">
      <w:pPr>
        <w:pStyle w:val="Seznam"/>
        <w:numPr>
          <w:ilvl w:val="0"/>
          <w:numId w:val="0"/>
        </w:numPr>
        <w:pBdr>
          <w:top w:val="single" w:sz="4" w:space="0" w:color="auto"/>
          <w:left w:val="single" w:sz="4" w:space="4" w:color="auto"/>
          <w:bottom w:val="single" w:sz="4" w:space="1" w:color="auto"/>
          <w:right w:val="single" w:sz="4" w:space="4" w:color="auto"/>
        </w:pBdr>
        <w:rPr>
          <w:rStyle w:val="Siln"/>
          <w:b w:val="0"/>
        </w:rPr>
      </w:pPr>
      <w:r w:rsidRPr="008A5F90">
        <w:rPr>
          <w:rStyle w:val="Siln"/>
          <w:b w:val="0"/>
        </w:rPr>
        <w:t xml:space="preserve">Naplnění principů se posuzuje na základě právní úpravy účinné za sledované období, v případě, že právní úprava není jasná, lze připojit také slovní hodnocení. </w:t>
      </w:r>
    </w:p>
    <w:p w14:paraId="35D42349" w14:textId="77777777" w:rsidR="00354882" w:rsidRPr="008A5F90" w:rsidRDefault="00354882" w:rsidP="00354882">
      <w:pPr>
        <w:pStyle w:val="Seznam"/>
        <w:numPr>
          <w:ilvl w:val="0"/>
          <w:numId w:val="0"/>
        </w:numPr>
        <w:pBdr>
          <w:top w:val="single" w:sz="4" w:space="0" w:color="auto"/>
          <w:left w:val="single" w:sz="4" w:space="4" w:color="auto"/>
          <w:bottom w:val="single" w:sz="4" w:space="1" w:color="auto"/>
          <w:right w:val="single" w:sz="4" w:space="4" w:color="auto"/>
        </w:pBdr>
        <w:rPr>
          <w:rStyle w:val="Siln"/>
          <w:b w:val="0"/>
        </w:rPr>
      </w:pPr>
      <w:r w:rsidRPr="008A5F90">
        <w:rPr>
          <w:rStyle w:val="Siln"/>
          <w:b w:val="0"/>
        </w:rPr>
        <w:t>Do hodnocení se počítá pouze existence principu v právní úpravě, nikoliv kvalitativní hledisko (nakolik je princip také dodržován v praxi).</w:t>
      </w:r>
    </w:p>
    <w:p w14:paraId="265A8315" w14:textId="77777777" w:rsidR="00354882" w:rsidRPr="008A5F90" w:rsidRDefault="00354882" w:rsidP="00354882">
      <w:pPr>
        <w:pStyle w:val="Seznam"/>
        <w:numPr>
          <w:ilvl w:val="0"/>
          <w:numId w:val="0"/>
        </w:numPr>
        <w:pBdr>
          <w:top w:val="single" w:sz="4" w:space="0" w:color="auto"/>
          <w:left w:val="single" w:sz="4" w:space="4" w:color="auto"/>
          <w:bottom w:val="single" w:sz="4" w:space="1" w:color="auto"/>
          <w:right w:val="single" w:sz="4" w:space="4" w:color="auto"/>
        </w:pBdr>
        <w:rPr>
          <w:rStyle w:val="Siln"/>
          <w:b w:val="0"/>
        </w:rPr>
      </w:pPr>
      <w:r w:rsidRPr="008A5F90">
        <w:rPr>
          <w:rStyle w:val="Siln"/>
          <w:b w:val="0"/>
        </w:rPr>
        <w:t xml:space="preserve">Výčet jednotlivých nástrojů není konečný, je možné jej doplňovat v případě, že bude dostupný nový nástroj podpory. </w:t>
      </w:r>
    </w:p>
    <w:p w14:paraId="7963951E" w14:textId="77777777" w:rsidR="00354882" w:rsidRPr="008A5F90" w:rsidRDefault="00354882" w:rsidP="00354882">
      <w:pPr>
        <w:rPr>
          <w:rStyle w:val="Siln"/>
          <w:b w:val="0"/>
        </w:rPr>
      </w:pPr>
    </w:p>
    <w:p w14:paraId="7C5C8D97" w14:textId="77777777" w:rsidR="00354882" w:rsidRPr="00354882" w:rsidRDefault="00354882" w:rsidP="00354882">
      <w:pPr>
        <w:rPr>
          <w:rStyle w:val="Siln"/>
          <w:b w:val="0"/>
        </w:rPr>
      </w:pPr>
      <w:r w:rsidRPr="008A5F90">
        <w:rPr>
          <w:rStyle w:val="Siln"/>
          <w:b w:val="0"/>
        </w:rPr>
        <w:t>Progres v implementaci čl. 12 Úmluvy:</w:t>
      </w:r>
    </w:p>
    <w:p w14:paraId="05B0D711" w14:textId="77777777" w:rsidR="008D52DC" w:rsidRPr="00D853A9" w:rsidRDefault="00354882" w:rsidP="008A5F90">
      <w:pPr>
        <w:pStyle w:val="Seznam"/>
        <w:rPr>
          <w:rStyle w:val="Siln"/>
          <w:b w:val="0"/>
          <w:bCs w:val="0"/>
        </w:rPr>
      </w:pPr>
      <w:r w:rsidRPr="00354882">
        <w:t xml:space="preserve">Zvyšuje </w:t>
      </w:r>
      <w:r w:rsidRPr="00354882">
        <w:rPr>
          <w:rStyle w:val="Siln"/>
          <w:b w:val="0"/>
        </w:rPr>
        <w:t>se míra souladu s článkem 12</w:t>
      </w:r>
      <w:r w:rsidR="008A5F90">
        <w:rPr>
          <w:rStyle w:val="Siln"/>
          <w:b w:val="0"/>
        </w:rPr>
        <w:t xml:space="preserve"> Úmluvy (skóre se zvyšuje</w:t>
      </w:r>
      <w:r w:rsidR="00D853A9">
        <w:rPr>
          <w:rStyle w:val="Siln"/>
          <w:b w:val="0"/>
        </w:rPr>
        <w:t xml:space="preserve"> k hodnotě 48</w:t>
      </w:r>
      <w:r w:rsidR="008A5F90">
        <w:rPr>
          <w:rStyle w:val="Siln"/>
          <w:b w:val="0"/>
        </w:rPr>
        <w:t>)</w:t>
      </w:r>
      <w:r w:rsidR="00D853A9">
        <w:rPr>
          <w:rStyle w:val="Siln"/>
          <w:b w:val="0"/>
        </w:rPr>
        <w:t>.</w:t>
      </w:r>
    </w:p>
    <w:p w14:paraId="6C37485E" w14:textId="77777777" w:rsidR="00D853A9" w:rsidRDefault="00D853A9" w:rsidP="00D853A9">
      <w:pPr>
        <w:pStyle w:val="Seznam"/>
        <w:numPr>
          <w:ilvl w:val="0"/>
          <w:numId w:val="0"/>
        </w:numPr>
        <w:ind w:left="567" w:hanging="567"/>
        <w:rPr>
          <w:rStyle w:val="Siln"/>
          <w:b w:val="0"/>
        </w:rPr>
      </w:pPr>
    </w:p>
    <w:p w14:paraId="1FE029E6" w14:textId="77777777" w:rsidR="00D853A9" w:rsidRDefault="00D853A9" w:rsidP="00D853A9">
      <w:pPr>
        <w:pStyle w:val="Seznam"/>
        <w:numPr>
          <w:ilvl w:val="0"/>
          <w:numId w:val="0"/>
        </w:numPr>
        <w:ind w:left="567" w:hanging="567"/>
        <w:rPr>
          <w:rStyle w:val="Siln"/>
          <w:b w:val="0"/>
        </w:rPr>
      </w:pPr>
    </w:p>
    <w:p w14:paraId="75B417D2" w14:textId="77777777" w:rsidR="00D853A9" w:rsidRDefault="00D853A9" w:rsidP="00D853A9">
      <w:pPr>
        <w:pStyle w:val="Seznam"/>
        <w:numPr>
          <w:ilvl w:val="0"/>
          <w:numId w:val="0"/>
        </w:numPr>
        <w:ind w:left="567" w:hanging="567"/>
        <w:rPr>
          <w:rStyle w:val="Siln"/>
          <w:b w:val="0"/>
        </w:rPr>
      </w:pPr>
    </w:p>
    <w:p w14:paraId="1902C722" w14:textId="77777777" w:rsidR="00D853A9" w:rsidRDefault="00D853A9" w:rsidP="00D853A9">
      <w:pPr>
        <w:pStyle w:val="Seznam"/>
        <w:numPr>
          <w:ilvl w:val="0"/>
          <w:numId w:val="0"/>
        </w:numPr>
        <w:ind w:left="567" w:hanging="567"/>
        <w:rPr>
          <w:rStyle w:val="Siln"/>
          <w:b w:val="0"/>
        </w:rPr>
      </w:pPr>
    </w:p>
    <w:p w14:paraId="1A9E0FF0" w14:textId="77777777" w:rsidR="00D853A9" w:rsidRDefault="00D853A9" w:rsidP="00D853A9">
      <w:pPr>
        <w:pStyle w:val="Seznam"/>
        <w:numPr>
          <w:ilvl w:val="0"/>
          <w:numId w:val="0"/>
        </w:numPr>
        <w:ind w:left="567" w:hanging="567"/>
        <w:rPr>
          <w:rStyle w:val="Siln"/>
          <w:b w:val="0"/>
        </w:rPr>
      </w:pPr>
    </w:p>
    <w:p w14:paraId="3CD62096" w14:textId="77777777" w:rsidR="00D853A9" w:rsidRDefault="00D853A9" w:rsidP="00D853A9">
      <w:pPr>
        <w:pStyle w:val="Seznam"/>
        <w:numPr>
          <w:ilvl w:val="0"/>
          <w:numId w:val="0"/>
        </w:numPr>
        <w:ind w:left="567" w:hanging="567"/>
        <w:rPr>
          <w:rStyle w:val="Siln"/>
          <w:b w:val="0"/>
        </w:rPr>
      </w:pPr>
    </w:p>
    <w:p w14:paraId="7DACEF62" w14:textId="77777777" w:rsidR="00D853A9" w:rsidRDefault="00D853A9" w:rsidP="00D853A9">
      <w:pPr>
        <w:pStyle w:val="Seznam"/>
        <w:numPr>
          <w:ilvl w:val="0"/>
          <w:numId w:val="0"/>
        </w:numPr>
        <w:ind w:left="567" w:hanging="567"/>
        <w:rPr>
          <w:rStyle w:val="Siln"/>
          <w:b w:val="0"/>
        </w:rPr>
      </w:pPr>
    </w:p>
    <w:p w14:paraId="6E687B15" w14:textId="77777777" w:rsidR="00D853A9" w:rsidRDefault="00D853A9" w:rsidP="00D853A9">
      <w:pPr>
        <w:pStyle w:val="Seznam"/>
        <w:numPr>
          <w:ilvl w:val="0"/>
          <w:numId w:val="0"/>
        </w:numPr>
        <w:ind w:left="567" w:hanging="567"/>
        <w:rPr>
          <w:rStyle w:val="Siln"/>
          <w:b w:val="0"/>
        </w:rPr>
      </w:pPr>
    </w:p>
    <w:p w14:paraId="3946D7D4" w14:textId="77777777" w:rsidR="00D853A9" w:rsidRDefault="00D853A9" w:rsidP="00D853A9">
      <w:pPr>
        <w:pStyle w:val="Seznam"/>
        <w:numPr>
          <w:ilvl w:val="0"/>
          <w:numId w:val="0"/>
        </w:numPr>
        <w:ind w:left="567" w:hanging="567"/>
        <w:rPr>
          <w:rStyle w:val="Siln"/>
          <w:b w:val="0"/>
        </w:rPr>
      </w:pPr>
    </w:p>
    <w:p w14:paraId="6DD2BBF3" w14:textId="77777777" w:rsidR="00D853A9" w:rsidRDefault="00D853A9" w:rsidP="00D853A9">
      <w:pPr>
        <w:pStyle w:val="Seznam"/>
        <w:numPr>
          <w:ilvl w:val="0"/>
          <w:numId w:val="0"/>
        </w:numPr>
        <w:ind w:left="567" w:hanging="567"/>
        <w:rPr>
          <w:rStyle w:val="Siln"/>
          <w:b w:val="0"/>
        </w:rPr>
      </w:pPr>
    </w:p>
    <w:p w14:paraId="4881549C" w14:textId="77777777" w:rsidR="00D853A9" w:rsidRDefault="00D853A9" w:rsidP="00D853A9">
      <w:pPr>
        <w:pStyle w:val="Seznam"/>
        <w:numPr>
          <w:ilvl w:val="0"/>
          <w:numId w:val="0"/>
        </w:numPr>
        <w:ind w:left="567" w:hanging="567"/>
        <w:rPr>
          <w:rStyle w:val="Siln"/>
          <w:b w:val="0"/>
        </w:rPr>
      </w:pPr>
    </w:p>
    <w:p w14:paraId="2497BDEA" w14:textId="77777777" w:rsidR="00D853A9" w:rsidRDefault="00D853A9" w:rsidP="00D853A9">
      <w:pPr>
        <w:pStyle w:val="Seznam"/>
        <w:numPr>
          <w:ilvl w:val="0"/>
          <w:numId w:val="0"/>
        </w:numPr>
        <w:ind w:left="567" w:hanging="567"/>
        <w:rPr>
          <w:rStyle w:val="Siln"/>
          <w:b w:val="0"/>
        </w:rPr>
      </w:pPr>
    </w:p>
    <w:p w14:paraId="6C5D7A4B" w14:textId="77777777" w:rsidR="00D853A9" w:rsidRDefault="00D853A9" w:rsidP="00D853A9">
      <w:pPr>
        <w:pStyle w:val="Seznam"/>
        <w:numPr>
          <w:ilvl w:val="0"/>
          <w:numId w:val="0"/>
        </w:numPr>
        <w:ind w:left="567" w:hanging="567"/>
        <w:rPr>
          <w:rStyle w:val="Siln"/>
          <w:b w:val="0"/>
        </w:rPr>
      </w:pPr>
    </w:p>
    <w:p w14:paraId="5929899A" w14:textId="77777777" w:rsidR="00D853A9" w:rsidRDefault="00D853A9" w:rsidP="00D853A9">
      <w:pPr>
        <w:pStyle w:val="Seznam"/>
        <w:numPr>
          <w:ilvl w:val="0"/>
          <w:numId w:val="0"/>
        </w:numPr>
        <w:ind w:left="567" w:hanging="567"/>
        <w:rPr>
          <w:rStyle w:val="Siln"/>
          <w:b w:val="0"/>
        </w:rPr>
      </w:pPr>
    </w:p>
    <w:p w14:paraId="2990CA9D" w14:textId="77777777" w:rsidR="00D853A9" w:rsidRDefault="00D853A9" w:rsidP="00D853A9">
      <w:pPr>
        <w:pStyle w:val="Seznam"/>
        <w:numPr>
          <w:ilvl w:val="0"/>
          <w:numId w:val="0"/>
        </w:numPr>
        <w:ind w:left="567" w:hanging="567"/>
        <w:rPr>
          <w:rStyle w:val="Siln"/>
          <w:b w:val="0"/>
        </w:rPr>
      </w:pPr>
    </w:p>
    <w:p w14:paraId="32B9B191" w14:textId="77777777" w:rsidR="00D853A9" w:rsidRDefault="00D853A9" w:rsidP="00D853A9">
      <w:pPr>
        <w:pStyle w:val="Seznam"/>
        <w:numPr>
          <w:ilvl w:val="0"/>
          <w:numId w:val="0"/>
        </w:numPr>
        <w:ind w:left="567" w:hanging="567"/>
        <w:rPr>
          <w:rStyle w:val="Siln"/>
          <w:b w:val="0"/>
        </w:rPr>
      </w:pPr>
    </w:p>
    <w:p w14:paraId="18DDDAED" w14:textId="77777777" w:rsidR="00D853A9" w:rsidRDefault="00D853A9" w:rsidP="00D853A9">
      <w:pPr>
        <w:pStyle w:val="Seznam"/>
        <w:numPr>
          <w:ilvl w:val="0"/>
          <w:numId w:val="0"/>
        </w:numPr>
        <w:ind w:left="567" w:hanging="567"/>
        <w:rPr>
          <w:rStyle w:val="Siln"/>
          <w:b w:val="0"/>
        </w:rPr>
      </w:pPr>
    </w:p>
    <w:p w14:paraId="12246202" w14:textId="77777777" w:rsidR="00D853A9" w:rsidRPr="004D4535" w:rsidRDefault="00D853A9" w:rsidP="004D4535">
      <w:pPr>
        <w:pStyle w:val="Nadpis3"/>
        <w:rPr>
          <w:rStyle w:val="Siln"/>
          <w:b w:val="0"/>
          <w:bCs w:val="0"/>
        </w:rPr>
      </w:pPr>
      <w:bookmarkStart w:id="32" w:name="_Toc81417433"/>
      <w:r w:rsidRPr="004D4535">
        <w:rPr>
          <w:rStyle w:val="Siln"/>
          <w:b w:val="0"/>
          <w:bCs w:val="0"/>
        </w:rPr>
        <w:lastRenderedPageBreak/>
        <w:t>Existují efektivní nástroje pro předběžný projev vůle</w:t>
      </w:r>
      <w:bookmarkEnd w:id="32"/>
    </w:p>
    <w:p w14:paraId="18D0AB24" w14:textId="77777777" w:rsidR="00D853A9" w:rsidRPr="00D853A9" w:rsidRDefault="00D853A9" w:rsidP="00D853A9">
      <w:pPr>
        <w:pStyle w:val="Seznam"/>
        <w:numPr>
          <w:ilvl w:val="0"/>
          <w:numId w:val="0"/>
        </w:numPr>
        <w:rPr>
          <w:rStyle w:val="Siln"/>
          <w:b w:val="0"/>
        </w:rPr>
      </w:pPr>
      <w:r w:rsidRPr="00D853A9">
        <w:rPr>
          <w:rStyle w:val="Siln"/>
          <w:b w:val="0"/>
        </w:rPr>
        <w:t>Právní úprava nástroje/nástrojů pro předběžný projev vůle je postavena na těchto principech:</w:t>
      </w:r>
    </w:p>
    <w:p w14:paraId="18423156" w14:textId="77777777" w:rsidR="00D853A9" w:rsidRPr="00F5205B" w:rsidRDefault="00D853A9" w:rsidP="00D853A9">
      <w:pPr>
        <w:pStyle w:val="Seznam"/>
        <w:tabs>
          <w:tab w:val="left" w:pos="567"/>
        </w:tabs>
        <w:spacing w:before="0" w:after="0" w:line="240" w:lineRule="auto"/>
        <w:rPr>
          <w:rStyle w:val="pokyny"/>
          <w:bCs/>
          <w:color w:val="000000" w:themeColor="text1"/>
        </w:rPr>
      </w:pPr>
      <w:r w:rsidRPr="00F5205B">
        <w:rPr>
          <w:rStyle w:val="pokyny"/>
          <w:bCs/>
          <w:color w:val="000000" w:themeColor="text1"/>
        </w:rPr>
        <w:t>Univerzálnost - Předběžný projev vůle je možné učinit ve všech oblastech soukromého života, s výjimkou oblastí, které se týkají jiných osob</w:t>
      </w:r>
    </w:p>
    <w:p w14:paraId="3E6B7EFE" w14:textId="77777777" w:rsidR="00D853A9" w:rsidRPr="00F5205B" w:rsidRDefault="00D853A9" w:rsidP="00D853A9">
      <w:pPr>
        <w:pStyle w:val="Seznam"/>
        <w:tabs>
          <w:tab w:val="left" w:pos="567"/>
        </w:tabs>
        <w:spacing w:before="0" w:after="0" w:line="240" w:lineRule="auto"/>
        <w:rPr>
          <w:rStyle w:val="pokyny"/>
          <w:bCs/>
          <w:color w:val="000000" w:themeColor="text1"/>
        </w:rPr>
      </w:pPr>
      <w:r w:rsidRPr="00F5205B">
        <w:rPr>
          <w:rStyle w:val="pokyny"/>
          <w:bCs/>
          <w:color w:val="000000" w:themeColor="text1"/>
        </w:rPr>
        <w:t xml:space="preserve">Přístupnost - Předběžný projev vůle je přístupný všem bez diskriminace na základě zdravotního postižení, diagnózy či míry svéprávnosti </w:t>
      </w:r>
    </w:p>
    <w:p w14:paraId="3CF3AC71" w14:textId="77777777" w:rsidR="00D853A9" w:rsidRPr="00F5205B" w:rsidRDefault="00D853A9" w:rsidP="00D853A9">
      <w:pPr>
        <w:pStyle w:val="Seznam"/>
        <w:tabs>
          <w:tab w:val="left" w:pos="567"/>
        </w:tabs>
        <w:spacing w:before="0" w:after="0" w:line="240" w:lineRule="auto"/>
        <w:rPr>
          <w:rStyle w:val="pokyny"/>
          <w:bCs/>
          <w:color w:val="000000" w:themeColor="text1"/>
        </w:rPr>
      </w:pPr>
      <w:r w:rsidRPr="00F5205B">
        <w:rPr>
          <w:rStyle w:val="pokyny"/>
          <w:bCs/>
          <w:color w:val="000000" w:themeColor="text1"/>
        </w:rPr>
        <w:t xml:space="preserve">Dostupnost informací a podpory - Jsou dostupné (státem zveřejňované) informace o možnostech předběžného projevu vůle a je podpora pro lidi, kteří si jej přejí učinit </w:t>
      </w:r>
    </w:p>
    <w:p w14:paraId="6B2B408B" w14:textId="77777777" w:rsidR="00D853A9" w:rsidRPr="00F5205B" w:rsidRDefault="00D853A9" w:rsidP="00D853A9">
      <w:pPr>
        <w:pStyle w:val="Seznam"/>
        <w:tabs>
          <w:tab w:val="left" w:pos="567"/>
        </w:tabs>
        <w:spacing w:before="0" w:after="0" w:line="240" w:lineRule="auto"/>
        <w:rPr>
          <w:rStyle w:val="pokyny"/>
          <w:bCs/>
          <w:color w:val="000000" w:themeColor="text1"/>
        </w:rPr>
      </w:pPr>
      <w:r w:rsidRPr="00F5205B">
        <w:rPr>
          <w:rStyle w:val="pokyny"/>
          <w:bCs/>
          <w:color w:val="000000" w:themeColor="text1"/>
        </w:rPr>
        <w:t>Volnost - Člověk, co činí projev vůle, rozhoduje předem o tom, kdy nastane účinek opatření</w:t>
      </w:r>
    </w:p>
    <w:p w14:paraId="7557F7FF" w14:textId="77777777" w:rsidR="00D853A9" w:rsidRDefault="00D853A9" w:rsidP="00D853A9">
      <w:pPr>
        <w:pStyle w:val="Seznam"/>
        <w:tabs>
          <w:tab w:val="left" w:pos="567"/>
        </w:tabs>
        <w:spacing w:before="0" w:after="0" w:line="240" w:lineRule="auto"/>
        <w:rPr>
          <w:rStyle w:val="pokyny"/>
          <w:bCs/>
          <w:color w:val="000000" w:themeColor="text1"/>
        </w:rPr>
      </w:pPr>
      <w:r w:rsidRPr="00F5205B">
        <w:rPr>
          <w:rStyle w:val="pokyny"/>
          <w:bCs/>
          <w:color w:val="000000" w:themeColor="text1"/>
        </w:rPr>
        <w:t>Publicita - Předběžné projevy vůle jsou uloženy v rejstříku, do kterého mají přístup rozhodující osoby</w:t>
      </w:r>
    </w:p>
    <w:p w14:paraId="4AD1FA3B" w14:textId="77777777" w:rsidR="00D853A9" w:rsidRPr="00D853A9" w:rsidRDefault="00D853A9" w:rsidP="00D853A9">
      <w:pPr>
        <w:pStyle w:val="Seznam"/>
        <w:numPr>
          <w:ilvl w:val="0"/>
          <w:numId w:val="0"/>
        </w:numPr>
        <w:rPr>
          <w:rStyle w:val="Siln"/>
          <w:b w:val="0"/>
          <w:bCs w:val="0"/>
          <w:color w:val="000000" w:themeColor="text1"/>
        </w:rPr>
      </w:pPr>
      <w:r w:rsidRPr="00D853A9">
        <w:rPr>
          <w:rStyle w:val="Siln"/>
          <w:b w:val="0"/>
        </w:rPr>
        <w:t>Maximální skóre: 100 %</w:t>
      </w:r>
    </w:p>
    <w:p w14:paraId="7479885D" w14:textId="77777777" w:rsidR="00D853A9" w:rsidRPr="00D853A9" w:rsidRDefault="00D853A9" w:rsidP="00D853A9">
      <w:pPr>
        <w:pStyle w:val="Seznam"/>
        <w:numPr>
          <w:ilvl w:val="0"/>
          <w:numId w:val="0"/>
        </w:numPr>
        <w:rPr>
          <w:rStyle w:val="Siln"/>
          <w:b w:val="0"/>
        </w:rPr>
      </w:pPr>
      <w:r w:rsidRPr="00D853A9">
        <w:rPr>
          <w:rStyle w:val="Siln"/>
          <w:b w:val="0"/>
        </w:rPr>
        <w:t xml:space="preserve">Aktuální skóre: </w:t>
      </w:r>
      <w:r>
        <w:rPr>
          <w:rStyle w:val="Siln"/>
          <w:b w:val="0"/>
        </w:rPr>
        <w:t>x</w:t>
      </w:r>
      <w:r w:rsidRPr="00D853A9">
        <w:rPr>
          <w:rStyle w:val="Siln"/>
          <w:b w:val="0"/>
        </w:rPr>
        <w:t xml:space="preserve"> %</w:t>
      </w:r>
    </w:p>
    <w:p w14:paraId="75715D4E" w14:textId="77777777" w:rsidR="00D853A9" w:rsidRPr="00D853A9" w:rsidRDefault="00D853A9" w:rsidP="00D853A9">
      <w:pPr>
        <w:pStyle w:val="Seznam"/>
        <w:numPr>
          <w:ilvl w:val="0"/>
          <w:numId w:val="0"/>
        </w:numPr>
        <w:rPr>
          <w:rStyle w:val="pokyny"/>
          <w:b/>
          <w:bCs/>
          <w:color w:val="auto"/>
        </w:rPr>
      </w:pPr>
      <w:r w:rsidRPr="00D853A9">
        <w:rPr>
          <w:rStyle w:val="Siln"/>
          <w:b w:val="0"/>
        </w:rPr>
        <w:t>Skóre za jednotlivé nástroje:</w:t>
      </w:r>
    </w:p>
    <w:tbl>
      <w:tblPr>
        <w:tblW w:w="6521" w:type="dxa"/>
        <w:tblInd w:w="704" w:type="dxa"/>
        <w:tblCellMar>
          <w:left w:w="70" w:type="dxa"/>
          <w:right w:w="70" w:type="dxa"/>
        </w:tblCellMar>
        <w:tblLook w:val="04A0" w:firstRow="1" w:lastRow="0" w:firstColumn="1" w:lastColumn="0" w:noHBand="0" w:noVBand="1"/>
      </w:tblPr>
      <w:tblGrid>
        <w:gridCol w:w="2126"/>
        <w:gridCol w:w="1701"/>
        <w:gridCol w:w="1418"/>
        <w:gridCol w:w="1276"/>
      </w:tblGrid>
      <w:tr w:rsidR="00D853A9" w:rsidRPr="00F5205B" w14:paraId="03C8C388" w14:textId="77777777" w:rsidTr="00D853A9">
        <w:trPr>
          <w:trHeight w:val="645"/>
        </w:trPr>
        <w:tc>
          <w:tcPr>
            <w:tcW w:w="21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156D8D" w14:textId="77777777" w:rsidR="00D853A9" w:rsidRPr="00F5205B" w:rsidRDefault="00D853A9" w:rsidP="00D853A9">
            <w:pPr>
              <w:rPr>
                <w:color w:val="000000"/>
                <w:sz w:val="22"/>
                <w:szCs w:val="22"/>
              </w:rPr>
            </w:pPr>
            <w:r w:rsidRPr="00F5205B">
              <w:rPr>
                <w:color w:val="000000"/>
                <w:sz w:val="22"/>
                <w:szCs w:val="22"/>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6188992" w14:textId="77777777" w:rsidR="00D853A9" w:rsidRPr="00F5205B" w:rsidRDefault="00D853A9" w:rsidP="00D853A9">
            <w:pPr>
              <w:rPr>
                <w:b/>
                <w:bCs/>
                <w:color w:val="000000"/>
                <w:sz w:val="22"/>
                <w:szCs w:val="22"/>
              </w:rPr>
            </w:pPr>
            <w:r w:rsidRPr="00F5205B">
              <w:rPr>
                <w:b/>
                <w:bCs/>
                <w:color w:val="000000"/>
                <w:sz w:val="22"/>
                <w:szCs w:val="22"/>
              </w:rPr>
              <w:t>Předběžné prohlášení</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6628D97" w14:textId="77777777" w:rsidR="00D853A9" w:rsidRPr="00F5205B" w:rsidRDefault="00D853A9" w:rsidP="00D853A9">
            <w:pPr>
              <w:rPr>
                <w:b/>
                <w:bCs/>
                <w:color w:val="000000"/>
                <w:sz w:val="22"/>
                <w:szCs w:val="22"/>
              </w:rPr>
            </w:pPr>
            <w:r w:rsidRPr="00F5205B">
              <w:rPr>
                <w:b/>
                <w:bCs/>
                <w:color w:val="000000"/>
                <w:sz w:val="22"/>
                <w:szCs w:val="22"/>
              </w:rPr>
              <w:t>Dříve vyslovené přání</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DDEB4BF" w14:textId="77777777" w:rsidR="00D853A9" w:rsidRPr="00F5205B" w:rsidRDefault="00D853A9" w:rsidP="00D853A9">
            <w:pPr>
              <w:rPr>
                <w:b/>
                <w:bCs/>
                <w:color w:val="000000"/>
                <w:sz w:val="22"/>
                <w:szCs w:val="22"/>
              </w:rPr>
            </w:pPr>
            <w:r w:rsidRPr="00F5205B">
              <w:rPr>
                <w:b/>
                <w:bCs/>
                <w:color w:val="000000"/>
                <w:sz w:val="22"/>
                <w:szCs w:val="22"/>
              </w:rPr>
              <w:t>Celkem</w:t>
            </w:r>
          </w:p>
        </w:tc>
      </w:tr>
      <w:tr w:rsidR="00D853A9" w:rsidRPr="00F5205B" w14:paraId="772FB6CA" w14:textId="77777777" w:rsidTr="00D853A9">
        <w:trPr>
          <w:trHeight w:val="508"/>
        </w:trPr>
        <w:tc>
          <w:tcPr>
            <w:tcW w:w="2126" w:type="dxa"/>
            <w:tcBorders>
              <w:top w:val="nil"/>
              <w:left w:val="single" w:sz="4" w:space="0" w:color="auto"/>
              <w:bottom w:val="single" w:sz="4" w:space="0" w:color="auto"/>
              <w:right w:val="single" w:sz="4" w:space="0" w:color="auto"/>
            </w:tcBorders>
            <w:shd w:val="clear" w:color="auto" w:fill="auto"/>
            <w:vAlign w:val="bottom"/>
            <w:hideMark/>
          </w:tcPr>
          <w:p w14:paraId="4801D81A" w14:textId="77777777" w:rsidR="00D853A9" w:rsidRPr="00F5205B" w:rsidRDefault="00D853A9" w:rsidP="00D853A9">
            <w:pPr>
              <w:rPr>
                <w:bCs/>
                <w:color w:val="000000"/>
                <w:sz w:val="22"/>
                <w:szCs w:val="22"/>
              </w:rPr>
            </w:pPr>
            <w:r w:rsidRPr="00F5205B">
              <w:rPr>
                <w:bCs/>
                <w:color w:val="000000"/>
                <w:sz w:val="22"/>
                <w:szCs w:val="22"/>
              </w:rPr>
              <w:t>Univerzálnost</w:t>
            </w:r>
            <w:r w:rsidRPr="00F5205B">
              <w:rPr>
                <w:rFonts w:ascii="Courier New" w:hAnsi="Courier New" w:cs="Courier New"/>
                <w:bCs/>
                <w:color w:val="000000"/>
                <w:sz w:val="22"/>
                <w:szCs w:val="22"/>
              </w:rPr>
              <w:t>*</w:t>
            </w:r>
          </w:p>
        </w:tc>
        <w:tc>
          <w:tcPr>
            <w:tcW w:w="1701" w:type="dxa"/>
            <w:tcBorders>
              <w:top w:val="nil"/>
              <w:left w:val="nil"/>
              <w:bottom w:val="single" w:sz="4" w:space="0" w:color="auto"/>
              <w:right w:val="single" w:sz="4" w:space="0" w:color="auto"/>
            </w:tcBorders>
            <w:shd w:val="clear" w:color="auto" w:fill="auto"/>
            <w:noWrap/>
            <w:vAlign w:val="bottom"/>
            <w:hideMark/>
          </w:tcPr>
          <w:p w14:paraId="09CC30EB" w14:textId="77777777" w:rsidR="00D853A9" w:rsidRPr="00F5205B" w:rsidRDefault="00D853A9" w:rsidP="00D853A9">
            <w:pPr>
              <w:jc w:val="right"/>
              <w:rPr>
                <w:color w:val="000000"/>
                <w:sz w:val="22"/>
                <w:szCs w:val="22"/>
              </w:rPr>
            </w:pPr>
            <w:r w:rsidRPr="00F5205B">
              <w:rPr>
                <w:color w:val="000000"/>
                <w:sz w:val="22"/>
                <w:szCs w:val="22"/>
              </w:rPr>
              <w:t>x</w:t>
            </w:r>
          </w:p>
        </w:tc>
        <w:tc>
          <w:tcPr>
            <w:tcW w:w="1418" w:type="dxa"/>
            <w:tcBorders>
              <w:top w:val="nil"/>
              <w:left w:val="nil"/>
              <w:bottom w:val="single" w:sz="4" w:space="0" w:color="auto"/>
              <w:right w:val="single" w:sz="4" w:space="0" w:color="auto"/>
            </w:tcBorders>
            <w:shd w:val="clear" w:color="auto" w:fill="auto"/>
            <w:noWrap/>
            <w:vAlign w:val="bottom"/>
            <w:hideMark/>
          </w:tcPr>
          <w:p w14:paraId="797D682E" w14:textId="77777777" w:rsidR="00D853A9" w:rsidRPr="00F5205B" w:rsidRDefault="00D853A9" w:rsidP="00D853A9">
            <w:pPr>
              <w:jc w:val="right"/>
              <w:rPr>
                <w:color w:val="000000"/>
                <w:sz w:val="22"/>
                <w:szCs w:val="22"/>
              </w:rPr>
            </w:pPr>
            <w:r w:rsidRPr="00F5205B">
              <w:rPr>
                <w:color w:val="000000"/>
                <w:sz w:val="22"/>
                <w:szCs w:val="22"/>
              </w:rPr>
              <w:t>x</w:t>
            </w:r>
          </w:p>
        </w:tc>
        <w:tc>
          <w:tcPr>
            <w:tcW w:w="1276" w:type="dxa"/>
            <w:tcBorders>
              <w:top w:val="nil"/>
              <w:left w:val="nil"/>
              <w:bottom w:val="single" w:sz="4" w:space="0" w:color="auto"/>
              <w:right w:val="single" w:sz="4" w:space="0" w:color="auto"/>
            </w:tcBorders>
            <w:shd w:val="clear" w:color="auto" w:fill="auto"/>
            <w:noWrap/>
            <w:vAlign w:val="bottom"/>
            <w:hideMark/>
          </w:tcPr>
          <w:p w14:paraId="5B12B17C" w14:textId="77777777" w:rsidR="00D853A9" w:rsidRPr="00F5205B" w:rsidRDefault="00D853A9" w:rsidP="00D853A9">
            <w:pPr>
              <w:jc w:val="right"/>
              <w:rPr>
                <w:color w:val="000000"/>
                <w:sz w:val="22"/>
                <w:szCs w:val="22"/>
              </w:rPr>
            </w:pPr>
            <w:r>
              <w:rPr>
                <w:color w:val="000000"/>
                <w:sz w:val="22"/>
                <w:szCs w:val="22"/>
              </w:rPr>
              <w:t>x</w:t>
            </w:r>
            <w:r w:rsidRPr="00F5205B">
              <w:rPr>
                <w:color w:val="000000"/>
                <w:sz w:val="22"/>
                <w:szCs w:val="22"/>
              </w:rPr>
              <w:t>%</w:t>
            </w:r>
          </w:p>
        </w:tc>
      </w:tr>
      <w:tr w:rsidR="00D853A9" w:rsidRPr="00F5205B" w14:paraId="5389BEAF" w14:textId="77777777" w:rsidTr="00D853A9">
        <w:trPr>
          <w:trHeight w:val="416"/>
        </w:trPr>
        <w:tc>
          <w:tcPr>
            <w:tcW w:w="2126" w:type="dxa"/>
            <w:tcBorders>
              <w:top w:val="nil"/>
              <w:left w:val="single" w:sz="4" w:space="0" w:color="auto"/>
              <w:bottom w:val="single" w:sz="4" w:space="0" w:color="auto"/>
              <w:right w:val="single" w:sz="4" w:space="0" w:color="auto"/>
            </w:tcBorders>
            <w:shd w:val="clear" w:color="auto" w:fill="auto"/>
            <w:vAlign w:val="bottom"/>
            <w:hideMark/>
          </w:tcPr>
          <w:p w14:paraId="7C844DED" w14:textId="77777777" w:rsidR="00D853A9" w:rsidRPr="00F5205B" w:rsidRDefault="00D853A9" w:rsidP="00D853A9">
            <w:pPr>
              <w:rPr>
                <w:bCs/>
                <w:color w:val="000000"/>
                <w:sz w:val="22"/>
                <w:szCs w:val="22"/>
              </w:rPr>
            </w:pPr>
            <w:r w:rsidRPr="00F5205B">
              <w:rPr>
                <w:bCs/>
                <w:color w:val="000000"/>
                <w:sz w:val="22"/>
                <w:szCs w:val="22"/>
              </w:rPr>
              <w:t>Přístupnost</w:t>
            </w:r>
          </w:p>
        </w:tc>
        <w:tc>
          <w:tcPr>
            <w:tcW w:w="1701" w:type="dxa"/>
            <w:tcBorders>
              <w:top w:val="nil"/>
              <w:left w:val="nil"/>
              <w:bottom w:val="single" w:sz="4" w:space="0" w:color="auto"/>
              <w:right w:val="single" w:sz="4" w:space="0" w:color="auto"/>
            </w:tcBorders>
            <w:shd w:val="clear" w:color="auto" w:fill="auto"/>
            <w:noWrap/>
            <w:vAlign w:val="bottom"/>
            <w:hideMark/>
          </w:tcPr>
          <w:p w14:paraId="7AAE88B0" w14:textId="77777777" w:rsidR="00D853A9" w:rsidRPr="00F5205B" w:rsidRDefault="00D853A9" w:rsidP="00D853A9">
            <w:pPr>
              <w:jc w:val="right"/>
              <w:rPr>
                <w:color w:val="000000"/>
                <w:sz w:val="22"/>
                <w:szCs w:val="22"/>
              </w:rPr>
            </w:pPr>
            <w:r>
              <w:rPr>
                <w:color w:val="000000"/>
                <w:sz w:val="22"/>
                <w:szCs w:val="22"/>
              </w:rPr>
              <w:t>x</w:t>
            </w:r>
          </w:p>
        </w:tc>
        <w:tc>
          <w:tcPr>
            <w:tcW w:w="1418" w:type="dxa"/>
            <w:tcBorders>
              <w:top w:val="nil"/>
              <w:left w:val="nil"/>
              <w:bottom w:val="single" w:sz="4" w:space="0" w:color="auto"/>
              <w:right w:val="single" w:sz="4" w:space="0" w:color="auto"/>
            </w:tcBorders>
            <w:shd w:val="clear" w:color="auto" w:fill="auto"/>
            <w:noWrap/>
            <w:vAlign w:val="bottom"/>
            <w:hideMark/>
          </w:tcPr>
          <w:p w14:paraId="14BEB111" w14:textId="77777777" w:rsidR="00D853A9" w:rsidRPr="00F5205B" w:rsidRDefault="00D853A9" w:rsidP="00D853A9">
            <w:pPr>
              <w:jc w:val="right"/>
              <w:rPr>
                <w:color w:val="000000"/>
                <w:sz w:val="22"/>
                <w:szCs w:val="22"/>
              </w:rPr>
            </w:pPr>
            <w:r>
              <w:rPr>
                <w:color w:val="000000"/>
                <w:sz w:val="22"/>
                <w:szCs w:val="22"/>
              </w:rPr>
              <w:t>x</w:t>
            </w:r>
          </w:p>
        </w:tc>
        <w:tc>
          <w:tcPr>
            <w:tcW w:w="1276" w:type="dxa"/>
            <w:tcBorders>
              <w:top w:val="nil"/>
              <w:left w:val="nil"/>
              <w:bottom w:val="single" w:sz="4" w:space="0" w:color="auto"/>
              <w:right w:val="single" w:sz="4" w:space="0" w:color="auto"/>
            </w:tcBorders>
            <w:shd w:val="clear" w:color="auto" w:fill="auto"/>
            <w:noWrap/>
            <w:vAlign w:val="bottom"/>
            <w:hideMark/>
          </w:tcPr>
          <w:p w14:paraId="729B86A8" w14:textId="77777777" w:rsidR="00D853A9" w:rsidRPr="00F5205B" w:rsidRDefault="00D853A9" w:rsidP="00D853A9">
            <w:pPr>
              <w:jc w:val="right"/>
              <w:rPr>
                <w:color w:val="000000"/>
                <w:sz w:val="22"/>
                <w:szCs w:val="22"/>
              </w:rPr>
            </w:pPr>
            <w:r>
              <w:rPr>
                <w:color w:val="000000"/>
                <w:sz w:val="22"/>
                <w:szCs w:val="22"/>
              </w:rPr>
              <w:t>x</w:t>
            </w:r>
            <w:r w:rsidRPr="00F5205B">
              <w:rPr>
                <w:color w:val="000000"/>
                <w:sz w:val="22"/>
                <w:szCs w:val="22"/>
              </w:rPr>
              <w:t>%</w:t>
            </w:r>
          </w:p>
        </w:tc>
      </w:tr>
      <w:tr w:rsidR="00D853A9" w:rsidRPr="00F5205B" w14:paraId="7CD416EF" w14:textId="77777777" w:rsidTr="00D853A9">
        <w:trPr>
          <w:trHeight w:val="588"/>
        </w:trPr>
        <w:tc>
          <w:tcPr>
            <w:tcW w:w="2126" w:type="dxa"/>
            <w:tcBorders>
              <w:top w:val="nil"/>
              <w:left w:val="single" w:sz="4" w:space="0" w:color="auto"/>
              <w:bottom w:val="single" w:sz="4" w:space="0" w:color="auto"/>
              <w:right w:val="single" w:sz="4" w:space="0" w:color="auto"/>
            </w:tcBorders>
            <w:shd w:val="clear" w:color="auto" w:fill="auto"/>
            <w:vAlign w:val="bottom"/>
            <w:hideMark/>
          </w:tcPr>
          <w:p w14:paraId="66652FE4" w14:textId="77777777" w:rsidR="00D853A9" w:rsidRPr="00F5205B" w:rsidRDefault="00D853A9" w:rsidP="00D853A9">
            <w:pPr>
              <w:rPr>
                <w:bCs/>
                <w:color w:val="000000"/>
                <w:sz w:val="22"/>
                <w:szCs w:val="22"/>
              </w:rPr>
            </w:pPr>
            <w:r w:rsidRPr="00F5205B">
              <w:rPr>
                <w:bCs/>
                <w:color w:val="000000"/>
                <w:sz w:val="22"/>
                <w:szCs w:val="22"/>
              </w:rPr>
              <w:t>Dostupnost informací a podpory</w:t>
            </w:r>
          </w:p>
        </w:tc>
        <w:tc>
          <w:tcPr>
            <w:tcW w:w="1701" w:type="dxa"/>
            <w:tcBorders>
              <w:top w:val="nil"/>
              <w:left w:val="nil"/>
              <w:bottom w:val="single" w:sz="4" w:space="0" w:color="auto"/>
              <w:right w:val="single" w:sz="4" w:space="0" w:color="auto"/>
            </w:tcBorders>
            <w:shd w:val="clear" w:color="auto" w:fill="auto"/>
            <w:noWrap/>
            <w:vAlign w:val="bottom"/>
            <w:hideMark/>
          </w:tcPr>
          <w:p w14:paraId="52EB2262" w14:textId="77777777" w:rsidR="00D853A9" w:rsidRPr="00F5205B" w:rsidRDefault="00D853A9" w:rsidP="00D853A9">
            <w:pPr>
              <w:jc w:val="right"/>
              <w:rPr>
                <w:color w:val="000000"/>
                <w:sz w:val="22"/>
                <w:szCs w:val="22"/>
              </w:rPr>
            </w:pPr>
            <w:r>
              <w:rPr>
                <w:color w:val="000000"/>
                <w:sz w:val="22"/>
                <w:szCs w:val="22"/>
              </w:rPr>
              <w:t>x</w:t>
            </w:r>
          </w:p>
        </w:tc>
        <w:tc>
          <w:tcPr>
            <w:tcW w:w="1418" w:type="dxa"/>
            <w:tcBorders>
              <w:top w:val="nil"/>
              <w:left w:val="nil"/>
              <w:bottom w:val="single" w:sz="4" w:space="0" w:color="auto"/>
              <w:right w:val="single" w:sz="4" w:space="0" w:color="auto"/>
            </w:tcBorders>
            <w:shd w:val="clear" w:color="auto" w:fill="auto"/>
            <w:noWrap/>
            <w:vAlign w:val="bottom"/>
            <w:hideMark/>
          </w:tcPr>
          <w:p w14:paraId="2192DA4D" w14:textId="77777777" w:rsidR="00D853A9" w:rsidRPr="00F5205B" w:rsidRDefault="00D853A9" w:rsidP="00D853A9">
            <w:pPr>
              <w:jc w:val="right"/>
              <w:rPr>
                <w:color w:val="000000"/>
                <w:sz w:val="22"/>
                <w:szCs w:val="22"/>
              </w:rPr>
            </w:pPr>
            <w:r>
              <w:rPr>
                <w:color w:val="000000"/>
                <w:sz w:val="22"/>
                <w:szCs w:val="22"/>
              </w:rPr>
              <w:t>x</w:t>
            </w:r>
          </w:p>
        </w:tc>
        <w:tc>
          <w:tcPr>
            <w:tcW w:w="1276" w:type="dxa"/>
            <w:tcBorders>
              <w:top w:val="nil"/>
              <w:left w:val="nil"/>
              <w:bottom w:val="single" w:sz="4" w:space="0" w:color="auto"/>
              <w:right w:val="single" w:sz="4" w:space="0" w:color="auto"/>
            </w:tcBorders>
            <w:shd w:val="clear" w:color="auto" w:fill="auto"/>
            <w:noWrap/>
            <w:vAlign w:val="bottom"/>
            <w:hideMark/>
          </w:tcPr>
          <w:p w14:paraId="19CD8781" w14:textId="77777777" w:rsidR="00D853A9" w:rsidRPr="00F5205B" w:rsidRDefault="00D853A9" w:rsidP="00D853A9">
            <w:pPr>
              <w:jc w:val="right"/>
              <w:rPr>
                <w:color w:val="000000"/>
                <w:sz w:val="22"/>
                <w:szCs w:val="22"/>
              </w:rPr>
            </w:pPr>
            <w:r>
              <w:rPr>
                <w:color w:val="000000"/>
                <w:sz w:val="22"/>
                <w:szCs w:val="22"/>
              </w:rPr>
              <w:t>x</w:t>
            </w:r>
            <w:r w:rsidRPr="00F5205B">
              <w:rPr>
                <w:color w:val="000000"/>
                <w:sz w:val="22"/>
                <w:szCs w:val="22"/>
              </w:rPr>
              <w:t>%</w:t>
            </w:r>
          </w:p>
        </w:tc>
      </w:tr>
      <w:tr w:rsidR="00D853A9" w:rsidRPr="00F5205B" w14:paraId="7013565A" w14:textId="77777777" w:rsidTr="00D853A9">
        <w:trPr>
          <w:trHeight w:val="389"/>
        </w:trPr>
        <w:tc>
          <w:tcPr>
            <w:tcW w:w="2126" w:type="dxa"/>
            <w:tcBorders>
              <w:top w:val="nil"/>
              <w:left w:val="single" w:sz="4" w:space="0" w:color="auto"/>
              <w:bottom w:val="single" w:sz="4" w:space="0" w:color="auto"/>
              <w:right w:val="single" w:sz="4" w:space="0" w:color="auto"/>
            </w:tcBorders>
            <w:shd w:val="clear" w:color="auto" w:fill="auto"/>
            <w:vAlign w:val="bottom"/>
            <w:hideMark/>
          </w:tcPr>
          <w:p w14:paraId="6F80BC11" w14:textId="77777777" w:rsidR="00D853A9" w:rsidRPr="00F5205B" w:rsidRDefault="00D853A9" w:rsidP="00D853A9">
            <w:pPr>
              <w:rPr>
                <w:bCs/>
                <w:color w:val="000000"/>
                <w:sz w:val="22"/>
                <w:szCs w:val="22"/>
              </w:rPr>
            </w:pPr>
            <w:r w:rsidRPr="00F5205B">
              <w:rPr>
                <w:bCs/>
                <w:color w:val="000000"/>
                <w:sz w:val="22"/>
                <w:szCs w:val="22"/>
              </w:rPr>
              <w:t>Volnost</w:t>
            </w:r>
          </w:p>
        </w:tc>
        <w:tc>
          <w:tcPr>
            <w:tcW w:w="1701" w:type="dxa"/>
            <w:tcBorders>
              <w:top w:val="nil"/>
              <w:left w:val="nil"/>
              <w:bottom w:val="single" w:sz="4" w:space="0" w:color="auto"/>
              <w:right w:val="single" w:sz="4" w:space="0" w:color="auto"/>
            </w:tcBorders>
            <w:shd w:val="clear" w:color="auto" w:fill="auto"/>
            <w:noWrap/>
            <w:vAlign w:val="bottom"/>
            <w:hideMark/>
          </w:tcPr>
          <w:p w14:paraId="38BBD216" w14:textId="77777777" w:rsidR="00D853A9" w:rsidRPr="00F5205B" w:rsidRDefault="00D853A9" w:rsidP="00D853A9">
            <w:pPr>
              <w:jc w:val="right"/>
              <w:rPr>
                <w:color w:val="000000"/>
                <w:sz w:val="22"/>
                <w:szCs w:val="22"/>
              </w:rPr>
            </w:pPr>
            <w:r>
              <w:rPr>
                <w:color w:val="000000"/>
                <w:sz w:val="22"/>
                <w:szCs w:val="22"/>
              </w:rPr>
              <w:t>x</w:t>
            </w:r>
          </w:p>
        </w:tc>
        <w:tc>
          <w:tcPr>
            <w:tcW w:w="1418" w:type="dxa"/>
            <w:tcBorders>
              <w:top w:val="nil"/>
              <w:left w:val="nil"/>
              <w:bottom w:val="single" w:sz="4" w:space="0" w:color="auto"/>
              <w:right w:val="single" w:sz="4" w:space="0" w:color="auto"/>
            </w:tcBorders>
            <w:shd w:val="clear" w:color="auto" w:fill="auto"/>
            <w:noWrap/>
            <w:vAlign w:val="bottom"/>
            <w:hideMark/>
          </w:tcPr>
          <w:p w14:paraId="18775DDA" w14:textId="77777777" w:rsidR="00D853A9" w:rsidRPr="00F5205B" w:rsidRDefault="00D853A9" w:rsidP="00D853A9">
            <w:pPr>
              <w:jc w:val="right"/>
              <w:rPr>
                <w:color w:val="000000"/>
                <w:sz w:val="22"/>
                <w:szCs w:val="22"/>
              </w:rPr>
            </w:pPr>
            <w:r>
              <w:rPr>
                <w:color w:val="000000"/>
                <w:sz w:val="22"/>
                <w:szCs w:val="22"/>
              </w:rPr>
              <w:t>x</w:t>
            </w:r>
          </w:p>
        </w:tc>
        <w:tc>
          <w:tcPr>
            <w:tcW w:w="1276" w:type="dxa"/>
            <w:tcBorders>
              <w:top w:val="nil"/>
              <w:left w:val="nil"/>
              <w:bottom w:val="single" w:sz="4" w:space="0" w:color="auto"/>
              <w:right w:val="single" w:sz="4" w:space="0" w:color="auto"/>
            </w:tcBorders>
            <w:shd w:val="clear" w:color="auto" w:fill="auto"/>
            <w:noWrap/>
            <w:vAlign w:val="bottom"/>
            <w:hideMark/>
          </w:tcPr>
          <w:p w14:paraId="36582F17" w14:textId="77777777" w:rsidR="00D853A9" w:rsidRPr="00F5205B" w:rsidRDefault="00D853A9" w:rsidP="00D853A9">
            <w:pPr>
              <w:jc w:val="right"/>
              <w:rPr>
                <w:color w:val="000000"/>
                <w:sz w:val="22"/>
                <w:szCs w:val="22"/>
              </w:rPr>
            </w:pPr>
            <w:r>
              <w:rPr>
                <w:color w:val="000000"/>
                <w:sz w:val="22"/>
                <w:szCs w:val="22"/>
              </w:rPr>
              <w:t>x</w:t>
            </w:r>
            <w:r w:rsidRPr="00F5205B">
              <w:rPr>
                <w:color w:val="000000"/>
                <w:sz w:val="22"/>
                <w:szCs w:val="22"/>
              </w:rPr>
              <w:t>%</w:t>
            </w:r>
          </w:p>
        </w:tc>
      </w:tr>
      <w:tr w:rsidR="00D853A9" w:rsidRPr="00F5205B" w14:paraId="600CF768" w14:textId="77777777" w:rsidTr="00D853A9">
        <w:trPr>
          <w:trHeight w:val="409"/>
        </w:trPr>
        <w:tc>
          <w:tcPr>
            <w:tcW w:w="2126" w:type="dxa"/>
            <w:tcBorders>
              <w:top w:val="nil"/>
              <w:left w:val="single" w:sz="4" w:space="0" w:color="auto"/>
              <w:bottom w:val="single" w:sz="4" w:space="0" w:color="auto"/>
              <w:right w:val="single" w:sz="4" w:space="0" w:color="auto"/>
            </w:tcBorders>
            <w:shd w:val="clear" w:color="auto" w:fill="auto"/>
            <w:vAlign w:val="bottom"/>
            <w:hideMark/>
          </w:tcPr>
          <w:p w14:paraId="30E4A219" w14:textId="77777777" w:rsidR="00D853A9" w:rsidRPr="00F5205B" w:rsidRDefault="00D853A9" w:rsidP="00D853A9">
            <w:pPr>
              <w:rPr>
                <w:bCs/>
                <w:color w:val="000000"/>
                <w:sz w:val="22"/>
                <w:szCs w:val="22"/>
              </w:rPr>
            </w:pPr>
            <w:r w:rsidRPr="00F5205B">
              <w:rPr>
                <w:bCs/>
                <w:color w:val="000000"/>
                <w:sz w:val="22"/>
                <w:szCs w:val="22"/>
              </w:rPr>
              <w:t xml:space="preserve">Publicita </w:t>
            </w:r>
          </w:p>
        </w:tc>
        <w:tc>
          <w:tcPr>
            <w:tcW w:w="1701" w:type="dxa"/>
            <w:tcBorders>
              <w:top w:val="nil"/>
              <w:left w:val="nil"/>
              <w:bottom w:val="single" w:sz="4" w:space="0" w:color="auto"/>
              <w:right w:val="single" w:sz="4" w:space="0" w:color="auto"/>
            </w:tcBorders>
            <w:shd w:val="clear" w:color="auto" w:fill="auto"/>
            <w:noWrap/>
            <w:vAlign w:val="bottom"/>
            <w:hideMark/>
          </w:tcPr>
          <w:p w14:paraId="4E2B6608" w14:textId="77777777" w:rsidR="00D853A9" w:rsidRPr="00F5205B" w:rsidRDefault="00D853A9" w:rsidP="00D853A9">
            <w:pPr>
              <w:jc w:val="right"/>
              <w:rPr>
                <w:color w:val="000000"/>
                <w:sz w:val="22"/>
                <w:szCs w:val="22"/>
              </w:rPr>
            </w:pPr>
            <w:r>
              <w:rPr>
                <w:color w:val="000000"/>
                <w:sz w:val="22"/>
                <w:szCs w:val="22"/>
              </w:rPr>
              <w:t>x</w:t>
            </w:r>
          </w:p>
        </w:tc>
        <w:tc>
          <w:tcPr>
            <w:tcW w:w="1418" w:type="dxa"/>
            <w:tcBorders>
              <w:top w:val="nil"/>
              <w:left w:val="nil"/>
              <w:bottom w:val="single" w:sz="4" w:space="0" w:color="auto"/>
              <w:right w:val="single" w:sz="4" w:space="0" w:color="auto"/>
            </w:tcBorders>
            <w:shd w:val="clear" w:color="auto" w:fill="auto"/>
            <w:noWrap/>
            <w:vAlign w:val="bottom"/>
            <w:hideMark/>
          </w:tcPr>
          <w:p w14:paraId="71F62FA6" w14:textId="77777777" w:rsidR="00D853A9" w:rsidRPr="00F5205B" w:rsidRDefault="00D853A9" w:rsidP="00D853A9">
            <w:pPr>
              <w:jc w:val="right"/>
              <w:rPr>
                <w:color w:val="000000"/>
                <w:sz w:val="22"/>
                <w:szCs w:val="22"/>
              </w:rPr>
            </w:pPr>
            <w:r>
              <w:rPr>
                <w:color w:val="000000"/>
                <w:sz w:val="22"/>
                <w:szCs w:val="22"/>
              </w:rPr>
              <w:t>x</w:t>
            </w:r>
          </w:p>
        </w:tc>
        <w:tc>
          <w:tcPr>
            <w:tcW w:w="1276" w:type="dxa"/>
            <w:tcBorders>
              <w:top w:val="nil"/>
              <w:left w:val="nil"/>
              <w:bottom w:val="single" w:sz="4" w:space="0" w:color="auto"/>
              <w:right w:val="single" w:sz="4" w:space="0" w:color="auto"/>
            </w:tcBorders>
            <w:shd w:val="clear" w:color="auto" w:fill="auto"/>
            <w:noWrap/>
            <w:vAlign w:val="bottom"/>
            <w:hideMark/>
          </w:tcPr>
          <w:p w14:paraId="0C8EDEFB" w14:textId="77777777" w:rsidR="00D853A9" w:rsidRPr="00F5205B" w:rsidRDefault="00D853A9" w:rsidP="00D853A9">
            <w:pPr>
              <w:jc w:val="right"/>
              <w:rPr>
                <w:color w:val="000000"/>
                <w:sz w:val="22"/>
                <w:szCs w:val="22"/>
              </w:rPr>
            </w:pPr>
            <w:r>
              <w:rPr>
                <w:color w:val="000000"/>
                <w:sz w:val="22"/>
                <w:szCs w:val="22"/>
              </w:rPr>
              <w:t>x</w:t>
            </w:r>
            <w:r w:rsidRPr="00F5205B">
              <w:rPr>
                <w:color w:val="000000"/>
                <w:sz w:val="22"/>
                <w:szCs w:val="22"/>
              </w:rPr>
              <w:t>%</w:t>
            </w:r>
          </w:p>
        </w:tc>
      </w:tr>
    </w:tbl>
    <w:p w14:paraId="6C7C41C5" w14:textId="77777777" w:rsidR="00D853A9" w:rsidRPr="00D853A9" w:rsidRDefault="00D853A9" w:rsidP="00D853A9">
      <w:pPr>
        <w:pStyle w:val="Seznam"/>
        <w:numPr>
          <w:ilvl w:val="0"/>
          <w:numId w:val="0"/>
        </w:numPr>
        <w:rPr>
          <w:rStyle w:val="Siln"/>
          <w:b w:val="0"/>
        </w:rPr>
      </w:pPr>
      <w:r w:rsidRPr="00D853A9">
        <w:rPr>
          <w:rStyle w:val="Siln"/>
          <w:rFonts w:ascii="Courier New" w:hAnsi="Courier New" w:cs="Courier New"/>
          <w:b w:val="0"/>
        </w:rPr>
        <w:t>*</w:t>
      </w:r>
      <w:r w:rsidRPr="00D853A9">
        <w:rPr>
          <w:rStyle w:val="Siln"/>
          <w:b w:val="0"/>
        </w:rPr>
        <w:t>Princip univerzálnosti se hodnotí celkově za všechny nástroje, tj. zda kombinace jednotlivých nástrojů pokrývá všechny oblasti života</w:t>
      </w:r>
      <w:r>
        <w:rPr>
          <w:rStyle w:val="Siln"/>
          <w:b w:val="0"/>
        </w:rPr>
        <w:t>.</w:t>
      </w:r>
    </w:p>
    <w:p w14:paraId="75F41F78" w14:textId="77777777" w:rsidR="00D853A9" w:rsidRPr="00B2041F" w:rsidRDefault="00D853A9" w:rsidP="00D853A9">
      <w:pPr>
        <w:pStyle w:val="Seznam"/>
        <w:numPr>
          <w:ilvl w:val="0"/>
          <w:numId w:val="0"/>
        </w:numPr>
        <w:pBdr>
          <w:top w:val="single" w:sz="4" w:space="0" w:color="auto"/>
          <w:left w:val="single" w:sz="4" w:space="4" w:color="auto"/>
          <w:bottom w:val="single" w:sz="4" w:space="1" w:color="auto"/>
          <w:right w:val="single" w:sz="4" w:space="4" w:color="auto"/>
        </w:pBdr>
        <w:ind w:left="567" w:hanging="567"/>
        <w:rPr>
          <w:rStyle w:val="Siln"/>
          <w:b w:val="0"/>
        </w:rPr>
      </w:pPr>
      <w:r w:rsidRPr="00B2041F">
        <w:rPr>
          <w:rStyle w:val="Siln"/>
          <w:b w:val="0"/>
        </w:rPr>
        <w:t>Komentář</w:t>
      </w:r>
    </w:p>
    <w:p w14:paraId="31683701" w14:textId="77777777" w:rsidR="00D853A9" w:rsidRPr="00B2041F" w:rsidRDefault="00D853A9" w:rsidP="00D853A9">
      <w:pPr>
        <w:pStyle w:val="Seznam"/>
        <w:numPr>
          <w:ilvl w:val="0"/>
          <w:numId w:val="0"/>
        </w:numPr>
        <w:pBdr>
          <w:top w:val="single" w:sz="4" w:space="0" w:color="auto"/>
          <w:left w:val="single" w:sz="4" w:space="4" w:color="auto"/>
          <w:bottom w:val="single" w:sz="4" w:space="1" w:color="auto"/>
          <w:right w:val="single" w:sz="4" w:space="4" w:color="auto"/>
        </w:pBdr>
        <w:rPr>
          <w:rStyle w:val="Siln"/>
          <w:b w:val="0"/>
        </w:rPr>
      </w:pPr>
      <w:r w:rsidRPr="00B2041F">
        <w:rPr>
          <w:rStyle w:val="Siln"/>
          <w:b w:val="0"/>
        </w:rPr>
        <w:t>Jednotlivé principy vycházejí z </w:t>
      </w:r>
      <w:hyperlink r:id="rId24" w:history="1">
        <w:r w:rsidRPr="00B2041F">
          <w:rPr>
            <w:rStyle w:val="Hypertextovodkaz"/>
            <w:b/>
          </w:rPr>
          <w:t>Obecného komentáře</w:t>
        </w:r>
      </w:hyperlink>
      <w:r w:rsidRPr="00B2041F">
        <w:rPr>
          <w:rStyle w:val="Siln"/>
          <w:b w:val="0"/>
        </w:rPr>
        <w:t xml:space="preserve"> Výboru OSN k článku 12</w:t>
      </w:r>
      <w:r w:rsidR="00B2041F">
        <w:rPr>
          <w:rStyle w:val="Siln"/>
          <w:b w:val="0"/>
        </w:rPr>
        <w:t xml:space="preserve">. </w:t>
      </w:r>
      <w:r w:rsidRPr="00B2041F">
        <w:rPr>
          <w:rStyle w:val="Siln"/>
          <w:b w:val="0"/>
        </w:rPr>
        <w:t>Naplnění principů se posuzuje na základě právní úpravy účinné za sledované období, v případě, že právní úprava není jasná, lze připojit také slovní hodnocení. Do hodnocení se počítá pouze existence principu v právní úpravě, nikoliv kvalitativní hledisko (nakolik je princip také dodržován v praxi).</w:t>
      </w:r>
      <w:r w:rsidR="00B2041F">
        <w:rPr>
          <w:rStyle w:val="Siln"/>
          <w:b w:val="0"/>
        </w:rPr>
        <w:t xml:space="preserve"> </w:t>
      </w:r>
      <w:r w:rsidRPr="00B2041F">
        <w:rPr>
          <w:rStyle w:val="Siln"/>
          <w:b w:val="0"/>
        </w:rPr>
        <w:t xml:space="preserve">Výčet jednotlivých nástrojů není konečný, je možné jej doplňovat v případě, že bude dostupný nový nástroj podpory. </w:t>
      </w:r>
    </w:p>
    <w:p w14:paraId="0612F74F" w14:textId="77777777" w:rsidR="00D853A9" w:rsidRPr="00B2041F" w:rsidRDefault="00D853A9" w:rsidP="00D853A9">
      <w:pPr>
        <w:rPr>
          <w:rStyle w:val="Siln"/>
          <w:b w:val="0"/>
        </w:rPr>
      </w:pPr>
      <w:r w:rsidRPr="00B2041F">
        <w:rPr>
          <w:rStyle w:val="Siln"/>
          <w:b w:val="0"/>
        </w:rPr>
        <w:t>Progres v implementaci čl. 12 Úmluvy:</w:t>
      </w:r>
    </w:p>
    <w:p w14:paraId="20A6524A" w14:textId="77777777" w:rsidR="00D853A9" w:rsidRDefault="00D853A9" w:rsidP="00B2041F">
      <w:pPr>
        <w:pStyle w:val="Seznam"/>
        <w:rPr>
          <w:rStyle w:val="Siln"/>
          <w:b w:val="0"/>
          <w:bCs w:val="0"/>
        </w:rPr>
      </w:pPr>
      <w:r w:rsidRPr="00B2041F">
        <w:rPr>
          <w:rStyle w:val="Siln"/>
          <w:b w:val="0"/>
          <w:bCs w:val="0"/>
        </w:rPr>
        <w:t>Zvyšuje se míra souladu s hodnocenými principy</w:t>
      </w:r>
      <w:r w:rsidR="00B2041F">
        <w:rPr>
          <w:rStyle w:val="Siln"/>
          <w:b w:val="0"/>
          <w:bCs w:val="0"/>
        </w:rPr>
        <w:t xml:space="preserve"> (ideálně dosahuje 100</w:t>
      </w:r>
      <w:r w:rsidR="00B2041F">
        <w:rPr>
          <w:rStyle w:val="Siln"/>
          <w:rFonts w:cs="Calibri"/>
          <w:b w:val="0"/>
          <w:bCs w:val="0"/>
        </w:rPr>
        <w:t>%</w:t>
      </w:r>
      <w:r w:rsidR="00B2041F">
        <w:rPr>
          <w:rStyle w:val="Siln"/>
          <w:b w:val="0"/>
          <w:bCs w:val="0"/>
        </w:rPr>
        <w:t>)</w:t>
      </w:r>
      <w:r w:rsidRPr="00B2041F">
        <w:rPr>
          <w:rStyle w:val="Siln"/>
          <w:b w:val="0"/>
          <w:bCs w:val="0"/>
        </w:rPr>
        <w:t>.</w:t>
      </w:r>
    </w:p>
    <w:p w14:paraId="27AFAA64" w14:textId="77777777" w:rsidR="004D4535" w:rsidRPr="00B2041F" w:rsidRDefault="004D4535" w:rsidP="004D4535">
      <w:pPr>
        <w:pStyle w:val="Nadpis1"/>
        <w:rPr>
          <w:rStyle w:val="Siln"/>
          <w:b w:val="0"/>
          <w:bCs w:val="0"/>
        </w:rPr>
      </w:pPr>
      <w:bookmarkStart w:id="33" w:name="_Toc81417434"/>
      <w:r>
        <w:rPr>
          <w:rStyle w:val="Siln"/>
          <w:b w:val="0"/>
          <w:bCs w:val="0"/>
        </w:rPr>
        <w:lastRenderedPageBreak/>
        <w:t>Čl. 19 Úmluvy (nezávislý způsob života)</w:t>
      </w:r>
      <w:bookmarkEnd w:id="33"/>
    </w:p>
    <w:p w14:paraId="19287913" w14:textId="77777777" w:rsidR="00D853A9" w:rsidRDefault="004D4535" w:rsidP="004D4535">
      <w:pPr>
        <w:pStyle w:val="Nadpis2"/>
        <w:rPr>
          <w:rStyle w:val="Siln"/>
          <w:b w:val="0"/>
        </w:rPr>
      </w:pPr>
      <w:bookmarkStart w:id="34" w:name="_Toc81417435"/>
      <w:r>
        <w:rPr>
          <w:rStyle w:val="Siln"/>
          <w:b w:val="0"/>
        </w:rPr>
        <w:t>5 indikátorů pro sledování plnění čl. 19 Úmluvy</w:t>
      </w:r>
      <w:bookmarkEnd w:id="34"/>
    </w:p>
    <w:p w14:paraId="40B990F7" w14:textId="77777777" w:rsidR="004D4535" w:rsidRPr="004D4535" w:rsidRDefault="004D4535" w:rsidP="004D4535">
      <w:pPr>
        <w:pStyle w:val="Seznam"/>
        <w:rPr>
          <w:rStyle w:val="pokyny"/>
          <w:color w:val="auto"/>
        </w:rPr>
      </w:pPr>
      <w:bookmarkStart w:id="35" w:name="_Hlk71787989"/>
      <w:r w:rsidRPr="004D4535">
        <w:rPr>
          <w:rStyle w:val="pokyny"/>
          <w:color w:val="auto"/>
        </w:rPr>
        <w:t xml:space="preserve">Stát schválil plán procesu transformace sociálních služeb, který směřuje k úplnému zavření ústavů </w:t>
      </w:r>
      <w:bookmarkEnd w:id="35"/>
      <w:r w:rsidRPr="004D4535">
        <w:rPr>
          <w:rStyle w:val="pokyny"/>
          <w:color w:val="auto"/>
        </w:rPr>
        <w:t>(strukturální indikátor).</w:t>
      </w:r>
    </w:p>
    <w:p w14:paraId="29FB1D03" w14:textId="77777777" w:rsidR="004D4535" w:rsidRPr="004D4535" w:rsidRDefault="004D4535" w:rsidP="004D4535">
      <w:pPr>
        <w:pStyle w:val="Seznam"/>
        <w:rPr>
          <w:rStyle w:val="pokyny"/>
          <w:color w:val="auto"/>
        </w:rPr>
      </w:pPr>
      <w:r w:rsidRPr="004D4535">
        <w:rPr>
          <w:rStyle w:val="pokyny"/>
          <w:color w:val="auto"/>
        </w:rPr>
        <w:t>Reforma péče o duševní zdraví zohledňuje právo lidí s psychosociálním postižením na život v komunitě (strukturální indikátor).</w:t>
      </w:r>
    </w:p>
    <w:p w14:paraId="2194C84B" w14:textId="77777777" w:rsidR="004D4535" w:rsidRPr="004D4535" w:rsidRDefault="004D4535" w:rsidP="004D4535">
      <w:pPr>
        <w:pStyle w:val="Seznam"/>
        <w:rPr>
          <w:rStyle w:val="pokyny"/>
          <w:color w:val="auto"/>
        </w:rPr>
      </w:pPr>
      <w:r w:rsidRPr="004D4535">
        <w:rPr>
          <w:rStyle w:val="pokyny"/>
          <w:color w:val="auto"/>
        </w:rPr>
        <w:t>Stát sbírá data o procesu transformace dlouhodobé psychiatrické péče a pobytových sociálních služeb (procesní indikátor)</w:t>
      </w:r>
    </w:p>
    <w:p w14:paraId="63D4B4AB" w14:textId="77777777" w:rsidR="004D4535" w:rsidRPr="004D4535" w:rsidRDefault="004D4535" w:rsidP="004D4535">
      <w:pPr>
        <w:pStyle w:val="Seznam"/>
        <w:rPr>
          <w:rStyle w:val="pokyny"/>
          <w:color w:val="auto"/>
        </w:rPr>
      </w:pPr>
      <w:r w:rsidRPr="004D4535">
        <w:rPr>
          <w:rStyle w:val="pokyny"/>
          <w:color w:val="auto"/>
        </w:rPr>
        <w:t>Právní úprava obsahuje efektivní záruky před dlouhodobou institucionalizací bez souhlasu člověka (strukturální indikátor)</w:t>
      </w:r>
    </w:p>
    <w:p w14:paraId="7223F2A3" w14:textId="77777777" w:rsidR="004D4535" w:rsidRPr="004D4535" w:rsidRDefault="004D4535" w:rsidP="004D4535">
      <w:pPr>
        <w:pStyle w:val="Seznam"/>
        <w:rPr>
          <w:rStyle w:val="pokyny"/>
          <w:color w:val="auto"/>
        </w:rPr>
      </w:pPr>
      <w:r w:rsidRPr="004D4535">
        <w:rPr>
          <w:rStyle w:val="pokyny"/>
          <w:color w:val="auto"/>
        </w:rPr>
        <w:t>Lidé nejsou vylučováni ze systému obecního bydlení či pobytových sociálních služeb z důvodu zdravotního postižení, diagnózy či omezení svéprávnosti (strukturální indikátor)</w:t>
      </w:r>
    </w:p>
    <w:p w14:paraId="68205458" w14:textId="77777777" w:rsidR="004D4535" w:rsidRPr="004D4535" w:rsidRDefault="004D4535" w:rsidP="004D4535">
      <w:pPr>
        <w:pStyle w:val="Zkladntext"/>
      </w:pPr>
      <w:r w:rsidRPr="004D4535">
        <w:t>Sledování indikátorů je možné na základě:</w:t>
      </w:r>
    </w:p>
    <w:p w14:paraId="3B509AFF" w14:textId="77777777" w:rsidR="004D4535" w:rsidRPr="004D4535" w:rsidRDefault="004D4535" w:rsidP="004D4535">
      <w:pPr>
        <w:pStyle w:val="Seznam"/>
      </w:pPr>
      <w:r w:rsidRPr="004D4535">
        <w:t>sledování postupu vlády a jí podřízených organizačních složek v klíčových oblastech regulovaných Úmluvou a výstupů rezortů v rámci deinstitucionalizace a transformace sociálních služeb a reformy péče o duševní zdraví</w:t>
      </w:r>
      <w:r>
        <w:t>,</w:t>
      </w:r>
    </w:p>
    <w:p w14:paraId="1E56F91D" w14:textId="77777777" w:rsidR="004D4535" w:rsidRPr="004D4535" w:rsidRDefault="004D4535" w:rsidP="004D4535">
      <w:pPr>
        <w:pStyle w:val="Seznam"/>
      </w:pPr>
      <w:r w:rsidRPr="004D4535">
        <w:t xml:space="preserve">dat ze statistických ročenek MPSV, ústavu pro zdravotnické informace a statistiky a českého statistického úřadu </w:t>
      </w:r>
      <w:r>
        <w:t xml:space="preserve">a </w:t>
      </w:r>
      <w:r w:rsidRPr="004D4535">
        <w:t>analýzy vývoje právní úpravy v oblasti autonomie v rozhodování ohledně místa pobytu  a zákazu diskriminace v přístupu k bydlení a pobytovým sociálním službám z důvodu post</w:t>
      </w:r>
      <w:r>
        <w:t>ižení nebo omezení svéprávnosti.</w:t>
      </w:r>
    </w:p>
    <w:p w14:paraId="099F8429" w14:textId="77777777" w:rsidR="004D4535" w:rsidRPr="004D4535" w:rsidRDefault="004D4535" w:rsidP="004D4535">
      <w:pPr>
        <w:spacing w:line="240" w:lineRule="auto"/>
        <w:rPr>
          <w:rStyle w:val="pokyny"/>
          <w:color w:val="auto"/>
        </w:rPr>
      </w:pPr>
      <w:r w:rsidRPr="004D4535">
        <w:rPr>
          <w:rStyle w:val="pokyny"/>
          <w:color w:val="auto"/>
        </w:rPr>
        <w:t>Celkové hodnocení za článek 19:</w:t>
      </w:r>
    </w:p>
    <w:p w14:paraId="479DDC54" w14:textId="77777777" w:rsidR="004D4535" w:rsidRDefault="004D4535" w:rsidP="004D4535">
      <w:pPr>
        <w:spacing w:line="240" w:lineRule="auto"/>
        <w:rPr>
          <w:rStyle w:val="pokyny"/>
        </w:rPr>
      </w:pPr>
    </w:p>
    <w:tbl>
      <w:tblPr>
        <w:tblW w:w="9640" w:type="dxa"/>
        <w:tblCellMar>
          <w:left w:w="0" w:type="dxa"/>
          <w:right w:w="0" w:type="dxa"/>
        </w:tblCellMar>
        <w:tblLook w:val="04A0" w:firstRow="1" w:lastRow="0" w:firstColumn="1" w:lastColumn="0" w:noHBand="0" w:noVBand="1"/>
      </w:tblPr>
      <w:tblGrid>
        <w:gridCol w:w="6658"/>
        <w:gridCol w:w="1134"/>
        <w:gridCol w:w="1134"/>
        <w:gridCol w:w="714"/>
      </w:tblGrid>
      <w:tr w:rsidR="004D4535" w14:paraId="512F9806" w14:textId="77777777" w:rsidTr="002F741F">
        <w:trPr>
          <w:trHeight w:val="596"/>
        </w:trPr>
        <w:tc>
          <w:tcPr>
            <w:tcW w:w="665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A6EA4" w14:textId="77777777" w:rsidR="004D4535" w:rsidRDefault="004D4535" w:rsidP="002F741F">
            <w:pPr>
              <w:ind w:left="127"/>
              <w:rPr>
                <w:rFonts w:cs="Calibri"/>
                <w:b/>
                <w:bCs/>
                <w:color w:val="000000"/>
                <w:sz w:val="20"/>
                <w:szCs w:val="20"/>
              </w:rPr>
            </w:pPr>
            <w:r>
              <w:rPr>
                <w:rFonts w:cs="Calibri"/>
                <w:b/>
                <w:bCs/>
                <w:color w:val="000000"/>
                <w:sz w:val="20"/>
                <w:szCs w:val="20"/>
              </w:rPr>
              <w:t>Indikátor</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13412D" w14:textId="77777777" w:rsidR="004D4535" w:rsidRDefault="004D4535" w:rsidP="002F741F">
            <w:pPr>
              <w:jc w:val="center"/>
              <w:rPr>
                <w:rFonts w:cs="Calibri"/>
                <w:b/>
                <w:bCs/>
                <w:color w:val="000000"/>
                <w:sz w:val="20"/>
                <w:szCs w:val="20"/>
              </w:rPr>
            </w:pPr>
            <w:r>
              <w:rPr>
                <w:rFonts w:cs="Calibri"/>
                <w:b/>
                <w:bCs/>
                <w:color w:val="000000"/>
                <w:sz w:val="20"/>
                <w:szCs w:val="20"/>
              </w:rPr>
              <w:t>Maximální skóre</w:t>
            </w:r>
          </w:p>
        </w:tc>
        <w:tc>
          <w:tcPr>
            <w:tcW w:w="11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B82CA6" w14:textId="77777777" w:rsidR="004D4535" w:rsidRDefault="004D4535" w:rsidP="002F741F">
            <w:pPr>
              <w:jc w:val="center"/>
              <w:rPr>
                <w:rFonts w:cs="Calibri"/>
                <w:b/>
                <w:bCs/>
                <w:color w:val="000000"/>
                <w:sz w:val="20"/>
                <w:szCs w:val="20"/>
              </w:rPr>
            </w:pPr>
            <w:r>
              <w:rPr>
                <w:rFonts w:cs="Calibri"/>
                <w:b/>
                <w:bCs/>
                <w:color w:val="000000"/>
                <w:sz w:val="20"/>
                <w:szCs w:val="20"/>
              </w:rPr>
              <w:t>Aktuální skóre</w:t>
            </w:r>
          </w:p>
        </w:tc>
        <w:tc>
          <w:tcPr>
            <w:tcW w:w="71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592DA" w14:textId="77777777" w:rsidR="004D4535" w:rsidRDefault="004D4535" w:rsidP="002F741F">
            <w:pPr>
              <w:jc w:val="center"/>
              <w:rPr>
                <w:rFonts w:cs="Calibri"/>
                <w:b/>
                <w:bCs/>
                <w:color w:val="000000"/>
              </w:rPr>
            </w:pPr>
            <w:r>
              <w:rPr>
                <w:rFonts w:cs="Calibri"/>
                <w:b/>
                <w:bCs/>
                <w:color w:val="000000"/>
              </w:rPr>
              <w:t>%</w:t>
            </w:r>
          </w:p>
        </w:tc>
      </w:tr>
      <w:tr w:rsidR="004D4535" w14:paraId="647B592F" w14:textId="77777777" w:rsidTr="002F741F">
        <w:trPr>
          <w:trHeight w:val="529"/>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E80E6D" w14:textId="77777777" w:rsidR="004D4535" w:rsidRDefault="004D4535" w:rsidP="002F741F">
            <w:pPr>
              <w:ind w:left="127"/>
              <w:rPr>
                <w:rFonts w:cs="Calibri"/>
                <w:sz w:val="20"/>
                <w:szCs w:val="20"/>
              </w:rPr>
            </w:pPr>
            <w:r>
              <w:rPr>
                <w:rFonts w:cstheme="minorHAnsi"/>
                <w:sz w:val="20"/>
                <w:szCs w:val="20"/>
              </w:rPr>
              <w:t>1.</w:t>
            </w:r>
            <w:r>
              <w:rPr>
                <w:sz w:val="20"/>
                <w:szCs w:val="20"/>
              </w:rPr>
              <w:t>  </w:t>
            </w:r>
            <w:r>
              <w:rPr>
                <w:rFonts w:cs="Calibri"/>
                <w:sz w:val="20"/>
                <w:szCs w:val="20"/>
              </w:rPr>
              <w:t xml:space="preserve">Stát schválil plán procesu transformace sociálních služeb, který směřuje k úplnému zavření ústavů </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7E22D2" w14:textId="77777777" w:rsidR="004D4535" w:rsidRDefault="004D4535" w:rsidP="002F741F">
            <w:pPr>
              <w:jc w:val="center"/>
              <w:rPr>
                <w:rFonts w:cs="Calibri"/>
                <w:color w:val="000000"/>
                <w:sz w:val="20"/>
                <w:szCs w:val="20"/>
              </w:rPr>
            </w:pPr>
            <w:r>
              <w:rPr>
                <w:rFonts w:cs="Calibri"/>
                <w:color w:val="000000"/>
                <w:sz w:val="20"/>
                <w:szCs w:val="20"/>
              </w:rPr>
              <w:t>5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0AA71B" w14:textId="77777777" w:rsidR="004D4535" w:rsidRDefault="004D4535" w:rsidP="002F741F">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9A853" w14:textId="77777777" w:rsidR="004D4535" w:rsidRDefault="004D4535" w:rsidP="002F741F">
            <w:pPr>
              <w:jc w:val="center"/>
              <w:rPr>
                <w:rFonts w:cs="Calibri"/>
                <w:color w:val="000000"/>
                <w:sz w:val="20"/>
                <w:szCs w:val="20"/>
              </w:rPr>
            </w:pPr>
            <w:r>
              <w:rPr>
                <w:rFonts w:cs="Calibri"/>
                <w:color w:val="000000"/>
                <w:sz w:val="20"/>
                <w:szCs w:val="20"/>
              </w:rPr>
              <w:t>x%</w:t>
            </w:r>
          </w:p>
        </w:tc>
      </w:tr>
      <w:tr w:rsidR="004D4535" w14:paraId="4100E610" w14:textId="77777777" w:rsidTr="002F741F">
        <w:trPr>
          <w:trHeight w:val="680"/>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194287" w14:textId="77777777" w:rsidR="004D4535" w:rsidRDefault="004D4535" w:rsidP="002F741F">
            <w:pPr>
              <w:ind w:left="127"/>
              <w:rPr>
                <w:rFonts w:cs="Calibri"/>
                <w:sz w:val="20"/>
                <w:szCs w:val="20"/>
              </w:rPr>
            </w:pPr>
            <w:r>
              <w:rPr>
                <w:rFonts w:cstheme="minorHAnsi"/>
                <w:sz w:val="20"/>
                <w:szCs w:val="20"/>
              </w:rPr>
              <w:t>2.</w:t>
            </w:r>
            <w:r>
              <w:rPr>
                <w:sz w:val="20"/>
                <w:szCs w:val="20"/>
              </w:rPr>
              <w:t>  </w:t>
            </w:r>
            <w:r>
              <w:rPr>
                <w:rFonts w:cs="Calibri"/>
                <w:sz w:val="20"/>
                <w:szCs w:val="20"/>
              </w:rPr>
              <w:t xml:space="preserve">Reforma péče o duševní zdraví zohledňuje právo lidí s psychosociálním postižením na život v komunitě </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A28CF" w14:textId="77777777" w:rsidR="004D4535" w:rsidRDefault="004D4535" w:rsidP="002F741F">
            <w:pPr>
              <w:jc w:val="center"/>
              <w:rPr>
                <w:rFonts w:cs="Calibri"/>
                <w:color w:val="000000"/>
                <w:sz w:val="20"/>
                <w:szCs w:val="20"/>
              </w:rPr>
            </w:pPr>
            <w:r>
              <w:rPr>
                <w:rFonts w:cs="Calibri"/>
                <w:color w:val="000000"/>
                <w:sz w:val="20"/>
                <w:szCs w:val="20"/>
              </w:rPr>
              <w:t>5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591A" w14:textId="77777777" w:rsidR="004D4535" w:rsidRDefault="004D4535" w:rsidP="002F741F">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13145C" w14:textId="77777777" w:rsidR="004D4535" w:rsidRDefault="004D4535" w:rsidP="002F741F">
            <w:pPr>
              <w:jc w:val="center"/>
              <w:rPr>
                <w:rFonts w:cs="Calibri"/>
                <w:color w:val="000000"/>
                <w:sz w:val="20"/>
                <w:szCs w:val="20"/>
              </w:rPr>
            </w:pPr>
            <w:r>
              <w:rPr>
                <w:rFonts w:cs="Calibri"/>
                <w:color w:val="000000"/>
                <w:sz w:val="20"/>
                <w:szCs w:val="20"/>
              </w:rPr>
              <w:t>x%</w:t>
            </w:r>
          </w:p>
        </w:tc>
      </w:tr>
      <w:tr w:rsidR="004D4535" w14:paraId="612D1387" w14:textId="77777777" w:rsidTr="002F741F">
        <w:trPr>
          <w:trHeight w:val="529"/>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86C914" w14:textId="77777777" w:rsidR="004D4535" w:rsidRDefault="004D4535" w:rsidP="002F741F">
            <w:pPr>
              <w:ind w:left="127"/>
              <w:rPr>
                <w:rFonts w:cs="Calibri"/>
                <w:sz w:val="20"/>
                <w:szCs w:val="20"/>
              </w:rPr>
            </w:pPr>
            <w:r>
              <w:rPr>
                <w:rFonts w:cstheme="minorHAnsi"/>
                <w:sz w:val="20"/>
                <w:szCs w:val="20"/>
              </w:rPr>
              <w:t>3.</w:t>
            </w:r>
            <w:r>
              <w:rPr>
                <w:sz w:val="20"/>
                <w:szCs w:val="20"/>
              </w:rPr>
              <w:t xml:space="preserve">  </w:t>
            </w:r>
            <w:r>
              <w:rPr>
                <w:rFonts w:cs="Calibri"/>
                <w:sz w:val="20"/>
                <w:szCs w:val="20"/>
              </w:rPr>
              <w:t xml:space="preserve">Stát sbírá data o procesu transformace dlouhodobé psychiatrické péče a pobytových sociálních služeb </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DCF93A" w14:textId="77777777" w:rsidR="004D4535" w:rsidRDefault="004D4535" w:rsidP="002F741F">
            <w:pPr>
              <w:jc w:val="center"/>
              <w:rPr>
                <w:rFonts w:cs="Calibri"/>
                <w:color w:val="000000"/>
                <w:sz w:val="20"/>
                <w:szCs w:val="20"/>
              </w:rPr>
            </w:pPr>
            <w:r>
              <w:rPr>
                <w:rFonts w:cs="Calibri"/>
                <w:color w:val="000000"/>
                <w:sz w:val="20"/>
                <w:szCs w:val="20"/>
              </w:rPr>
              <w:t>6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5214AA" w14:textId="77777777" w:rsidR="004D4535" w:rsidRDefault="004D4535" w:rsidP="002F741F">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EF9B7D" w14:textId="77777777" w:rsidR="004D4535" w:rsidRDefault="004D4535" w:rsidP="002F741F">
            <w:pPr>
              <w:jc w:val="center"/>
              <w:rPr>
                <w:rFonts w:cs="Calibri"/>
                <w:color w:val="000000"/>
                <w:sz w:val="20"/>
                <w:szCs w:val="20"/>
              </w:rPr>
            </w:pPr>
            <w:r>
              <w:rPr>
                <w:rFonts w:cs="Calibri"/>
                <w:color w:val="000000"/>
                <w:sz w:val="20"/>
                <w:szCs w:val="20"/>
              </w:rPr>
              <w:t>x%</w:t>
            </w:r>
          </w:p>
        </w:tc>
      </w:tr>
      <w:tr w:rsidR="004D4535" w14:paraId="305ADCF5" w14:textId="77777777" w:rsidTr="002F741F">
        <w:trPr>
          <w:trHeight w:val="618"/>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530B78" w14:textId="77777777" w:rsidR="004D4535" w:rsidRDefault="004D4535" w:rsidP="002F741F">
            <w:pPr>
              <w:ind w:left="127"/>
              <w:rPr>
                <w:rFonts w:cs="Calibri"/>
                <w:sz w:val="20"/>
                <w:szCs w:val="20"/>
              </w:rPr>
            </w:pPr>
            <w:r>
              <w:rPr>
                <w:rFonts w:cstheme="minorHAnsi"/>
                <w:sz w:val="20"/>
                <w:szCs w:val="20"/>
              </w:rPr>
              <w:t>4.</w:t>
            </w:r>
            <w:r>
              <w:rPr>
                <w:sz w:val="20"/>
                <w:szCs w:val="20"/>
              </w:rPr>
              <w:t>   </w:t>
            </w:r>
            <w:r>
              <w:rPr>
                <w:rFonts w:cs="Calibri"/>
                <w:sz w:val="20"/>
                <w:szCs w:val="20"/>
              </w:rPr>
              <w:t xml:space="preserve">Právní úprava obsahuje efektivní záruky před dlouhodobou institucionalizací bez souhlasu člověka </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EBC3E0" w14:textId="77777777" w:rsidR="004D4535" w:rsidRDefault="004D4535" w:rsidP="002F741F">
            <w:pPr>
              <w:jc w:val="center"/>
              <w:rPr>
                <w:rFonts w:cs="Calibri"/>
                <w:color w:val="000000"/>
                <w:sz w:val="20"/>
                <w:szCs w:val="20"/>
              </w:rPr>
            </w:pPr>
            <w:r>
              <w:rPr>
                <w:rFonts w:cs="Calibri"/>
                <w:color w:val="000000"/>
                <w:sz w:val="20"/>
                <w:szCs w:val="20"/>
              </w:rPr>
              <w:t>8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C63493" w14:textId="77777777" w:rsidR="004D4535" w:rsidRDefault="004D4535" w:rsidP="002F741F">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DBE131" w14:textId="77777777" w:rsidR="004D4535" w:rsidRDefault="004D4535" w:rsidP="002F741F">
            <w:pPr>
              <w:jc w:val="center"/>
              <w:rPr>
                <w:rFonts w:cs="Calibri"/>
                <w:color w:val="000000"/>
                <w:sz w:val="20"/>
                <w:szCs w:val="20"/>
              </w:rPr>
            </w:pPr>
            <w:r>
              <w:rPr>
                <w:rFonts w:cs="Calibri"/>
                <w:color w:val="000000"/>
                <w:sz w:val="20"/>
                <w:szCs w:val="20"/>
              </w:rPr>
              <w:t>x%</w:t>
            </w:r>
          </w:p>
        </w:tc>
      </w:tr>
      <w:tr w:rsidR="004D4535" w14:paraId="01FDA4EB" w14:textId="77777777" w:rsidTr="002F741F">
        <w:trPr>
          <w:trHeight w:val="642"/>
        </w:trPr>
        <w:tc>
          <w:tcPr>
            <w:tcW w:w="665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DB79C6" w14:textId="77777777" w:rsidR="004D4535" w:rsidRDefault="004D4535" w:rsidP="002F741F">
            <w:pPr>
              <w:ind w:left="127"/>
              <w:rPr>
                <w:rFonts w:cs="Calibri"/>
                <w:sz w:val="20"/>
                <w:szCs w:val="20"/>
              </w:rPr>
            </w:pPr>
            <w:r>
              <w:rPr>
                <w:rFonts w:cstheme="minorHAnsi"/>
                <w:sz w:val="20"/>
                <w:szCs w:val="20"/>
              </w:rPr>
              <w:t>5.</w:t>
            </w:r>
            <w:r>
              <w:rPr>
                <w:sz w:val="20"/>
                <w:szCs w:val="20"/>
              </w:rPr>
              <w:t>  </w:t>
            </w:r>
            <w:r>
              <w:rPr>
                <w:rFonts w:cs="Calibri"/>
                <w:sz w:val="20"/>
                <w:szCs w:val="20"/>
              </w:rPr>
              <w:t xml:space="preserve">Lidé nejsou vylučováni ze systému obecního bydlení či pobytových sociálních služeb z důvodu zdravotního postižení, diagnózy či omezení svéprávnosti </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DB6172" w14:textId="77777777" w:rsidR="004D4535" w:rsidRDefault="004D4535" w:rsidP="002F741F">
            <w:pPr>
              <w:jc w:val="center"/>
              <w:rPr>
                <w:rFonts w:cs="Calibri"/>
                <w:color w:val="000000"/>
                <w:sz w:val="20"/>
                <w:szCs w:val="20"/>
              </w:rPr>
            </w:pPr>
            <w:r>
              <w:rPr>
                <w:rFonts w:cs="Calibri"/>
                <w:color w:val="000000"/>
                <w:sz w:val="20"/>
                <w:szCs w:val="20"/>
              </w:rPr>
              <w:t>5 bodů</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3614F4" w14:textId="77777777" w:rsidR="004D4535" w:rsidRDefault="004D4535" w:rsidP="002F741F">
            <w:pPr>
              <w:jc w:val="center"/>
              <w:rPr>
                <w:rFonts w:cs="Calibri"/>
                <w:color w:val="000000"/>
                <w:sz w:val="20"/>
                <w:szCs w:val="20"/>
              </w:rPr>
            </w:pPr>
            <w:r>
              <w:rPr>
                <w:rFonts w:cs="Calibri"/>
                <w:color w:val="000000"/>
                <w:sz w:val="20"/>
                <w:szCs w:val="20"/>
              </w:rPr>
              <w:t>x</w:t>
            </w:r>
          </w:p>
        </w:tc>
        <w:tc>
          <w:tcPr>
            <w:tcW w:w="7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E9382" w14:textId="77777777" w:rsidR="004D4535" w:rsidRDefault="004D4535" w:rsidP="002F741F">
            <w:pPr>
              <w:jc w:val="center"/>
              <w:rPr>
                <w:rFonts w:cs="Calibri"/>
                <w:color w:val="000000"/>
                <w:sz w:val="20"/>
                <w:szCs w:val="20"/>
              </w:rPr>
            </w:pPr>
            <w:r>
              <w:rPr>
                <w:rFonts w:cs="Calibri"/>
                <w:color w:val="000000"/>
                <w:sz w:val="20"/>
                <w:szCs w:val="20"/>
              </w:rPr>
              <w:t>x%</w:t>
            </w:r>
          </w:p>
        </w:tc>
      </w:tr>
      <w:tr w:rsidR="004D4535" w14:paraId="79363120" w14:textId="77777777" w:rsidTr="002F741F">
        <w:trPr>
          <w:trHeight w:val="300"/>
        </w:trPr>
        <w:tc>
          <w:tcPr>
            <w:tcW w:w="6658"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14:paraId="7AAC71CE" w14:textId="77777777" w:rsidR="004D4535" w:rsidRDefault="004D4535" w:rsidP="002F741F">
            <w:pPr>
              <w:rPr>
                <w:rFonts w:cs="Calibri"/>
                <w:sz w:val="20"/>
                <w:szCs w:val="20"/>
              </w:rPr>
            </w:pPr>
            <w:r>
              <w:rPr>
                <w:rFonts w:cs="Calibri"/>
                <w:sz w:val="20"/>
                <w:szCs w:val="20"/>
              </w:rPr>
              <w:t xml:space="preserve">Celkem </w:t>
            </w:r>
          </w:p>
        </w:tc>
        <w:tc>
          <w:tcPr>
            <w:tcW w:w="1134" w:type="dxa"/>
            <w:tcBorders>
              <w:top w:val="nil"/>
              <w:left w:val="nil"/>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496F302" w14:textId="77777777" w:rsidR="004D4535" w:rsidRPr="002219CE" w:rsidRDefault="004D4535" w:rsidP="002F741F">
            <w:pPr>
              <w:jc w:val="center"/>
              <w:rPr>
                <w:rFonts w:cs="Calibri"/>
                <w:b/>
                <w:color w:val="000000"/>
                <w:sz w:val="20"/>
                <w:szCs w:val="20"/>
              </w:rPr>
            </w:pPr>
            <w:r w:rsidRPr="002219CE">
              <w:rPr>
                <w:rFonts w:cs="Calibri"/>
                <w:b/>
                <w:color w:val="000000"/>
                <w:sz w:val="20"/>
                <w:szCs w:val="20"/>
              </w:rPr>
              <w:t>29 bodů</w:t>
            </w:r>
          </w:p>
        </w:tc>
        <w:tc>
          <w:tcPr>
            <w:tcW w:w="1134" w:type="dxa"/>
            <w:tcBorders>
              <w:top w:val="nil"/>
              <w:left w:val="nil"/>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6DF5785A" w14:textId="77777777" w:rsidR="004D4535" w:rsidRPr="002219CE" w:rsidRDefault="004D4535" w:rsidP="002F741F">
            <w:pPr>
              <w:jc w:val="center"/>
              <w:rPr>
                <w:rFonts w:cs="Calibri"/>
                <w:b/>
                <w:color w:val="000000"/>
                <w:sz w:val="20"/>
                <w:szCs w:val="20"/>
              </w:rPr>
            </w:pPr>
            <w:r>
              <w:rPr>
                <w:rFonts w:cs="Calibri"/>
                <w:b/>
                <w:color w:val="000000"/>
                <w:sz w:val="20"/>
                <w:szCs w:val="20"/>
              </w:rPr>
              <w:t>x</w:t>
            </w:r>
          </w:p>
        </w:tc>
        <w:tc>
          <w:tcPr>
            <w:tcW w:w="714" w:type="dxa"/>
            <w:tcBorders>
              <w:top w:val="nil"/>
              <w:left w:val="nil"/>
              <w:bottom w:val="single" w:sz="4" w:space="0" w:color="auto"/>
              <w:right w:val="single" w:sz="4" w:space="0" w:color="auto"/>
            </w:tcBorders>
            <w:shd w:val="clear" w:color="000000" w:fill="BFBFBF"/>
            <w:vAlign w:val="bottom"/>
          </w:tcPr>
          <w:p w14:paraId="7D1712B9" w14:textId="77777777" w:rsidR="004D4535" w:rsidRPr="002219CE" w:rsidRDefault="004D4535" w:rsidP="002F741F">
            <w:pPr>
              <w:jc w:val="center"/>
              <w:rPr>
                <w:rFonts w:cs="Calibri"/>
                <w:b/>
                <w:color w:val="000000"/>
                <w:sz w:val="20"/>
                <w:szCs w:val="20"/>
              </w:rPr>
            </w:pPr>
            <w:r>
              <w:rPr>
                <w:rFonts w:cs="Calibri"/>
                <w:b/>
                <w:color w:val="000000"/>
                <w:sz w:val="20"/>
                <w:szCs w:val="20"/>
              </w:rPr>
              <w:t>x%</w:t>
            </w:r>
          </w:p>
        </w:tc>
      </w:tr>
    </w:tbl>
    <w:p w14:paraId="2F078473" w14:textId="77777777" w:rsidR="004D4535" w:rsidRPr="007153E5" w:rsidRDefault="004D4535" w:rsidP="007153E5">
      <w:pPr>
        <w:pStyle w:val="Nadpis3"/>
        <w:rPr>
          <w:rStyle w:val="Siln"/>
          <w:rFonts w:eastAsiaTheme="minorEastAsia"/>
          <w:b w:val="0"/>
        </w:rPr>
      </w:pPr>
      <w:bookmarkStart w:id="36" w:name="_Toc81417436"/>
      <w:r w:rsidRPr="007153E5">
        <w:rPr>
          <w:rStyle w:val="Siln"/>
          <w:rFonts w:eastAsiaTheme="minorEastAsia"/>
          <w:b w:val="0"/>
        </w:rPr>
        <w:lastRenderedPageBreak/>
        <w:t>Stát má plán transformace ústavních pobytových služeb</w:t>
      </w:r>
      <w:bookmarkEnd w:id="36"/>
    </w:p>
    <w:p w14:paraId="4E70F1F0" w14:textId="77777777" w:rsidR="004D4535" w:rsidRPr="007153E5" w:rsidRDefault="004D4535" w:rsidP="004D4535">
      <w:pPr>
        <w:pStyle w:val="Zkladntext"/>
        <w:rPr>
          <w:rStyle w:val="Siln"/>
          <w:b w:val="0"/>
          <w:bCs w:val="0"/>
        </w:rPr>
      </w:pPr>
      <w:r w:rsidRPr="007153E5">
        <w:rPr>
          <w:rStyle w:val="Siln"/>
          <w:b w:val="0"/>
        </w:rPr>
        <w:t xml:space="preserve">Stát má plán transformace sociálních služeb, který obsahuje tyto atributy: </w:t>
      </w:r>
    </w:p>
    <w:p w14:paraId="5DFE6CF0" w14:textId="77777777" w:rsidR="004D4535" w:rsidRPr="007153E5" w:rsidRDefault="004D4535" w:rsidP="007153E5">
      <w:pPr>
        <w:pStyle w:val="Seznam"/>
        <w:numPr>
          <w:ilvl w:val="0"/>
          <w:numId w:val="35"/>
        </w:numPr>
        <w:rPr>
          <w:rStyle w:val="Siln"/>
          <w:b w:val="0"/>
          <w:bCs w:val="0"/>
        </w:rPr>
      </w:pPr>
      <w:r w:rsidRPr="007153E5">
        <w:rPr>
          <w:rStyle w:val="Siln"/>
          <w:b w:val="0"/>
        </w:rPr>
        <w:t>Jednotná definice ústavních sociálních služeb, která také zahrnuje služby pro děti a starší lidi s</w:t>
      </w:r>
      <w:r w:rsidR="007153E5">
        <w:rPr>
          <w:rStyle w:val="Siln"/>
          <w:b w:val="0"/>
        </w:rPr>
        <w:t> </w:t>
      </w:r>
      <w:r w:rsidRPr="007153E5">
        <w:rPr>
          <w:rStyle w:val="Siln"/>
          <w:b w:val="0"/>
        </w:rPr>
        <w:t>postižením</w:t>
      </w:r>
    </w:p>
    <w:p w14:paraId="04A60A7C" w14:textId="77777777" w:rsidR="004D4535" w:rsidRPr="007153E5" w:rsidRDefault="004D4535" w:rsidP="007153E5">
      <w:pPr>
        <w:pStyle w:val="Seznam"/>
        <w:numPr>
          <w:ilvl w:val="0"/>
          <w:numId w:val="35"/>
        </w:numPr>
        <w:rPr>
          <w:rStyle w:val="Siln"/>
          <w:b w:val="0"/>
          <w:bCs w:val="0"/>
        </w:rPr>
      </w:pPr>
      <w:r w:rsidRPr="007153E5">
        <w:rPr>
          <w:rStyle w:val="Siln"/>
          <w:b w:val="0"/>
        </w:rPr>
        <w:t>Moratorium pro přijímání nových dětských klientů do ústavních sociálních služeb</w:t>
      </w:r>
      <w:r w:rsidRPr="007153E5">
        <w:rPr>
          <w:rStyle w:val="Znakapoznpodarou"/>
          <w:b w:val="0"/>
        </w:rPr>
        <w:footnoteReference w:id="9"/>
      </w:r>
    </w:p>
    <w:p w14:paraId="49B1E216" w14:textId="77777777" w:rsidR="004D4535" w:rsidRPr="007153E5" w:rsidRDefault="004D4535" w:rsidP="007153E5">
      <w:pPr>
        <w:pStyle w:val="Seznam"/>
        <w:numPr>
          <w:ilvl w:val="0"/>
          <w:numId w:val="35"/>
        </w:numPr>
        <w:rPr>
          <w:rStyle w:val="Siln"/>
          <w:b w:val="0"/>
          <w:bCs w:val="0"/>
        </w:rPr>
      </w:pPr>
      <w:r w:rsidRPr="007153E5">
        <w:rPr>
          <w:rStyle w:val="Siln"/>
          <w:b w:val="0"/>
        </w:rPr>
        <w:t>Jednoznačný závazek k dokončení transformace, tedy k úplnému uzavření všech ústavních sociálních služeb, včetně služeb pro děti a starší lidi s postižením, ve stanoveném termínu</w:t>
      </w:r>
    </w:p>
    <w:p w14:paraId="483B4DEB" w14:textId="77777777" w:rsidR="004D4535" w:rsidRPr="007153E5" w:rsidRDefault="004D4535" w:rsidP="007153E5">
      <w:pPr>
        <w:pStyle w:val="Seznam"/>
        <w:numPr>
          <w:ilvl w:val="0"/>
          <w:numId w:val="35"/>
        </w:numPr>
        <w:rPr>
          <w:rStyle w:val="Siln"/>
          <w:b w:val="0"/>
          <w:bCs w:val="0"/>
        </w:rPr>
      </w:pPr>
      <w:r w:rsidRPr="007153E5">
        <w:rPr>
          <w:rStyle w:val="Siln"/>
          <w:b w:val="0"/>
        </w:rPr>
        <w:t>Určení orgánu/rezortu odpovědného za realizaci a koordinaci transformace</w:t>
      </w:r>
    </w:p>
    <w:p w14:paraId="262907BD" w14:textId="77777777" w:rsidR="004D4535" w:rsidRPr="007153E5" w:rsidRDefault="004D4535" w:rsidP="007153E5">
      <w:pPr>
        <w:pStyle w:val="Seznam"/>
        <w:numPr>
          <w:ilvl w:val="0"/>
          <w:numId w:val="35"/>
        </w:numPr>
        <w:rPr>
          <w:rStyle w:val="Siln"/>
          <w:b w:val="0"/>
          <w:bCs w:val="0"/>
        </w:rPr>
      </w:pPr>
      <w:r w:rsidRPr="007153E5">
        <w:rPr>
          <w:rStyle w:val="Siln"/>
          <w:b w:val="0"/>
        </w:rPr>
        <w:t>Na tvorbě a realizaci plánu se aktivně podíleli lidé žijící v ústavech, organizace reprezentující lidi s postižením a pečující</w:t>
      </w:r>
    </w:p>
    <w:p w14:paraId="0F1AAF8F" w14:textId="77777777" w:rsidR="004D4535" w:rsidRPr="007153E5" w:rsidRDefault="004D4535" w:rsidP="004D4535">
      <w:pPr>
        <w:pStyle w:val="Zkladntext"/>
        <w:rPr>
          <w:rStyle w:val="Siln"/>
          <w:b w:val="0"/>
          <w:bCs w:val="0"/>
        </w:rPr>
      </w:pPr>
      <w:r w:rsidRPr="007153E5">
        <w:rPr>
          <w:rStyle w:val="Siln"/>
          <w:b w:val="0"/>
        </w:rPr>
        <w:t>Maximální skóre: 5</w:t>
      </w:r>
    </w:p>
    <w:p w14:paraId="0DCDC8E2" w14:textId="77777777" w:rsidR="004D4535" w:rsidRPr="007153E5" w:rsidRDefault="004D4535" w:rsidP="004D4535">
      <w:pPr>
        <w:pStyle w:val="Zkladntext"/>
        <w:rPr>
          <w:rStyle w:val="Siln"/>
          <w:b w:val="0"/>
          <w:bCs w:val="0"/>
        </w:rPr>
      </w:pPr>
      <w:r w:rsidRPr="007153E5">
        <w:rPr>
          <w:rStyle w:val="Siln"/>
          <w:b w:val="0"/>
        </w:rPr>
        <w:t xml:space="preserve">Aktuální skóre: </w:t>
      </w:r>
      <w:r w:rsidR="007153E5">
        <w:rPr>
          <w:rStyle w:val="Siln"/>
          <w:b w:val="0"/>
        </w:rPr>
        <w:t>X</w:t>
      </w:r>
    </w:p>
    <w:p w14:paraId="2AA047F7"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Komentář</w:t>
      </w:r>
    </w:p>
    <w:p w14:paraId="61F59B9B"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Při tvorbě tohoto indikátoru jsme vycházeli z </w:t>
      </w:r>
      <w:hyperlink r:id="rId25" w:history="1">
        <w:r w:rsidRPr="007153E5">
          <w:rPr>
            <w:rStyle w:val="Hypertextovodkaz"/>
            <w:color w:val="auto"/>
            <w:sz w:val="22"/>
          </w:rPr>
          <w:t>Obecného komentáře Výboru CRPD k článku 19</w:t>
        </w:r>
      </w:hyperlink>
      <w:r w:rsidRPr="007153E5">
        <w:rPr>
          <w:rStyle w:val="pokyny"/>
          <w:color w:val="auto"/>
          <w:sz w:val="22"/>
        </w:rPr>
        <w:t xml:space="preserve"> a </w:t>
      </w:r>
      <w:hyperlink r:id="rId26" w:history="1">
        <w:r w:rsidRPr="007153E5">
          <w:rPr>
            <w:rStyle w:val="Hypertextovodkaz"/>
            <w:color w:val="auto"/>
            <w:sz w:val="22"/>
          </w:rPr>
          <w:t>Indikátorů zpracovaných kanceláří Vysokého komisaře pro lidská práva</w:t>
        </w:r>
      </w:hyperlink>
      <w:r w:rsidRPr="007153E5">
        <w:rPr>
          <w:rStyle w:val="pokyny"/>
          <w:color w:val="auto"/>
          <w:sz w:val="22"/>
        </w:rPr>
        <w:t xml:space="preserve">, podpůrně také ze </w:t>
      </w:r>
      <w:hyperlink r:id="rId27" w:history="1">
        <w:r w:rsidRPr="007153E5">
          <w:rPr>
            <w:rStyle w:val="Hypertextovodkaz"/>
            <w:color w:val="auto"/>
            <w:sz w:val="22"/>
          </w:rPr>
          <w:t>Znaků a vodítek procesu deinstitucionalizaci</w:t>
        </w:r>
      </w:hyperlink>
      <w:r w:rsidRPr="007153E5">
        <w:rPr>
          <w:sz w:val="22"/>
        </w:rPr>
        <w:t xml:space="preserve"> zpracovaných Národním centrem pro podporu transformace.</w:t>
      </w:r>
      <w:r w:rsidRPr="007153E5">
        <w:rPr>
          <w:rStyle w:val="pokyny"/>
          <w:color w:val="auto"/>
          <w:sz w:val="22"/>
        </w:rPr>
        <w:t xml:space="preserve">  Pro toto monitorovací období byly vybrány některé aspekty transformace, které považujeme za zásadní. Nicméně řádná implementace článku 19 vyžaduje také další kroky, související zejména s rozvojem služeb poskytovaných v přirozené komunitě.  V budoucnu je možné indikátor nastavit jinak, v případě schválení strategie, lze sledovat zejména průběh jejího plnění (procesní indikátor). </w:t>
      </w:r>
    </w:p>
    <w:p w14:paraId="265F7116"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Každý aspekt tohoto indikátoru, tj. písm. a) –</w:t>
      </w:r>
      <w:r w:rsidR="007153E5">
        <w:rPr>
          <w:rStyle w:val="pokyny"/>
          <w:color w:val="auto"/>
          <w:sz w:val="22"/>
        </w:rPr>
        <w:t xml:space="preserve"> e), lze hodnotit jedním bodem.</w:t>
      </w:r>
    </w:p>
    <w:p w14:paraId="3682226C"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Ad a) V roce 2015 připravilo Národní centrum pro transformaci </w:t>
      </w:r>
      <w:hyperlink r:id="rId28" w:history="1">
        <w:r w:rsidRPr="007153E5">
          <w:rPr>
            <w:rStyle w:val="Hypertextovodkaz"/>
            <w:color w:val="auto"/>
            <w:sz w:val="22"/>
          </w:rPr>
          <w:t>Kritéria sociálních služeb komunitního charakteru</w:t>
        </w:r>
      </w:hyperlink>
      <w:r w:rsidRPr="007153E5">
        <w:rPr>
          <w:rStyle w:val="pokyny"/>
          <w:color w:val="auto"/>
          <w:sz w:val="22"/>
        </w:rPr>
        <w:t>, tedy soubor charakteristik pro služby neústavního typu. V rámci nich jsou stanoveny i podmínky pro pobytové sociální služby, včetně povolené kapacity.</w:t>
      </w:r>
      <w:r w:rsidRPr="007153E5">
        <w:rPr>
          <w:rStyle w:val="Znakapoznpodarou"/>
          <w:color w:val="auto"/>
          <w:sz w:val="22"/>
        </w:rPr>
        <w:footnoteReference w:id="10"/>
      </w:r>
      <w:r w:rsidRPr="007153E5">
        <w:rPr>
          <w:rStyle w:val="pokyny"/>
          <w:color w:val="auto"/>
          <w:sz w:val="22"/>
        </w:rPr>
        <w:t xml:space="preserve"> Podobná kritéria obsahuje také </w:t>
      </w:r>
      <w:hyperlink r:id="rId29" w:history="1">
        <w:r w:rsidRPr="007153E5">
          <w:rPr>
            <w:rStyle w:val="Hypertextovodkaz"/>
            <w:color w:val="auto"/>
            <w:sz w:val="22"/>
          </w:rPr>
          <w:t xml:space="preserve">Doporučený postup MPSV č. 2/2016 - </w:t>
        </w:r>
        <w:r w:rsidRPr="007153E5">
          <w:rPr>
            <w:rStyle w:val="Hypertextovodkaz"/>
            <w:color w:val="auto"/>
          </w:rPr>
          <w:t>Materiálně-technický standard pro služby sociální péče poskytované pobytovou formou</w:t>
        </w:r>
      </w:hyperlink>
      <w:r w:rsidR="007153E5">
        <w:t>.</w:t>
      </w:r>
    </w:p>
    <w:p w14:paraId="01442110"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Ad b) Dětští klienti jsou zvláště ohroženou skupinou. Jak vyplynulo z výzkumu veřejného ochránce práv, </w:t>
      </w:r>
      <w:r w:rsidRPr="007153E5">
        <w:t>z roku 2020, nejčastějším důvodem dítěte pro opuštění  DOZP je jeho úmrtí,</w:t>
      </w:r>
      <w:r w:rsidRPr="007153E5">
        <w:rPr>
          <w:rStyle w:val="Znakapoznpodarou"/>
          <w:color w:val="auto"/>
        </w:rPr>
        <w:footnoteReference w:id="11"/>
      </w:r>
      <w:r w:rsidRPr="007153E5">
        <w:t xml:space="preserve"> </w:t>
      </w:r>
      <w:r w:rsidRPr="007153E5">
        <w:lastRenderedPageBreak/>
        <w:t>nezvratný vliv institucionalizace na vývoj dítěte je důkladně popsán ve vědecké literatuře.</w:t>
      </w:r>
      <w:r w:rsidRPr="007153E5">
        <w:rPr>
          <w:rStyle w:val="Znakapoznpodarou"/>
          <w:color w:val="auto"/>
        </w:rPr>
        <w:footnoteReference w:id="12"/>
      </w:r>
      <w:r w:rsidRPr="007153E5">
        <w:t xml:space="preserve"> </w:t>
      </w:r>
      <w:r w:rsidRPr="007153E5">
        <w:rPr>
          <w:rStyle w:val="pokyny"/>
          <w:color w:val="auto"/>
          <w:sz w:val="22"/>
        </w:rPr>
        <w:t xml:space="preserve">Je nezbytné, aby stát přistoupil k moratoriu po umisťování dětských klientů do všech typů ústavních služeb.  Ačkoliv v roce 2021 byla schválená novelizace zákona č. </w:t>
      </w:r>
      <w:r w:rsidRPr="007153E5">
        <w:rPr>
          <w:sz w:val="22"/>
        </w:rPr>
        <w:t>359/1999 Sb., o sociálně-právní ochraně dětí, dle které nadále nebude možné umisťovat děti do tří let do ústavních služeb, zákon obsahuje výjimku pro děti s postižením. Navíc, děti starší tří let mohou být nadále umisťovány do ústavních služeb, a to na základě rozhodnutí soudu</w:t>
      </w:r>
      <w:r w:rsidRPr="007153E5">
        <w:rPr>
          <w:rStyle w:val="Znakapoznpodarou"/>
          <w:color w:val="auto"/>
          <w:sz w:val="22"/>
        </w:rPr>
        <w:footnoteReference w:id="13"/>
      </w:r>
      <w:r w:rsidRPr="007153E5">
        <w:rPr>
          <w:sz w:val="22"/>
        </w:rPr>
        <w:t xml:space="preserve"> či souhlasu rodičů. Nutno také dodat, že většina dětských domovů a značná část pobytových služeb, o kterých jsou umisťovány děti s postižením, nesplňuje požadavky pro služby komunitního typu. Stát jednoznačně nerozhodl o moratoriu pro umisťování dětí do ústavních služeb</w:t>
      </w:r>
      <w:r w:rsidR="007153E5">
        <w:rPr>
          <w:sz w:val="22"/>
        </w:rPr>
        <w:t>.</w:t>
      </w:r>
    </w:p>
    <w:p w14:paraId="2378E95F"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sz w:val="22"/>
        </w:rPr>
      </w:pPr>
      <w:r w:rsidRPr="007153E5">
        <w:rPr>
          <w:rStyle w:val="pokyny"/>
          <w:color w:val="auto"/>
          <w:sz w:val="22"/>
        </w:rPr>
        <w:t>Ad c) Česká republika se ani na zákonné úrovni, ani v rámci žádné své strategie či plánu  nepřihlásila k úplnému zavření všech ústavů nebo jejich přeměně na komunitní služby. Přitom to je zásadním požadavkem dle čl. 19 Úmluvy, kdy např. pouhé snižování kapacit ústavních služeb není dostačující.</w:t>
      </w:r>
      <w:r w:rsidRPr="007153E5">
        <w:rPr>
          <w:rStyle w:val="Znakapoznpodarou"/>
          <w:color w:val="auto"/>
        </w:rPr>
        <w:footnoteReference w:id="14"/>
      </w:r>
      <w:r w:rsidRPr="007153E5">
        <w:rPr>
          <w:rStyle w:val="pokyny"/>
          <w:color w:val="auto"/>
          <w:sz w:val="22"/>
        </w:rPr>
        <w:t xml:space="preserve"> Ačkoliv </w:t>
      </w:r>
      <w:hyperlink r:id="rId30" w:history="1">
        <w:r w:rsidRPr="007153E5">
          <w:rPr>
            <w:rStyle w:val="Hypertextovodkaz"/>
            <w:color w:val="auto"/>
            <w:sz w:val="22"/>
          </w:rPr>
          <w:t>Národní strategie rozvoje sociálních služeb na období 2016–2025</w:t>
        </w:r>
      </w:hyperlink>
      <w:r w:rsidRPr="007153E5">
        <w:rPr>
          <w:sz w:val="22"/>
        </w:rPr>
        <w:t xml:space="preserve"> mluví o postupném přechodu institucionálního modelu péče na komunitní,</w:t>
      </w:r>
      <w:r w:rsidRPr="007153E5">
        <w:rPr>
          <w:rStyle w:val="Znakapoznpodarou"/>
          <w:color w:val="auto"/>
          <w:sz w:val="22"/>
        </w:rPr>
        <w:t xml:space="preserve"> </w:t>
      </w:r>
      <w:r w:rsidRPr="007153E5">
        <w:rPr>
          <w:rStyle w:val="Znakapoznpodarou"/>
          <w:color w:val="auto"/>
          <w:sz w:val="22"/>
        </w:rPr>
        <w:footnoteReference w:id="15"/>
      </w:r>
      <w:r w:rsidRPr="007153E5">
        <w:rPr>
          <w:sz w:val="22"/>
        </w:rPr>
        <w:t xml:space="preserve"> jednoznačný a terminov</w:t>
      </w:r>
      <w:r w:rsidR="007153E5">
        <w:rPr>
          <w:sz w:val="22"/>
        </w:rPr>
        <w:t>aný závazek z ní nelze dovodit.</w:t>
      </w:r>
    </w:p>
    <w:p w14:paraId="222FD5BF"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sz w:val="22"/>
        </w:rPr>
        <w:t xml:space="preserve">Ad d)  </w:t>
      </w:r>
      <w:r w:rsidRPr="007153E5">
        <w:rPr>
          <w:rStyle w:val="pokyny"/>
          <w:color w:val="auto"/>
          <w:sz w:val="22"/>
        </w:rPr>
        <w:t>V českém prostředí je za oblast sociálních služeb a za jejich transformaci odpovědné MPSV. Je však nutné dodat, že existují pochybnosti o tom, jakým způsobem je tato koordinace vykonávána.</w:t>
      </w:r>
      <w:r w:rsidRPr="007153E5">
        <w:rPr>
          <w:rStyle w:val="Znakapoznpodarou"/>
          <w:color w:val="auto"/>
          <w:sz w:val="22"/>
        </w:rPr>
        <w:footnoteReference w:id="16"/>
      </w:r>
      <w:r w:rsidRPr="007153E5">
        <w:rPr>
          <w:rStyle w:val="pokyny"/>
          <w:color w:val="auto"/>
          <w:sz w:val="22"/>
        </w:rPr>
        <w:t xml:space="preserve">  </w:t>
      </w:r>
    </w:p>
    <w:p w14:paraId="2F87C74F" w14:textId="77777777" w:rsidR="004D4535" w:rsidRPr="007153E5" w:rsidRDefault="004D4535" w:rsidP="004D453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Ad e) </w:t>
      </w:r>
      <w:r w:rsidRPr="007153E5">
        <w:rPr>
          <w:sz w:val="22"/>
        </w:rPr>
        <w:t xml:space="preserve">Národní strategie rozvoje sociálních služeb na období 2016–2025 byl zpracován MPSV ve spolupráci s dalšími rezorty a externími konzultanty. V žádné části této strategie se neuvádí, že by se její přípravy aktivně účastnili lidé s postižením, lidé žijící v ústavech nebo jejich reprezentativní organizace. </w:t>
      </w:r>
    </w:p>
    <w:p w14:paraId="06F5FB2B" w14:textId="77777777" w:rsidR="004D4535" w:rsidRPr="007153E5" w:rsidRDefault="004D4535" w:rsidP="004D4535">
      <w:pPr>
        <w:pStyle w:val="Zkladntext"/>
        <w:rPr>
          <w:rStyle w:val="pokyny"/>
          <w:color w:val="auto"/>
        </w:rPr>
      </w:pPr>
      <w:r w:rsidRPr="007153E5">
        <w:rPr>
          <w:rStyle w:val="pokyny"/>
          <w:color w:val="auto"/>
        </w:rPr>
        <w:t>Progres v implementaci čl. 19 Úmluvy:</w:t>
      </w:r>
      <w:r w:rsidR="007153E5">
        <w:rPr>
          <w:rStyle w:val="pokyny"/>
          <w:color w:val="auto"/>
        </w:rPr>
        <w:t xml:space="preserve"> </w:t>
      </w:r>
      <w:r w:rsidRPr="007153E5">
        <w:rPr>
          <w:rStyle w:val="pokyny"/>
          <w:color w:val="auto"/>
        </w:rPr>
        <w:t xml:space="preserve">Zvyšuje se počet </w:t>
      </w:r>
      <w:r w:rsidR="007153E5">
        <w:rPr>
          <w:rStyle w:val="pokyny"/>
          <w:color w:val="auto"/>
        </w:rPr>
        <w:t xml:space="preserve">bodů, tj. </w:t>
      </w:r>
      <w:r w:rsidRPr="007153E5">
        <w:rPr>
          <w:rStyle w:val="pokyny"/>
          <w:color w:val="auto"/>
        </w:rPr>
        <w:t>oblastí – kroků státu, které stát učinil a bez kterých zároveň nemůže být proces transformace koordinovaně a úspěšně završen. Po naplnění všech oblastí lze uvažovat o změně indikátoru.</w:t>
      </w:r>
    </w:p>
    <w:p w14:paraId="25B14F74" w14:textId="77777777" w:rsidR="007153E5" w:rsidRPr="007153E5" w:rsidRDefault="007153E5" w:rsidP="007153E5">
      <w:pPr>
        <w:pStyle w:val="Nadpis3"/>
        <w:rPr>
          <w:rStyle w:val="Siln"/>
          <w:rFonts w:eastAsiaTheme="minorEastAsia"/>
          <w:b w:val="0"/>
          <w:bCs w:val="0"/>
        </w:rPr>
      </w:pPr>
      <w:bookmarkStart w:id="37" w:name="_Toc81417437"/>
      <w:r w:rsidRPr="007153E5">
        <w:rPr>
          <w:rStyle w:val="Siln"/>
          <w:rFonts w:eastAsiaTheme="minorEastAsia"/>
          <w:b w:val="0"/>
          <w:bCs w:val="0"/>
        </w:rPr>
        <w:lastRenderedPageBreak/>
        <w:t>Reforma péče o duševní zdraví zohledňuje právo lidí s psychosociálním postižením na život v komunitě</w:t>
      </w:r>
      <w:bookmarkEnd w:id="37"/>
    </w:p>
    <w:p w14:paraId="1E41DCC6" w14:textId="77777777" w:rsidR="007153E5" w:rsidRPr="007153E5" w:rsidRDefault="007153E5" w:rsidP="007153E5">
      <w:pPr>
        <w:pStyle w:val="Zkladntext"/>
        <w:rPr>
          <w:rStyle w:val="Siln"/>
          <w:b w:val="0"/>
        </w:rPr>
      </w:pPr>
      <w:r w:rsidRPr="007153E5">
        <w:rPr>
          <w:rStyle w:val="Siln"/>
          <w:b w:val="0"/>
        </w:rPr>
        <w:t xml:space="preserve">Schválený plán reformy péče o duševní zdraví obsahuje: </w:t>
      </w:r>
    </w:p>
    <w:p w14:paraId="5FBF6448" w14:textId="77777777" w:rsidR="007153E5" w:rsidRPr="007153E5" w:rsidRDefault="007153E5" w:rsidP="007153E5">
      <w:pPr>
        <w:pStyle w:val="Zkladntext"/>
        <w:numPr>
          <w:ilvl w:val="0"/>
          <w:numId w:val="36"/>
        </w:numPr>
        <w:rPr>
          <w:rStyle w:val="Siln"/>
          <w:b w:val="0"/>
        </w:rPr>
      </w:pPr>
      <w:r w:rsidRPr="007153E5">
        <w:rPr>
          <w:rStyle w:val="Siln"/>
          <w:b w:val="0"/>
        </w:rPr>
        <w:t>Moratorium pro ukončení všech dlouhodobých hospitalizací (delší než 6 měsíců)</w:t>
      </w:r>
      <w:r w:rsidRPr="007153E5">
        <w:rPr>
          <w:rStyle w:val="Znakapoznpodarou"/>
          <w:b w:val="0"/>
          <w:bCs/>
        </w:rPr>
        <w:footnoteReference w:id="17"/>
      </w:r>
      <w:r w:rsidRPr="007153E5">
        <w:rPr>
          <w:rStyle w:val="Siln"/>
          <w:b w:val="0"/>
        </w:rPr>
        <w:t xml:space="preserve"> a plán přechodu pacientů z dlouhodobé hospitalizace do komunity</w:t>
      </w:r>
    </w:p>
    <w:p w14:paraId="0B9BDD3C" w14:textId="77777777" w:rsidR="007153E5" w:rsidRPr="007153E5" w:rsidRDefault="007153E5" w:rsidP="007153E5">
      <w:pPr>
        <w:pStyle w:val="Zkladntext"/>
        <w:numPr>
          <w:ilvl w:val="0"/>
          <w:numId w:val="36"/>
        </w:numPr>
        <w:rPr>
          <w:rStyle w:val="Siln"/>
          <w:b w:val="0"/>
        </w:rPr>
      </w:pPr>
      <w:r w:rsidRPr="007153E5">
        <w:rPr>
          <w:rStyle w:val="Siln"/>
          <w:b w:val="0"/>
        </w:rPr>
        <w:t xml:space="preserve">Termínovaný plán k deinstitucionalizaci všech psychiatrických nemocnic </w:t>
      </w:r>
    </w:p>
    <w:p w14:paraId="7582F7F2" w14:textId="77777777" w:rsidR="007153E5" w:rsidRPr="007153E5" w:rsidRDefault="007153E5" w:rsidP="007153E5">
      <w:pPr>
        <w:pStyle w:val="Zkladntext"/>
        <w:numPr>
          <w:ilvl w:val="0"/>
          <w:numId w:val="36"/>
        </w:numPr>
        <w:rPr>
          <w:rStyle w:val="Siln"/>
          <w:b w:val="0"/>
        </w:rPr>
      </w:pPr>
      <w:r w:rsidRPr="007153E5">
        <w:rPr>
          <w:rStyle w:val="Siln"/>
          <w:b w:val="0"/>
        </w:rPr>
        <w:t>Konkrétní kroky k zajištění dostupnosti bydlení, včetně pobytových sociálních služeb pro lidi s duševním onemocněním</w:t>
      </w:r>
    </w:p>
    <w:p w14:paraId="3C6F051C" w14:textId="77777777" w:rsidR="007153E5" w:rsidRPr="007153E5" w:rsidRDefault="007153E5" w:rsidP="007153E5">
      <w:pPr>
        <w:pStyle w:val="Zkladntext"/>
        <w:numPr>
          <w:ilvl w:val="0"/>
          <w:numId w:val="36"/>
        </w:numPr>
        <w:rPr>
          <w:rStyle w:val="Siln"/>
          <w:b w:val="0"/>
        </w:rPr>
      </w:pPr>
      <w:r w:rsidRPr="007153E5">
        <w:rPr>
          <w:rStyle w:val="Siln"/>
          <w:b w:val="0"/>
        </w:rPr>
        <w:t>Stanovení orgánu odpovědného za realizaci reformy ústavních psychiatrických zařízení směrem k péči v komunitě</w:t>
      </w:r>
    </w:p>
    <w:p w14:paraId="0A23E94E" w14:textId="77777777" w:rsidR="007153E5" w:rsidRPr="007153E5" w:rsidRDefault="007153E5" w:rsidP="007153E5">
      <w:pPr>
        <w:pStyle w:val="Zkladntext"/>
        <w:numPr>
          <w:ilvl w:val="0"/>
          <w:numId w:val="36"/>
        </w:numPr>
        <w:rPr>
          <w:rStyle w:val="Siln"/>
          <w:b w:val="0"/>
          <w:bCs w:val="0"/>
        </w:rPr>
      </w:pPr>
      <w:r w:rsidRPr="007153E5">
        <w:rPr>
          <w:rStyle w:val="Siln"/>
          <w:b w:val="0"/>
        </w:rPr>
        <w:t xml:space="preserve">Na tvorbě a realizaci plánu se aktivně podíleli lidé se zkušeností s hospitalizací, lidé s psychosociálním postižením, pečující osoby a jejich reprezentativní organizace </w:t>
      </w:r>
    </w:p>
    <w:p w14:paraId="1EB9F88E" w14:textId="77777777" w:rsidR="007153E5" w:rsidRPr="007153E5" w:rsidRDefault="007153E5" w:rsidP="007153E5">
      <w:pPr>
        <w:pStyle w:val="Zkladntext"/>
        <w:rPr>
          <w:rStyle w:val="Siln"/>
          <w:b w:val="0"/>
          <w:bCs w:val="0"/>
        </w:rPr>
      </w:pPr>
      <w:r w:rsidRPr="007153E5">
        <w:rPr>
          <w:rStyle w:val="Siln"/>
          <w:b w:val="0"/>
        </w:rPr>
        <w:t>Maximální skóre: 5</w:t>
      </w:r>
    </w:p>
    <w:p w14:paraId="5F81214C" w14:textId="77777777" w:rsidR="007153E5" w:rsidRPr="007153E5" w:rsidRDefault="007153E5" w:rsidP="007153E5">
      <w:pPr>
        <w:pStyle w:val="Zkladntext"/>
        <w:rPr>
          <w:rStyle w:val="Siln"/>
          <w:b w:val="0"/>
          <w:bCs w:val="0"/>
        </w:rPr>
      </w:pPr>
      <w:r w:rsidRPr="007153E5">
        <w:rPr>
          <w:rStyle w:val="Siln"/>
          <w:b w:val="0"/>
        </w:rPr>
        <w:t xml:space="preserve">Aktuálně skóre: </w:t>
      </w:r>
      <w:r>
        <w:rPr>
          <w:rStyle w:val="Siln"/>
          <w:b w:val="0"/>
        </w:rPr>
        <w:t>X</w:t>
      </w:r>
    </w:p>
    <w:p w14:paraId="77E745E9"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Komentář</w:t>
      </w:r>
    </w:p>
    <w:p w14:paraId="7E71EBA9"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Při tvorbě tohoto indikátoru jsme vycházeli z </w:t>
      </w:r>
      <w:hyperlink r:id="rId31" w:history="1">
        <w:r w:rsidRPr="007153E5">
          <w:rPr>
            <w:rStyle w:val="Hypertextovodkaz"/>
            <w:color w:val="auto"/>
            <w:sz w:val="22"/>
          </w:rPr>
          <w:t>Obecného komentáře Výboru CRPD k článku 19</w:t>
        </w:r>
      </w:hyperlink>
      <w:r w:rsidRPr="007153E5">
        <w:rPr>
          <w:rStyle w:val="pokyny"/>
          <w:color w:val="auto"/>
          <w:sz w:val="22"/>
        </w:rPr>
        <w:t xml:space="preserve"> a </w:t>
      </w:r>
      <w:hyperlink r:id="rId32" w:history="1">
        <w:r w:rsidRPr="007153E5">
          <w:rPr>
            <w:rStyle w:val="Hypertextovodkaz"/>
            <w:color w:val="auto"/>
            <w:sz w:val="22"/>
          </w:rPr>
          <w:t>Indikátorů zpracovaných kanceláří Vysokého komisaře pro lidská práva</w:t>
        </w:r>
      </w:hyperlink>
      <w:r w:rsidRPr="007153E5">
        <w:rPr>
          <w:rStyle w:val="pokyny"/>
          <w:color w:val="auto"/>
          <w:sz w:val="22"/>
        </w:rPr>
        <w:t xml:space="preserve">. Pro účely tohoto indikátoru jsou zohledňovány jen ty oblasti Reformy péče o duševní zdraví, které se dotýkají práva na život v komunitě, ostatní oblasti budou součástí indikátorů v jiných článcích (zejména 12, 14 – 17). </w:t>
      </w:r>
    </w:p>
    <w:p w14:paraId="736AA183"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Naplnění tohoto indikátoru budeme hodnotit zejména na základě </w:t>
      </w:r>
      <w:hyperlink r:id="rId33" w:history="1">
        <w:r w:rsidRPr="007153E5">
          <w:rPr>
            <w:rStyle w:val="Hypertextovodkaz"/>
            <w:color w:val="auto"/>
            <w:sz w:val="22"/>
          </w:rPr>
          <w:t>Národního akčního plánu pro duševní zdraví 2020 -2030</w:t>
        </w:r>
      </w:hyperlink>
      <w:r w:rsidRPr="007153E5">
        <w:rPr>
          <w:rStyle w:val="pokyny"/>
          <w:color w:val="auto"/>
          <w:sz w:val="22"/>
        </w:rPr>
        <w:t xml:space="preserve"> (NAPDZ), </w:t>
      </w:r>
      <w:hyperlink r:id="rId34" w:history="1">
        <w:r w:rsidRPr="007153E5">
          <w:rPr>
            <w:rStyle w:val="Hypertextovodkaz"/>
            <w:color w:val="auto"/>
            <w:sz w:val="22"/>
          </w:rPr>
          <w:t>Implementace národního akčního plánu na období 2020 – 2023</w:t>
        </w:r>
      </w:hyperlink>
      <w:r w:rsidRPr="007153E5">
        <w:rPr>
          <w:rStyle w:val="pokyny"/>
          <w:color w:val="auto"/>
          <w:sz w:val="22"/>
        </w:rPr>
        <w:t xml:space="preserve"> (INAPDZ) a </w:t>
      </w:r>
      <w:hyperlink r:id="rId35" w:history="1">
        <w:r w:rsidRPr="007153E5">
          <w:rPr>
            <w:rStyle w:val="Hypertextovodkaz"/>
            <w:color w:val="auto"/>
            <w:sz w:val="22"/>
          </w:rPr>
          <w:t>Dokumentů Rady vlády pro duševní zdraví</w:t>
        </w:r>
      </w:hyperlink>
      <w:r w:rsidRPr="007153E5">
        <w:rPr>
          <w:rStyle w:val="pokyny"/>
          <w:color w:val="auto"/>
          <w:sz w:val="22"/>
        </w:rPr>
        <w:t xml:space="preserve">. </w:t>
      </w:r>
    </w:p>
    <w:p w14:paraId="5CC306D0"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Každý aspekt tohoto indikátoru, tj. písm. a) –</w:t>
      </w:r>
      <w:r>
        <w:rPr>
          <w:rStyle w:val="pokyny"/>
          <w:color w:val="auto"/>
          <w:sz w:val="22"/>
        </w:rPr>
        <w:t xml:space="preserve"> e), lze hodnotit jedním bodem.</w:t>
      </w:r>
    </w:p>
    <w:p w14:paraId="40E94CE1"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Ad a) Ačkoliv některé body NAPDZ směřují k deinstitucionalizaci v oblasti psychiatrické péče (zejména specifické cíle 1.6, 2.1, 4.2, 4.3, 4.4, 5.2), závazek k ukončení veškerých dlouhodobých hospitalizací nebyl zatím vysloven. Dokument INAPDZ obsahuje opatření pro snížení počtu lůžek následné péče </w:t>
      </w:r>
      <w:r w:rsidRPr="007153E5">
        <w:rPr>
          <w:sz w:val="22"/>
        </w:rPr>
        <w:t>u poskytovatelů zdravotních služeb následné lůžkové péče v oboru psychiatrie o 2/3, součástí kterého je také provázání transformačních plánů poskytovateli se střednědobými a komunitními plány krajů, dořešení transformace následných lůžek v lůžka specializovaná dle účelu, kterému slouží a mají sloužit (forenzní lůžka pro ochranná léčení v ústavní formě, specializovaná lůžka pro léčbu závislostí, pro pacienty s poruchou příjmu potravy), a plánů péče o pacienty s demencí pro zajištění péče</w:t>
      </w:r>
      <w:r>
        <w:rPr>
          <w:sz w:val="22"/>
        </w:rPr>
        <w:t xml:space="preserve"> v komunitě (Opatření 4. 2. 3).</w:t>
      </w:r>
    </w:p>
    <w:p w14:paraId="51371C1E" w14:textId="77777777" w:rsidR="007153E5" w:rsidRDefault="007153E5" w:rsidP="007153E5">
      <w:pPr>
        <w:pStyle w:val="Zkladntext"/>
        <w:pBdr>
          <w:top w:val="single" w:sz="4" w:space="1" w:color="auto"/>
          <w:left w:val="single" w:sz="4" w:space="4" w:color="auto"/>
          <w:bottom w:val="single" w:sz="4" w:space="1" w:color="auto"/>
          <w:right w:val="single" w:sz="4" w:space="4" w:color="auto"/>
        </w:pBdr>
        <w:rPr>
          <w:rStyle w:val="pokyny"/>
          <w:b/>
          <w:color w:val="auto"/>
          <w:sz w:val="22"/>
        </w:rPr>
      </w:pPr>
      <w:r w:rsidRPr="007153E5">
        <w:rPr>
          <w:rStyle w:val="pokyny"/>
          <w:color w:val="auto"/>
          <w:sz w:val="22"/>
        </w:rPr>
        <w:lastRenderedPageBreak/>
        <w:t xml:space="preserve">Ad b) Dokumenty Reformy péče o duševní zdraví obsahují opatření k rozvoji psychiatrické péče v rámci běžných nemocnic (Opatření 4.2.1, 5.3.1) a v komunitě (Opatření 1.6.1, 2.1.1, 4.1.2, 4.1.3, 4.3.1, 4.3.2, 4.3.3) a také ke snižování lůžek následné péče, avšak nepočítá s úplnou transformací ústavních zařízení (bývalých psychiatrických léčeben). </w:t>
      </w:r>
    </w:p>
    <w:p w14:paraId="4A3E9692" w14:textId="77777777" w:rsidR="007153E5" w:rsidRDefault="007153E5" w:rsidP="007153E5">
      <w:pPr>
        <w:pStyle w:val="Zkladntext"/>
        <w:pBdr>
          <w:top w:val="single" w:sz="4" w:space="1" w:color="auto"/>
          <w:left w:val="single" w:sz="4" w:space="4" w:color="auto"/>
          <w:bottom w:val="single" w:sz="4" w:space="1" w:color="auto"/>
          <w:right w:val="single" w:sz="4" w:space="4" w:color="auto"/>
        </w:pBdr>
        <w:rPr>
          <w:b/>
          <w:sz w:val="22"/>
        </w:rPr>
      </w:pPr>
      <w:r w:rsidRPr="007153E5">
        <w:rPr>
          <w:rStyle w:val="pokyny"/>
          <w:color w:val="auto"/>
          <w:sz w:val="22"/>
        </w:rPr>
        <w:t xml:space="preserve">Ad c) Dokument INAPDZ počítá s rozvojem sítě sociálních služeb v přirozené komunitě (Opatření 4.2.2, 5.2.2) a vytvoření a pilotování systému sociálního bydlení  </w:t>
      </w:r>
      <w:r w:rsidRPr="007153E5">
        <w:rPr>
          <w:sz w:val="22"/>
        </w:rPr>
        <w:t xml:space="preserve">(Opatření 1.6.1, 5.2.3). </w:t>
      </w:r>
    </w:p>
    <w:p w14:paraId="5E23398D"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sz w:val="22"/>
        </w:rPr>
      </w:pPr>
      <w:r w:rsidRPr="007153E5">
        <w:rPr>
          <w:sz w:val="22"/>
        </w:rPr>
        <w:t xml:space="preserve">Ad d) Orgánem odpovědným za koordinaci reformy je Rada vlády pro duševní zdraví (Opatření 1.1.1 a 1.1.2), jednotlivá opatření jsou v gesci </w:t>
      </w:r>
      <w:r>
        <w:rPr>
          <w:sz w:val="22"/>
        </w:rPr>
        <w:t>jednotlivých rezortů.</w:t>
      </w:r>
    </w:p>
    <w:p w14:paraId="0863C040"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b/>
          <w:color w:val="auto"/>
          <w:sz w:val="22"/>
        </w:rPr>
      </w:pPr>
      <w:r w:rsidRPr="007153E5">
        <w:rPr>
          <w:sz w:val="22"/>
        </w:rPr>
        <w:t>Ad e) Na tvorbě obou plánů i na jejich realizaci se přímo podílejí lidé s psychosociálním postižením. Lidé se zkušeností a zástupci pečujících jsou čle</w:t>
      </w:r>
      <w:r>
        <w:rPr>
          <w:sz w:val="22"/>
        </w:rPr>
        <w:t>ny řídících orgánů pro reformu.</w:t>
      </w:r>
    </w:p>
    <w:p w14:paraId="75D30B8C" w14:textId="77777777" w:rsidR="007153E5" w:rsidRPr="007153E5" w:rsidRDefault="007153E5" w:rsidP="007153E5">
      <w:pPr>
        <w:pStyle w:val="Zkladntext"/>
        <w:rPr>
          <w:rStyle w:val="pokyny"/>
          <w:color w:val="auto"/>
        </w:rPr>
      </w:pPr>
      <w:r w:rsidRPr="007153E5">
        <w:rPr>
          <w:rStyle w:val="pokyny"/>
          <w:color w:val="auto"/>
        </w:rPr>
        <w:t>Progres v implementaci čl. 19 Úmluvy:</w:t>
      </w:r>
    </w:p>
    <w:p w14:paraId="3C6EF1D2" w14:textId="77777777" w:rsidR="007153E5" w:rsidRDefault="007153E5" w:rsidP="007153E5">
      <w:pPr>
        <w:pStyle w:val="Seznam"/>
        <w:spacing w:before="120" w:after="120"/>
        <w:ind w:left="1275"/>
        <w:rPr>
          <w:rStyle w:val="pokyny"/>
          <w:color w:val="000000" w:themeColor="text1"/>
        </w:rPr>
      </w:pPr>
      <w:r w:rsidRPr="00743E45">
        <w:rPr>
          <w:rStyle w:val="pokyny"/>
          <w:color w:val="000000" w:themeColor="text1"/>
        </w:rPr>
        <w:t>Míra naplnění se postupně zvyšuje</w:t>
      </w:r>
      <w:r>
        <w:rPr>
          <w:rStyle w:val="pokyny"/>
          <w:color w:val="000000" w:themeColor="text1"/>
        </w:rPr>
        <w:t xml:space="preserve"> (zvyšuje se počet bodů)</w:t>
      </w:r>
      <w:r w:rsidRPr="00743E45">
        <w:rPr>
          <w:rStyle w:val="pokyny"/>
          <w:color w:val="000000" w:themeColor="text1"/>
        </w:rPr>
        <w:t>, v případě dosažení plného sk</w:t>
      </w:r>
      <w:r>
        <w:rPr>
          <w:rStyle w:val="pokyny"/>
          <w:color w:val="000000" w:themeColor="text1"/>
        </w:rPr>
        <w:t>óre, lze uvažovat o změně indikátoru.</w:t>
      </w:r>
    </w:p>
    <w:p w14:paraId="073FD7CA" w14:textId="77777777" w:rsidR="00D853A9" w:rsidRPr="007153E5" w:rsidRDefault="00D853A9" w:rsidP="00D853A9">
      <w:pPr>
        <w:pStyle w:val="Seznam"/>
        <w:numPr>
          <w:ilvl w:val="0"/>
          <w:numId w:val="0"/>
        </w:numPr>
        <w:rPr>
          <w:rStyle w:val="Siln"/>
          <w:b w:val="0"/>
        </w:rPr>
      </w:pPr>
    </w:p>
    <w:p w14:paraId="37461356" w14:textId="77777777" w:rsidR="00D853A9" w:rsidRDefault="00D853A9" w:rsidP="00D853A9">
      <w:pPr>
        <w:pStyle w:val="Seznam"/>
        <w:numPr>
          <w:ilvl w:val="0"/>
          <w:numId w:val="0"/>
        </w:numPr>
        <w:ind w:left="567" w:hanging="567"/>
        <w:rPr>
          <w:rStyle w:val="Siln"/>
          <w:b w:val="0"/>
        </w:rPr>
      </w:pPr>
    </w:p>
    <w:p w14:paraId="16609180" w14:textId="77777777" w:rsidR="00D853A9" w:rsidRDefault="00D853A9" w:rsidP="00D853A9">
      <w:pPr>
        <w:pStyle w:val="Seznam"/>
        <w:numPr>
          <w:ilvl w:val="0"/>
          <w:numId w:val="0"/>
        </w:numPr>
        <w:ind w:left="567" w:hanging="567"/>
        <w:rPr>
          <w:rStyle w:val="Siln"/>
          <w:b w:val="0"/>
          <w:bCs w:val="0"/>
        </w:rPr>
      </w:pPr>
    </w:p>
    <w:p w14:paraId="11BAAB60" w14:textId="77777777" w:rsidR="007153E5" w:rsidRDefault="007153E5" w:rsidP="00D853A9">
      <w:pPr>
        <w:pStyle w:val="Seznam"/>
        <w:numPr>
          <w:ilvl w:val="0"/>
          <w:numId w:val="0"/>
        </w:numPr>
        <w:ind w:left="567" w:hanging="567"/>
        <w:rPr>
          <w:rStyle w:val="Siln"/>
          <w:b w:val="0"/>
          <w:bCs w:val="0"/>
        </w:rPr>
      </w:pPr>
    </w:p>
    <w:p w14:paraId="414D4D7A" w14:textId="77777777" w:rsidR="007153E5" w:rsidRDefault="007153E5" w:rsidP="00D853A9">
      <w:pPr>
        <w:pStyle w:val="Seznam"/>
        <w:numPr>
          <w:ilvl w:val="0"/>
          <w:numId w:val="0"/>
        </w:numPr>
        <w:ind w:left="567" w:hanging="567"/>
        <w:rPr>
          <w:rStyle w:val="Siln"/>
          <w:b w:val="0"/>
          <w:bCs w:val="0"/>
        </w:rPr>
      </w:pPr>
    </w:p>
    <w:p w14:paraId="4DA225B9" w14:textId="77777777" w:rsidR="007153E5" w:rsidRDefault="007153E5" w:rsidP="00D853A9">
      <w:pPr>
        <w:pStyle w:val="Seznam"/>
        <w:numPr>
          <w:ilvl w:val="0"/>
          <w:numId w:val="0"/>
        </w:numPr>
        <w:ind w:left="567" w:hanging="567"/>
        <w:rPr>
          <w:rStyle w:val="Siln"/>
          <w:b w:val="0"/>
          <w:bCs w:val="0"/>
        </w:rPr>
      </w:pPr>
    </w:p>
    <w:p w14:paraId="608E1354" w14:textId="77777777" w:rsidR="007153E5" w:rsidRDefault="007153E5" w:rsidP="00D853A9">
      <w:pPr>
        <w:pStyle w:val="Seznam"/>
        <w:numPr>
          <w:ilvl w:val="0"/>
          <w:numId w:val="0"/>
        </w:numPr>
        <w:ind w:left="567" w:hanging="567"/>
        <w:rPr>
          <w:rStyle w:val="Siln"/>
          <w:b w:val="0"/>
          <w:bCs w:val="0"/>
        </w:rPr>
      </w:pPr>
    </w:p>
    <w:p w14:paraId="458877A6" w14:textId="77777777" w:rsidR="007153E5" w:rsidRDefault="007153E5" w:rsidP="00D853A9">
      <w:pPr>
        <w:pStyle w:val="Seznam"/>
        <w:numPr>
          <w:ilvl w:val="0"/>
          <w:numId w:val="0"/>
        </w:numPr>
        <w:ind w:left="567" w:hanging="567"/>
        <w:rPr>
          <w:rStyle w:val="Siln"/>
          <w:b w:val="0"/>
          <w:bCs w:val="0"/>
        </w:rPr>
      </w:pPr>
    </w:p>
    <w:p w14:paraId="1F62F7FE" w14:textId="77777777" w:rsidR="007153E5" w:rsidRDefault="007153E5" w:rsidP="00D853A9">
      <w:pPr>
        <w:pStyle w:val="Seznam"/>
        <w:numPr>
          <w:ilvl w:val="0"/>
          <w:numId w:val="0"/>
        </w:numPr>
        <w:ind w:left="567" w:hanging="567"/>
        <w:rPr>
          <w:rStyle w:val="Siln"/>
          <w:b w:val="0"/>
          <w:bCs w:val="0"/>
        </w:rPr>
      </w:pPr>
    </w:p>
    <w:p w14:paraId="32D09933" w14:textId="77777777" w:rsidR="007153E5" w:rsidRDefault="007153E5" w:rsidP="00D853A9">
      <w:pPr>
        <w:pStyle w:val="Seznam"/>
        <w:numPr>
          <w:ilvl w:val="0"/>
          <w:numId w:val="0"/>
        </w:numPr>
        <w:ind w:left="567" w:hanging="567"/>
        <w:rPr>
          <w:rStyle w:val="Siln"/>
          <w:b w:val="0"/>
          <w:bCs w:val="0"/>
        </w:rPr>
      </w:pPr>
    </w:p>
    <w:p w14:paraId="07920FC6" w14:textId="77777777" w:rsidR="007153E5" w:rsidRDefault="007153E5" w:rsidP="00D853A9">
      <w:pPr>
        <w:pStyle w:val="Seznam"/>
        <w:numPr>
          <w:ilvl w:val="0"/>
          <w:numId w:val="0"/>
        </w:numPr>
        <w:ind w:left="567" w:hanging="567"/>
        <w:rPr>
          <w:rStyle w:val="Siln"/>
          <w:b w:val="0"/>
          <w:bCs w:val="0"/>
        </w:rPr>
      </w:pPr>
    </w:p>
    <w:p w14:paraId="0973D508" w14:textId="77777777" w:rsidR="007153E5" w:rsidRDefault="007153E5" w:rsidP="00D853A9">
      <w:pPr>
        <w:pStyle w:val="Seznam"/>
        <w:numPr>
          <w:ilvl w:val="0"/>
          <w:numId w:val="0"/>
        </w:numPr>
        <w:ind w:left="567" w:hanging="567"/>
        <w:rPr>
          <w:rStyle w:val="Siln"/>
          <w:b w:val="0"/>
          <w:bCs w:val="0"/>
        </w:rPr>
      </w:pPr>
    </w:p>
    <w:p w14:paraId="3BC04CED" w14:textId="77777777" w:rsidR="007153E5" w:rsidRDefault="007153E5" w:rsidP="00D853A9">
      <w:pPr>
        <w:pStyle w:val="Seznam"/>
        <w:numPr>
          <w:ilvl w:val="0"/>
          <w:numId w:val="0"/>
        </w:numPr>
        <w:ind w:left="567" w:hanging="567"/>
        <w:rPr>
          <w:rStyle w:val="Siln"/>
          <w:b w:val="0"/>
          <w:bCs w:val="0"/>
        </w:rPr>
      </w:pPr>
    </w:p>
    <w:p w14:paraId="5B5402B4" w14:textId="77777777" w:rsidR="007153E5" w:rsidRDefault="007153E5" w:rsidP="00D853A9">
      <w:pPr>
        <w:pStyle w:val="Seznam"/>
        <w:numPr>
          <w:ilvl w:val="0"/>
          <w:numId w:val="0"/>
        </w:numPr>
        <w:ind w:left="567" w:hanging="567"/>
        <w:rPr>
          <w:rStyle w:val="Siln"/>
          <w:b w:val="0"/>
          <w:bCs w:val="0"/>
        </w:rPr>
      </w:pPr>
    </w:p>
    <w:p w14:paraId="40F88EBA" w14:textId="77777777" w:rsidR="007153E5" w:rsidRDefault="007153E5" w:rsidP="00D853A9">
      <w:pPr>
        <w:pStyle w:val="Seznam"/>
        <w:numPr>
          <w:ilvl w:val="0"/>
          <w:numId w:val="0"/>
        </w:numPr>
        <w:ind w:left="567" w:hanging="567"/>
        <w:rPr>
          <w:rStyle w:val="Siln"/>
          <w:b w:val="0"/>
          <w:bCs w:val="0"/>
        </w:rPr>
      </w:pPr>
    </w:p>
    <w:p w14:paraId="1A885F86" w14:textId="77777777" w:rsidR="007153E5" w:rsidRDefault="007153E5" w:rsidP="00D853A9">
      <w:pPr>
        <w:pStyle w:val="Seznam"/>
        <w:numPr>
          <w:ilvl w:val="0"/>
          <w:numId w:val="0"/>
        </w:numPr>
        <w:ind w:left="567" w:hanging="567"/>
        <w:rPr>
          <w:rStyle w:val="Siln"/>
          <w:b w:val="0"/>
          <w:bCs w:val="0"/>
        </w:rPr>
      </w:pPr>
    </w:p>
    <w:p w14:paraId="7CC54502" w14:textId="77777777" w:rsidR="007153E5" w:rsidRDefault="007153E5" w:rsidP="00D853A9">
      <w:pPr>
        <w:pStyle w:val="Seznam"/>
        <w:numPr>
          <w:ilvl w:val="0"/>
          <w:numId w:val="0"/>
        </w:numPr>
        <w:ind w:left="567" w:hanging="567"/>
        <w:rPr>
          <w:rStyle w:val="Siln"/>
          <w:b w:val="0"/>
          <w:bCs w:val="0"/>
        </w:rPr>
      </w:pPr>
    </w:p>
    <w:p w14:paraId="36F559CF" w14:textId="77777777" w:rsidR="007153E5" w:rsidRDefault="007153E5" w:rsidP="00D853A9">
      <w:pPr>
        <w:pStyle w:val="Seznam"/>
        <w:numPr>
          <w:ilvl w:val="0"/>
          <w:numId w:val="0"/>
        </w:numPr>
        <w:ind w:left="567" w:hanging="567"/>
        <w:rPr>
          <w:rStyle w:val="Siln"/>
          <w:b w:val="0"/>
          <w:bCs w:val="0"/>
        </w:rPr>
      </w:pPr>
    </w:p>
    <w:p w14:paraId="7D832C3E" w14:textId="77777777" w:rsidR="007153E5" w:rsidRPr="007153E5" w:rsidRDefault="007153E5" w:rsidP="007153E5">
      <w:pPr>
        <w:pStyle w:val="Nadpis3"/>
        <w:rPr>
          <w:rStyle w:val="Siln"/>
          <w:rFonts w:eastAsiaTheme="minorEastAsia"/>
          <w:b w:val="0"/>
          <w:bCs w:val="0"/>
        </w:rPr>
      </w:pPr>
      <w:bookmarkStart w:id="38" w:name="_Toc81417438"/>
      <w:r w:rsidRPr="007153E5">
        <w:rPr>
          <w:rStyle w:val="Siln"/>
          <w:rFonts w:eastAsiaTheme="minorEastAsia"/>
          <w:b w:val="0"/>
          <w:bCs w:val="0"/>
        </w:rPr>
        <w:lastRenderedPageBreak/>
        <w:t>Stát sbírá data o procesu transformace dlouhodobé psychiatrické péče a pobytových sociálních služeb</w:t>
      </w:r>
      <w:bookmarkEnd w:id="38"/>
      <w:r w:rsidRPr="007153E5">
        <w:rPr>
          <w:rStyle w:val="Siln"/>
          <w:rFonts w:eastAsiaTheme="minorEastAsia"/>
          <w:b w:val="0"/>
          <w:bCs w:val="0"/>
        </w:rPr>
        <w:t xml:space="preserve"> </w:t>
      </w:r>
    </w:p>
    <w:p w14:paraId="2C4542C2" w14:textId="77777777" w:rsidR="007153E5" w:rsidRPr="007153E5" w:rsidRDefault="007153E5" w:rsidP="007153E5">
      <w:pPr>
        <w:pStyle w:val="Zkladntext"/>
        <w:rPr>
          <w:rStyle w:val="Siln"/>
          <w:b w:val="0"/>
        </w:rPr>
      </w:pPr>
      <w:r w:rsidRPr="007153E5">
        <w:rPr>
          <w:rStyle w:val="Siln"/>
          <w:b w:val="0"/>
        </w:rPr>
        <w:t>Stát pravidelně sbírá a zveřejňuje data týkající se deinstitucionalizace:</w:t>
      </w:r>
    </w:p>
    <w:p w14:paraId="781EC63E" w14:textId="77777777" w:rsidR="007153E5" w:rsidRPr="007153E5" w:rsidRDefault="007153E5" w:rsidP="007153E5">
      <w:pPr>
        <w:pStyle w:val="Zkladntext"/>
        <w:numPr>
          <w:ilvl w:val="0"/>
          <w:numId w:val="37"/>
        </w:numPr>
        <w:rPr>
          <w:rStyle w:val="Siln"/>
          <w:b w:val="0"/>
        </w:rPr>
      </w:pPr>
      <w:r w:rsidRPr="007153E5">
        <w:rPr>
          <w:rStyle w:val="Siln"/>
          <w:b w:val="0"/>
        </w:rPr>
        <w:t>Zdravotnických zařízení psychiatrické péče a jejich pacientů v dlouhodobé hospitalizaci (déle než 6 měsíců), konkrétně:</w:t>
      </w:r>
    </w:p>
    <w:p w14:paraId="4FA83A73" w14:textId="77777777" w:rsidR="007153E5" w:rsidRPr="007153E5" w:rsidRDefault="007153E5" w:rsidP="007153E5">
      <w:pPr>
        <w:pStyle w:val="Zkladntext"/>
        <w:numPr>
          <w:ilvl w:val="1"/>
          <w:numId w:val="38"/>
        </w:numPr>
        <w:rPr>
          <w:rStyle w:val="Siln"/>
          <w:b w:val="0"/>
        </w:rPr>
      </w:pPr>
      <w:r w:rsidRPr="007153E5">
        <w:rPr>
          <w:rStyle w:val="Siln"/>
          <w:b w:val="0"/>
        </w:rPr>
        <w:t xml:space="preserve">Počet pacientů v dlouhodobé hospitalizaci, rozdělených dle věku, pohlaví, typu diagnóz a právního statusu (bez podpůrného opatření, omezení svéprávnosti, opatrovník bez omezení svéprávnosti, zástupce člena domácnosti, nápomoc při rozhodování). </w:t>
      </w:r>
    </w:p>
    <w:p w14:paraId="03D7266C" w14:textId="77777777" w:rsidR="007153E5" w:rsidRPr="007153E5" w:rsidRDefault="007153E5" w:rsidP="007153E5">
      <w:pPr>
        <w:pStyle w:val="Zkladntext"/>
        <w:numPr>
          <w:ilvl w:val="1"/>
          <w:numId w:val="38"/>
        </w:numPr>
        <w:rPr>
          <w:rStyle w:val="Siln"/>
          <w:b w:val="0"/>
        </w:rPr>
      </w:pPr>
      <w:r w:rsidRPr="007153E5">
        <w:rPr>
          <w:rStyle w:val="Siln"/>
          <w:b w:val="0"/>
        </w:rPr>
        <w:t>Počet pacientů, kteří odešli z dlouhodobé hospitalizace včetně celkové délky hospitalizace, vč. specifikace místa odchodu (jiné zdravotnické zařízení, sociální služba ústavního typu, sociální služba komunitního typu, přirozené prostředí, jinak).</w:t>
      </w:r>
    </w:p>
    <w:p w14:paraId="6FE9AC23" w14:textId="77777777" w:rsidR="007153E5" w:rsidRPr="007153E5" w:rsidRDefault="007153E5" w:rsidP="007153E5">
      <w:pPr>
        <w:pStyle w:val="Zkladntext"/>
        <w:numPr>
          <w:ilvl w:val="1"/>
          <w:numId w:val="38"/>
        </w:numPr>
        <w:rPr>
          <w:rStyle w:val="Siln"/>
          <w:b w:val="0"/>
        </w:rPr>
      </w:pPr>
      <w:r w:rsidRPr="007153E5">
        <w:rPr>
          <w:rStyle w:val="Siln"/>
          <w:b w:val="0"/>
        </w:rPr>
        <w:t>Počet psychiatrických nemocnic a počet lůžek v jednotlivých nemocnicích.</w:t>
      </w:r>
    </w:p>
    <w:p w14:paraId="727DAFAD" w14:textId="77777777" w:rsidR="007153E5" w:rsidRPr="007153E5" w:rsidRDefault="007153E5" w:rsidP="007153E5">
      <w:pPr>
        <w:pStyle w:val="Zkladntext"/>
        <w:numPr>
          <w:ilvl w:val="0"/>
          <w:numId w:val="37"/>
        </w:numPr>
        <w:rPr>
          <w:rStyle w:val="Siln"/>
          <w:b w:val="0"/>
        </w:rPr>
      </w:pPr>
      <w:r w:rsidRPr="007153E5">
        <w:rPr>
          <w:rStyle w:val="Siln"/>
          <w:b w:val="0"/>
        </w:rPr>
        <w:t>Vybraných pobytových zařízení sociálních služeb,</w:t>
      </w:r>
      <w:r w:rsidRPr="007153E5">
        <w:rPr>
          <w:rStyle w:val="Znakapoznpodarou"/>
          <w:b w:val="0"/>
          <w:bCs/>
        </w:rPr>
        <w:footnoteReference w:id="18"/>
      </w:r>
      <w:r w:rsidRPr="007153E5">
        <w:rPr>
          <w:rStyle w:val="Siln"/>
          <w:b w:val="0"/>
        </w:rPr>
        <w:t xml:space="preserve"> konkrétně:</w:t>
      </w:r>
    </w:p>
    <w:p w14:paraId="7CA1A2BA" w14:textId="77777777" w:rsidR="007153E5" w:rsidRPr="007153E5" w:rsidRDefault="007153E5" w:rsidP="007153E5">
      <w:pPr>
        <w:pStyle w:val="Zkladntext"/>
        <w:numPr>
          <w:ilvl w:val="1"/>
          <w:numId w:val="38"/>
        </w:numPr>
        <w:rPr>
          <w:rStyle w:val="Siln"/>
          <w:b w:val="0"/>
        </w:rPr>
      </w:pPr>
      <w:r w:rsidRPr="007153E5">
        <w:rPr>
          <w:rStyle w:val="Siln"/>
          <w:b w:val="0"/>
        </w:rPr>
        <w:t>Počtu klientů dle krajů, rozdělených dle věku, pohlaví, míry potřeb</w:t>
      </w:r>
      <w:r w:rsidRPr="007153E5">
        <w:rPr>
          <w:rStyle w:val="Znakapoznpodarou"/>
          <w:b w:val="0"/>
          <w:bCs/>
        </w:rPr>
        <w:footnoteReference w:id="19"/>
      </w:r>
      <w:r w:rsidRPr="007153E5">
        <w:rPr>
          <w:rStyle w:val="Siln"/>
          <w:b w:val="0"/>
        </w:rPr>
        <w:t xml:space="preserve"> a právního statusu (bez podpůrného opatření, omezení svéprávnosti, opatrovník bez omezení svéprávnosti, zástupce člena domácnosti, nápomoc při rozhodování). </w:t>
      </w:r>
    </w:p>
    <w:p w14:paraId="1962FE4D" w14:textId="77777777" w:rsidR="007153E5" w:rsidRPr="007153E5" w:rsidRDefault="007153E5" w:rsidP="007153E5">
      <w:pPr>
        <w:pStyle w:val="Zkladntext"/>
        <w:numPr>
          <w:ilvl w:val="1"/>
          <w:numId w:val="38"/>
        </w:numPr>
        <w:rPr>
          <w:rStyle w:val="Siln"/>
          <w:b w:val="0"/>
        </w:rPr>
      </w:pPr>
      <w:r w:rsidRPr="007153E5">
        <w:rPr>
          <w:rStyle w:val="Siln"/>
          <w:b w:val="0"/>
        </w:rPr>
        <w:t>Počtu klientů, kteří odešli z vybraných pobytových sociálních služeb, vč. specifikace místa odchodu (sociální služba ústavního typu, sociální služba komunitního typu, přirozené prostředí, zdravotnické zařízení, jinak).</w:t>
      </w:r>
    </w:p>
    <w:p w14:paraId="05C2882C" w14:textId="77777777" w:rsidR="007153E5" w:rsidRPr="007153E5" w:rsidRDefault="007153E5" w:rsidP="007153E5">
      <w:pPr>
        <w:pStyle w:val="Zkladntext"/>
        <w:numPr>
          <w:ilvl w:val="1"/>
          <w:numId w:val="38"/>
        </w:numPr>
        <w:rPr>
          <w:rStyle w:val="Siln"/>
          <w:b w:val="0"/>
        </w:rPr>
      </w:pPr>
      <w:r w:rsidRPr="007153E5">
        <w:rPr>
          <w:rStyle w:val="Siln"/>
          <w:b w:val="0"/>
        </w:rPr>
        <w:t xml:space="preserve"> Počtu vybraných zařízení sociálních služeb a jejich kapacit.</w:t>
      </w:r>
    </w:p>
    <w:p w14:paraId="12EEBC4E" w14:textId="77777777" w:rsidR="007153E5" w:rsidRPr="007153E5" w:rsidRDefault="007153E5" w:rsidP="007153E5">
      <w:pPr>
        <w:pStyle w:val="Zkladntext"/>
        <w:rPr>
          <w:rStyle w:val="pokyny"/>
          <w:color w:val="auto"/>
        </w:rPr>
      </w:pPr>
      <w:r w:rsidRPr="007153E5">
        <w:rPr>
          <w:rStyle w:val="pokyny"/>
          <w:color w:val="auto"/>
        </w:rPr>
        <w:t>Maximální skóre: 6</w:t>
      </w:r>
    </w:p>
    <w:p w14:paraId="6BBAB847" w14:textId="77777777" w:rsidR="007153E5" w:rsidRPr="007153E5" w:rsidRDefault="007153E5" w:rsidP="007153E5">
      <w:pPr>
        <w:pStyle w:val="Zkladntext"/>
        <w:rPr>
          <w:rStyle w:val="pokyny"/>
          <w:color w:val="auto"/>
        </w:rPr>
      </w:pPr>
      <w:r w:rsidRPr="007153E5">
        <w:rPr>
          <w:rStyle w:val="pokyny"/>
          <w:color w:val="auto"/>
        </w:rPr>
        <w:t xml:space="preserve">Aktuální skóre: </w:t>
      </w:r>
      <w:r>
        <w:rPr>
          <w:rStyle w:val="pokyny"/>
          <w:color w:val="auto"/>
        </w:rPr>
        <w:t>X</w:t>
      </w:r>
    </w:p>
    <w:p w14:paraId="753C619E"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Komentář</w:t>
      </w:r>
    </w:p>
    <w:p w14:paraId="2879E4E8"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Při tvorbě tohoto indikátoru jsme vycházeli z </w:t>
      </w:r>
      <w:hyperlink r:id="rId36" w:history="1">
        <w:r w:rsidRPr="007153E5">
          <w:rPr>
            <w:rStyle w:val="Hypertextovodkaz"/>
            <w:color w:val="auto"/>
            <w:sz w:val="22"/>
          </w:rPr>
          <w:t>Obecného komentáře Výboru CRPD k článku 19</w:t>
        </w:r>
      </w:hyperlink>
      <w:r w:rsidRPr="007153E5">
        <w:rPr>
          <w:rStyle w:val="pokyny"/>
          <w:color w:val="auto"/>
          <w:sz w:val="22"/>
        </w:rPr>
        <w:t xml:space="preserve"> a </w:t>
      </w:r>
      <w:hyperlink r:id="rId37" w:history="1">
        <w:r w:rsidRPr="007153E5">
          <w:rPr>
            <w:rStyle w:val="Hypertextovodkaz"/>
            <w:color w:val="auto"/>
            <w:sz w:val="22"/>
          </w:rPr>
          <w:t>Indikátorů zpracovaných kanceláří Vysokého komisaře pro lidská práva</w:t>
        </w:r>
      </w:hyperlink>
      <w:r w:rsidRPr="007153E5">
        <w:rPr>
          <w:rStyle w:val="pokyny"/>
          <w:color w:val="auto"/>
          <w:sz w:val="22"/>
        </w:rPr>
        <w:t xml:space="preserve">. Implementací článku 19 by mělo dojít k upuštění od poskytování dlouhodobé zdravotní a sociální péče v zařízeních ústavního typu a postupnému snižování kapacit ústavních zařízení a propuštění pacientů a klientů zpátky do přirozené komunity. Pro sledování tohoto procesu je nezbytné, aby si smluvní </w:t>
      </w:r>
      <w:r w:rsidRPr="007153E5">
        <w:rPr>
          <w:rStyle w:val="pokyny"/>
          <w:color w:val="auto"/>
          <w:sz w:val="22"/>
        </w:rPr>
        <w:lastRenderedPageBreak/>
        <w:t>státy nastavily proces monitorování stávajících ústavních zařízení,</w:t>
      </w:r>
      <w:r w:rsidRPr="007153E5">
        <w:rPr>
          <w:rStyle w:val="Znakapoznpodarou"/>
          <w:color w:val="auto"/>
          <w:sz w:val="22"/>
        </w:rPr>
        <w:footnoteReference w:id="20"/>
      </w:r>
      <w:r w:rsidRPr="007153E5">
        <w:rPr>
          <w:rStyle w:val="pokyny"/>
          <w:color w:val="auto"/>
          <w:sz w:val="22"/>
        </w:rPr>
        <w:t xml:space="preserve"> k tomu je nezbytný sběr relevantních dat. </w:t>
      </w:r>
    </w:p>
    <w:p w14:paraId="6DC2E1F7"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Každý aspekt tohoto indikátoru, tj. písm. a) – f), lze hodnotit jedním bodem. V současné době dosahuje ČR skóre 1: </w:t>
      </w:r>
    </w:p>
    <w:p w14:paraId="6863BB16"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b/>
          <w:color w:val="auto"/>
          <w:sz w:val="22"/>
        </w:rPr>
        <w:t>Data týkající se zdravotních služeb</w:t>
      </w:r>
      <w:r w:rsidRPr="007153E5">
        <w:rPr>
          <w:rStyle w:val="pokyny"/>
          <w:color w:val="auto"/>
          <w:sz w:val="22"/>
        </w:rPr>
        <w:t xml:space="preserve"> jsou zveřejňována Ústavem zdravotnických informací a statistiky (ÚZIS) a statistiky v sekci </w:t>
      </w:r>
      <w:hyperlink r:id="rId38" w:history="1">
        <w:r w:rsidRPr="007153E5">
          <w:rPr>
            <w:rStyle w:val="Hypertextovodkaz"/>
            <w:color w:val="auto"/>
            <w:sz w:val="22"/>
          </w:rPr>
          <w:t>psychiatrie</w:t>
        </w:r>
      </w:hyperlink>
      <w:r w:rsidRPr="007153E5">
        <w:rPr>
          <w:rStyle w:val="pokyny"/>
          <w:color w:val="auto"/>
          <w:sz w:val="22"/>
        </w:rPr>
        <w:t xml:space="preserve"> a v dalších veřejně přístupných zdrojích. </w:t>
      </w:r>
    </w:p>
    <w:p w14:paraId="550D2CA8"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Ad a) Ve statistice ÚZIS najdeme pouze počet hospitalizací trvajících déle než 10 let rozdělených dle jednotlivých psychiatrických nemocnic. V roce 2019 šlo celkově o 471 pacientů v 11 zařízeních. Statistika Ministerstva zdravotnictví zveřejněna v </w:t>
      </w:r>
      <w:hyperlink r:id="rId39" w:history="1">
        <w:r w:rsidRPr="007153E5">
          <w:rPr>
            <w:rStyle w:val="Hypertextovodkaz"/>
            <w:color w:val="auto"/>
            <w:sz w:val="22"/>
          </w:rPr>
          <w:t>přednášce o transformaci psychiatrických nemocnic</w:t>
        </w:r>
      </w:hyperlink>
      <w:r w:rsidRPr="007153E5">
        <w:rPr>
          <w:rStyle w:val="pokyny"/>
          <w:color w:val="auto"/>
          <w:sz w:val="22"/>
        </w:rPr>
        <w:t xml:space="preserve"> uvádí v roce 2019 celkem 2612 pacientů dlouhodobě hospitalizovaných (déle než 6 měsíců). </w:t>
      </w:r>
      <w:r>
        <w:rPr>
          <w:rStyle w:val="pokyny"/>
          <w:color w:val="auto"/>
          <w:sz w:val="22"/>
        </w:rPr>
        <w:t>P</w:t>
      </w:r>
      <w:r w:rsidRPr="007153E5">
        <w:rPr>
          <w:rStyle w:val="pokyny"/>
          <w:color w:val="auto"/>
          <w:sz w:val="22"/>
        </w:rPr>
        <w:t>očty dlouhodobě hospitalizovaných pacientů nejsou rozděleny dle výše uvedených kategorií.</w:t>
      </w:r>
    </w:p>
    <w:p w14:paraId="757717EC"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Ad b) V statistice ÚZIS nalezneme počet ukončených dlouhodobých hospitalizací a způsob propuštění, nicméně nelze vyhledat, kolik z propuštěných bylo v hospitalizaci dlouhodobě. Co se týká specifikace způsobu ukončení hospitalizace, statistika obsahuje pouze kategorie „propuštěn,“ „přeložen do jiného ZZ,“ „předčasně ukončeno“ a „zemřel.“ Nelze tedy sledovat, kolik pacientů bylo propuštěno do pobytových zařízení sociálních služeb. Nenajdeme v něm ani informaci ohledně celkové délky hospi</w:t>
      </w:r>
      <w:r>
        <w:rPr>
          <w:rStyle w:val="pokyny"/>
          <w:color w:val="auto"/>
          <w:sz w:val="22"/>
        </w:rPr>
        <w:t>talizace jednotlivých pacientů.</w:t>
      </w:r>
    </w:p>
    <w:p w14:paraId="74DDB257"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Ad c) ÚZIS zveřejňuje pouze celkové statistiky počtu lůžek ve všech psychiatrických nemocnicích, data ohledně počtu lůžek v jednotlivých nemoc</w:t>
      </w:r>
      <w:r>
        <w:rPr>
          <w:rStyle w:val="pokyny"/>
          <w:color w:val="auto"/>
          <w:sz w:val="22"/>
        </w:rPr>
        <w:t>nicích nejsou veřejně dostupná.</w:t>
      </w:r>
    </w:p>
    <w:p w14:paraId="780FAC50"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Na rozdíl od oblasti zdravotnictví, </w:t>
      </w:r>
      <w:r w:rsidRPr="007153E5">
        <w:rPr>
          <w:rStyle w:val="pokyny"/>
          <w:b/>
          <w:color w:val="auto"/>
          <w:sz w:val="22"/>
        </w:rPr>
        <w:t>pro oblast sociálních služeb</w:t>
      </w:r>
      <w:r w:rsidRPr="007153E5">
        <w:rPr>
          <w:rStyle w:val="pokyny"/>
          <w:color w:val="auto"/>
          <w:sz w:val="22"/>
        </w:rPr>
        <w:t xml:space="preserve"> neexistuje zvláštní instituce pro sběr dat, toto provádí částečně český statistický úřad (ČSÚ) a částečně samo Ministerstvo práce a sociálních věcí (MPSV) v rámci </w:t>
      </w:r>
      <w:hyperlink r:id="rId40" w:history="1">
        <w:r w:rsidRPr="007153E5">
          <w:rPr>
            <w:rStyle w:val="Hypertextovodkaz"/>
            <w:color w:val="auto"/>
            <w:sz w:val="22"/>
          </w:rPr>
          <w:t>Statistických ročenek z oblasti práce a sociálních věcí</w:t>
        </w:r>
      </w:hyperlink>
      <w:r w:rsidRPr="007153E5">
        <w:rPr>
          <w:rStyle w:val="pokyny"/>
          <w:color w:val="auto"/>
          <w:sz w:val="22"/>
        </w:rPr>
        <w:t xml:space="preserve"> či výstupů projektu </w:t>
      </w:r>
      <w:hyperlink r:id="rId41" w:history="1">
        <w:r w:rsidRPr="007153E5">
          <w:rPr>
            <w:rStyle w:val="Hypertextovodkaz"/>
            <w:color w:val="auto"/>
            <w:sz w:val="22"/>
          </w:rPr>
          <w:t>Rozvoj systému sociálních služeb</w:t>
        </w:r>
      </w:hyperlink>
      <w:r w:rsidRPr="007153E5">
        <w:rPr>
          <w:rStyle w:val="pokyny"/>
          <w:color w:val="auto"/>
          <w:sz w:val="22"/>
        </w:rPr>
        <w:t>.</w:t>
      </w:r>
      <w:r w:rsidRPr="007153E5">
        <w:rPr>
          <w:rStyle w:val="Znakapoznpodarou"/>
          <w:color w:val="auto"/>
          <w:sz w:val="22"/>
        </w:rPr>
        <w:footnoteReference w:id="21"/>
      </w:r>
      <w:r w:rsidRPr="007153E5">
        <w:rPr>
          <w:rStyle w:val="pokyny"/>
          <w:color w:val="auto"/>
          <w:sz w:val="22"/>
        </w:rPr>
        <w:t xml:space="preserve">  </w:t>
      </w:r>
    </w:p>
    <w:p w14:paraId="50DB1048"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Ad d) Ve statistických ročenkách se uvádí počet klientů dle typu služby, pohlaví a částečně věku (rozdělení na děti a mladistvé do 18 let a ostatní). Ročenky neobsahují údaje o míře potřeb a právním statusu klientů. Rozdělení dle krajů lze najít ve statistikách ČSÚ.</w:t>
      </w:r>
      <w:r w:rsidRPr="007153E5">
        <w:rPr>
          <w:rStyle w:val="Znakapoznpodarou"/>
          <w:color w:val="auto"/>
          <w:sz w:val="22"/>
        </w:rPr>
        <w:footnoteReference w:id="22"/>
      </w:r>
      <w:r w:rsidRPr="007153E5">
        <w:rPr>
          <w:rStyle w:val="pokyny"/>
          <w:color w:val="auto"/>
          <w:sz w:val="22"/>
        </w:rPr>
        <w:t xml:space="preserve"> Je však nutno doplnit, že data ohledně počtu klientů zveřejněna MPSV a ČSÚ se až v řádech stovek klientů liší.</w:t>
      </w:r>
      <w:r w:rsidRPr="007153E5">
        <w:rPr>
          <w:rStyle w:val="Znakapoznpodarou"/>
          <w:color w:val="auto"/>
          <w:sz w:val="22"/>
        </w:rPr>
        <w:footnoteReference w:id="23"/>
      </w:r>
    </w:p>
    <w:p w14:paraId="139E74A6"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sz w:val="22"/>
        </w:rPr>
      </w:pPr>
      <w:r w:rsidRPr="007153E5">
        <w:rPr>
          <w:rStyle w:val="pokyny"/>
          <w:color w:val="auto"/>
          <w:sz w:val="22"/>
        </w:rPr>
        <w:t xml:space="preserve">Ad e) Ve statistických ročenkách lze dohledat počet odešlých klientů z jednotlivých typů služeb, včetně toho, zda tito klienti odešli do </w:t>
      </w:r>
      <w:r w:rsidRPr="007153E5">
        <w:rPr>
          <w:sz w:val="22"/>
        </w:rPr>
        <w:t xml:space="preserve">přirozeného sociálního prostředí, pobytové komunitní </w:t>
      </w:r>
      <w:r w:rsidRPr="007153E5">
        <w:rPr>
          <w:sz w:val="22"/>
        </w:rPr>
        <w:lastRenderedPageBreak/>
        <w:t>sociální služby, ústavního zařízení pobytové služby sociální péče nebo jiné pobytové služby sociální prevence, případně jinam.</w:t>
      </w:r>
    </w:p>
    <w:p w14:paraId="40EDB229" w14:textId="77777777" w:rsidR="007153E5" w:rsidRPr="007153E5" w:rsidRDefault="007153E5" w:rsidP="007153E5">
      <w:pPr>
        <w:pStyle w:val="Zkladntext"/>
        <w:pBdr>
          <w:top w:val="single" w:sz="4" w:space="1" w:color="auto"/>
          <w:left w:val="single" w:sz="4" w:space="4" w:color="auto"/>
          <w:bottom w:val="single" w:sz="4" w:space="1" w:color="auto"/>
          <w:right w:val="single" w:sz="4" w:space="4" w:color="auto"/>
        </w:pBdr>
        <w:rPr>
          <w:rStyle w:val="pokyny"/>
          <w:color w:val="auto"/>
        </w:rPr>
      </w:pPr>
      <w:r w:rsidRPr="007153E5">
        <w:rPr>
          <w:rStyle w:val="pokyny"/>
          <w:color w:val="auto"/>
          <w:sz w:val="22"/>
        </w:rPr>
        <w:t xml:space="preserve">Ad f) </w:t>
      </w:r>
      <w:r w:rsidR="00DA7663">
        <w:rPr>
          <w:rStyle w:val="pokyny"/>
          <w:color w:val="auto"/>
          <w:sz w:val="22"/>
        </w:rPr>
        <w:t>Počet zařízení v celé Č</w:t>
      </w:r>
      <w:r w:rsidRPr="007153E5">
        <w:rPr>
          <w:rStyle w:val="pokyny"/>
          <w:color w:val="auto"/>
          <w:sz w:val="22"/>
        </w:rPr>
        <w:t>eské repub</w:t>
      </w:r>
      <w:r w:rsidR="00DA7663">
        <w:rPr>
          <w:rStyle w:val="pokyny"/>
          <w:color w:val="auto"/>
          <w:sz w:val="22"/>
        </w:rPr>
        <w:t>lice i počet lůžek sleduje ČSÚ.</w:t>
      </w:r>
    </w:p>
    <w:p w14:paraId="79D8AF06" w14:textId="77777777" w:rsidR="007153E5" w:rsidRPr="007153E5" w:rsidRDefault="007153E5" w:rsidP="007153E5">
      <w:pPr>
        <w:pStyle w:val="Zkladntext"/>
        <w:rPr>
          <w:rStyle w:val="pokyny"/>
          <w:color w:val="auto"/>
        </w:rPr>
      </w:pPr>
      <w:r w:rsidRPr="007153E5">
        <w:rPr>
          <w:rStyle w:val="pokyny"/>
          <w:color w:val="auto"/>
        </w:rPr>
        <w:t>Progres v implementaci čl. 19 Úmluvy:</w:t>
      </w:r>
    </w:p>
    <w:p w14:paraId="08BF7B1C" w14:textId="77777777" w:rsidR="007153E5" w:rsidRPr="00DA7663" w:rsidRDefault="007153E5" w:rsidP="00DA7663">
      <w:pPr>
        <w:pStyle w:val="Seznam"/>
        <w:rPr>
          <w:rStyle w:val="pokyny"/>
          <w:color w:val="auto"/>
        </w:rPr>
      </w:pPr>
      <w:r w:rsidRPr="00DA7663">
        <w:rPr>
          <w:rStyle w:val="pokyny"/>
          <w:color w:val="auto"/>
        </w:rPr>
        <w:t xml:space="preserve">Míra naplnění </w:t>
      </w:r>
      <w:r w:rsidR="00DA7663">
        <w:rPr>
          <w:rStyle w:val="pokyny"/>
          <w:color w:val="auto"/>
        </w:rPr>
        <w:t xml:space="preserve">(počet udělených bodů) </w:t>
      </w:r>
      <w:r w:rsidRPr="00DA7663">
        <w:rPr>
          <w:rStyle w:val="pokyny"/>
          <w:color w:val="auto"/>
        </w:rPr>
        <w:t>se postupně zvyšuje, v případě dosažení plného skóre, lze uvažovat o změně indikátoru.</w:t>
      </w:r>
    </w:p>
    <w:p w14:paraId="34E29373" w14:textId="77777777" w:rsidR="007153E5" w:rsidRDefault="007153E5" w:rsidP="00DA7663">
      <w:pPr>
        <w:pStyle w:val="Seznam"/>
        <w:numPr>
          <w:ilvl w:val="0"/>
          <w:numId w:val="0"/>
        </w:numPr>
        <w:ind w:left="567"/>
        <w:rPr>
          <w:rStyle w:val="Siln"/>
          <w:b w:val="0"/>
          <w:bCs w:val="0"/>
        </w:rPr>
      </w:pPr>
    </w:p>
    <w:p w14:paraId="733F780B" w14:textId="77777777" w:rsidR="006B2280" w:rsidRDefault="006B2280" w:rsidP="00DA7663">
      <w:pPr>
        <w:pStyle w:val="Seznam"/>
        <w:numPr>
          <w:ilvl w:val="0"/>
          <w:numId w:val="0"/>
        </w:numPr>
        <w:ind w:left="567"/>
        <w:rPr>
          <w:rStyle w:val="Siln"/>
          <w:b w:val="0"/>
          <w:bCs w:val="0"/>
        </w:rPr>
      </w:pPr>
    </w:p>
    <w:p w14:paraId="64ED32F5" w14:textId="77777777" w:rsidR="006B2280" w:rsidRDefault="006B2280" w:rsidP="00DA7663">
      <w:pPr>
        <w:pStyle w:val="Seznam"/>
        <w:numPr>
          <w:ilvl w:val="0"/>
          <w:numId w:val="0"/>
        </w:numPr>
        <w:ind w:left="567"/>
        <w:rPr>
          <w:rStyle w:val="Siln"/>
          <w:b w:val="0"/>
          <w:bCs w:val="0"/>
        </w:rPr>
      </w:pPr>
    </w:p>
    <w:p w14:paraId="7AC8CFAB" w14:textId="77777777" w:rsidR="006B2280" w:rsidRDefault="006B2280" w:rsidP="00DA7663">
      <w:pPr>
        <w:pStyle w:val="Seznam"/>
        <w:numPr>
          <w:ilvl w:val="0"/>
          <w:numId w:val="0"/>
        </w:numPr>
        <w:ind w:left="567"/>
        <w:rPr>
          <w:rStyle w:val="Siln"/>
          <w:b w:val="0"/>
          <w:bCs w:val="0"/>
        </w:rPr>
      </w:pPr>
    </w:p>
    <w:p w14:paraId="04D3DE31" w14:textId="77777777" w:rsidR="006B2280" w:rsidRDefault="006B2280" w:rsidP="00DA7663">
      <w:pPr>
        <w:pStyle w:val="Seznam"/>
        <w:numPr>
          <w:ilvl w:val="0"/>
          <w:numId w:val="0"/>
        </w:numPr>
        <w:ind w:left="567"/>
        <w:rPr>
          <w:rStyle w:val="Siln"/>
          <w:b w:val="0"/>
          <w:bCs w:val="0"/>
        </w:rPr>
      </w:pPr>
    </w:p>
    <w:p w14:paraId="4EFFB612" w14:textId="77777777" w:rsidR="006B2280" w:rsidRDefault="006B2280" w:rsidP="00DA7663">
      <w:pPr>
        <w:pStyle w:val="Seznam"/>
        <w:numPr>
          <w:ilvl w:val="0"/>
          <w:numId w:val="0"/>
        </w:numPr>
        <w:ind w:left="567"/>
        <w:rPr>
          <w:rStyle w:val="Siln"/>
          <w:b w:val="0"/>
          <w:bCs w:val="0"/>
        </w:rPr>
      </w:pPr>
    </w:p>
    <w:p w14:paraId="42F8BA30" w14:textId="77777777" w:rsidR="006B2280" w:rsidRDefault="006B2280" w:rsidP="00DA7663">
      <w:pPr>
        <w:pStyle w:val="Seznam"/>
        <w:numPr>
          <w:ilvl w:val="0"/>
          <w:numId w:val="0"/>
        </w:numPr>
        <w:ind w:left="567"/>
        <w:rPr>
          <w:rStyle w:val="Siln"/>
          <w:b w:val="0"/>
          <w:bCs w:val="0"/>
        </w:rPr>
      </w:pPr>
    </w:p>
    <w:p w14:paraId="5B0BA19F" w14:textId="77777777" w:rsidR="006B2280" w:rsidRDefault="006B2280" w:rsidP="00DA7663">
      <w:pPr>
        <w:pStyle w:val="Seznam"/>
        <w:numPr>
          <w:ilvl w:val="0"/>
          <w:numId w:val="0"/>
        </w:numPr>
        <w:ind w:left="567"/>
        <w:rPr>
          <w:rStyle w:val="Siln"/>
          <w:b w:val="0"/>
          <w:bCs w:val="0"/>
        </w:rPr>
      </w:pPr>
    </w:p>
    <w:p w14:paraId="684436F6" w14:textId="77777777" w:rsidR="006B2280" w:rsidRDefault="006B2280" w:rsidP="00DA7663">
      <w:pPr>
        <w:pStyle w:val="Seznam"/>
        <w:numPr>
          <w:ilvl w:val="0"/>
          <w:numId w:val="0"/>
        </w:numPr>
        <w:ind w:left="567"/>
        <w:rPr>
          <w:rStyle w:val="Siln"/>
          <w:b w:val="0"/>
          <w:bCs w:val="0"/>
        </w:rPr>
      </w:pPr>
    </w:p>
    <w:p w14:paraId="1BFD7248" w14:textId="77777777" w:rsidR="006B2280" w:rsidRDefault="006B2280" w:rsidP="00DA7663">
      <w:pPr>
        <w:pStyle w:val="Seznam"/>
        <w:numPr>
          <w:ilvl w:val="0"/>
          <w:numId w:val="0"/>
        </w:numPr>
        <w:ind w:left="567"/>
        <w:rPr>
          <w:rStyle w:val="Siln"/>
          <w:b w:val="0"/>
          <w:bCs w:val="0"/>
        </w:rPr>
      </w:pPr>
    </w:p>
    <w:p w14:paraId="6515F1BF" w14:textId="77777777" w:rsidR="006B2280" w:rsidRDefault="006B2280" w:rsidP="00DA7663">
      <w:pPr>
        <w:pStyle w:val="Seznam"/>
        <w:numPr>
          <w:ilvl w:val="0"/>
          <w:numId w:val="0"/>
        </w:numPr>
        <w:ind w:left="567"/>
        <w:rPr>
          <w:rStyle w:val="Siln"/>
          <w:b w:val="0"/>
          <w:bCs w:val="0"/>
        </w:rPr>
      </w:pPr>
    </w:p>
    <w:p w14:paraId="15E81211" w14:textId="77777777" w:rsidR="006B2280" w:rsidRDefault="006B2280" w:rsidP="00DA7663">
      <w:pPr>
        <w:pStyle w:val="Seznam"/>
        <w:numPr>
          <w:ilvl w:val="0"/>
          <w:numId w:val="0"/>
        </w:numPr>
        <w:ind w:left="567"/>
        <w:rPr>
          <w:rStyle w:val="Siln"/>
          <w:b w:val="0"/>
          <w:bCs w:val="0"/>
        </w:rPr>
      </w:pPr>
    </w:p>
    <w:p w14:paraId="0309DC50" w14:textId="77777777" w:rsidR="006B2280" w:rsidRDefault="006B2280" w:rsidP="00DA7663">
      <w:pPr>
        <w:pStyle w:val="Seznam"/>
        <w:numPr>
          <w:ilvl w:val="0"/>
          <w:numId w:val="0"/>
        </w:numPr>
        <w:ind w:left="567"/>
        <w:rPr>
          <w:rStyle w:val="Siln"/>
          <w:b w:val="0"/>
          <w:bCs w:val="0"/>
        </w:rPr>
      </w:pPr>
    </w:p>
    <w:p w14:paraId="2C559D24" w14:textId="77777777" w:rsidR="006B2280" w:rsidRDefault="006B2280" w:rsidP="00DA7663">
      <w:pPr>
        <w:pStyle w:val="Seznam"/>
        <w:numPr>
          <w:ilvl w:val="0"/>
          <w:numId w:val="0"/>
        </w:numPr>
        <w:ind w:left="567"/>
        <w:rPr>
          <w:rStyle w:val="Siln"/>
          <w:b w:val="0"/>
          <w:bCs w:val="0"/>
        </w:rPr>
      </w:pPr>
    </w:p>
    <w:p w14:paraId="6B7A2AC5" w14:textId="77777777" w:rsidR="006B2280" w:rsidRDefault="006B2280" w:rsidP="00DA7663">
      <w:pPr>
        <w:pStyle w:val="Seznam"/>
        <w:numPr>
          <w:ilvl w:val="0"/>
          <w:numId w:val="0"/>
        </w:numPr>
        <w:ind w:left="567"/>
        <w:rPr>
          <w:rStyle w:val="Siln"/>
          <w:b w:val="0"/>
          <w:bCs w:val="0"/>
        </w:rPr>
      </w:pPr>
    </w:p>
    <w:p w14:paraId="48C7BD5A" w14:textId="77777777" w:rsidR="006B2280" w:rsidRDefault="006B2280" w:rsidP="00DA7663">
      <w:pPr>
        <w:pStyle w:val="Seznam"/>
        <w:numPr>
          <w:ilvl w:val="0"/>
          <w:numId w:val="0"/>
        </w:numPr>
        <w:ind w:left="567"/>
        <w:rPr>
          <w:rStyle w:val="Siln"/>
          <w:b w:val="0"/>
          <w:bCs w:val="0"/>
        </w:rPr>
      </w:pPr>
    </w:p>
    <w:p w14:paraId="31B81437" w14:textId="77777777" w:rsidR="006B2280" w:rsidRDefault="006B2280" w:rsidP="00DA7663">
      <w:pPr>
        <w:pStyle w:val="Seznam"/>
        <w:numPr>
          <w:ilvl w:val="0"/>
          <w:numId w:val="0"/>
        </w:numPr>
        <w:ind w:left="567"/>
        <w:rPr>
          <w:rStyle w:val="Siln"/>
          <w:b w:val="0"/>
          <w:bCs w:val="0"/>
        </w:rPr>
      </w:pPr>
    </w:p>
    <w:p w14:paraId="7DEC58BE" w14:textId="77777777" w:rsidR="006B2280" w:rsidRDefault="006B2280" w:rsidP="00DA7663">
      <w:pPr>
        <w:pStyle w:val="Seznam"/>
        <w:numPr>
          <w:ilvl w:val="0"/>
          <w:numId w:val="0"/>
        </w:numPr>
        <w:ind w:left="567"/>
        <w:rPr>
          <w:rStyle w:val="Siln"/>
          <w:b w:val="0"/>
          <w:bCs w:val="0"/>
        </w:rPr>
      </w:pPr>
    </w:p>
    <w:p w14:paraId="6F157E43" w14:textId="77777777" w:rsidR="006B2280" w:rsidRDefault="006B2280" w:rsidP="00DA7663">
      <w:pPr>
        <w:pStyle w:val="Seznam"/>
        <w:numPr>
          <w:ilvl w:val="0"/>
          <w:numId w:val="0"/>
        </w:numPr>
        <w:ind w:left="567"/>
        <w:rPr>
          <w:rStyle w:val="Siln"/>
          <w:b w:val="0"/>
          <w:bCs w:val="0"/>
        </w:rPr>
      </w:pPr>
    </w:p>
    <w:p w14:paraId="2699B951" w14:textId="77777777" w:rsidR="006B2280" w:rsidRDefault="006B2280" w:rsidP="00DA7663">
      <w:pPr>
        <w:pStyle w:val="Seznam"/>
        <w:numPr>
          <w:ilvl w:val="0"/>
          <w:numId w:val="0"/>
        </w:numPr>
        <w:ind w:left="567"/>
        <w:rPr>
          <w:rStyle w:val="Siln"/>
          <w:b w:val="0"/>
          <w:bCs w:val="0"/>
        </w:rPr>
      </w:pPr>
    </w:p>
    <w:p w14:paraId="72671E55" w14:textId="77777777" w:rsidR="006B2280" w:rsidRDefault="006B2280" w:rsidP="00DA7663">
      <w:pPr>
        <w:pStyle w:val="Seznam"/>
        <w:numPr>
          <w:ilvl w:val="0"/>
          <w:numId w:val="0"/>
        </w:numPr>
        <w:ind w:left="567"/>
        <w:rPr>
          <w:rStyle w:val="Siln"/>
          <w:b w:val="0"/>
          <w:bCs w:val="0"/>
        </w:rPr>
      </w:pPr>
    </w:p>
    <w:p w14:paraId="79038EC6" w14:textId="77777777" w:rsidR="006B2280" w:rsidRDefault="006B2280" w:rsidP="00DA7663">
      <w:pPr>
        <w:pStyle w:val="Seznam"/>
        <w:numPr>
          <w:ilvl w:val="0"/>
          <w:numId w:val="0"/>
        </w:numPr>
        <w:ind w:left="567"/>
        <w:rPr>
          <w:rStyle w:val="Siln"/>
          <w:b w:val="0"/>
          <w:bCs w:val="0"/>
        </w:rPr>
      </w:pPr>
    </w:p>
    <w:p w14:paraId="1889315A" w14:textId="77777777" w:rsidR="006B2280" w:rsidRDefault="006B2280" w:rsidP="00DA7663">
      <w:pPr>
        <w:pStyle w:val="Seznam"/>
        <w:numPr>
          <w:ilvl w:val="0"/>
          <w:numId w:val="0"/>
        </w:numPr>
        <w:ind w:left="567"/>
        <w:rPr>
          <w:rStyle w:val="Siln"/>
          <w:b w:val="0"/>
          <w:bCs w:val="0"/>
        </w:rPr>
      </w:pPr>
    </w:p>
    <w:p w14:paraId="62370111" w14:textId="77777777" w:rsidR="006B2280" w:rsidRPr="006B2280" w:rsidRDefault="006B2280" w:rsidP="006B2280">
      <w:pPr>
        <w:pStyle w:val="Nadpis3"/>
        <w:rPr>
          <w:rStyle w:val="Siln"/>
          <w:rFonts w:eastAsiaTheme="minorEastAsia"/>
          <w:b w:val="0"/>
          <w:bCs w:val="0"/>
        </w:rPr>
      </w:pPr>
      <w:bookmarkStart w:id="39" w:name="_Toc81417439"/>
      <w:r w:rsidRPr="006B2280">
        <w:rPr>
          <w:rStyle w:val="Siln"/>
          <w:rFonts w:eastAsiaTheme="minorEastAsia"/>
          <w:b w:val="0"/>
          <w:bCs w:val="0"/>
        </w:rPr>
        <w:lastRenderedPageBreak/>
        <w:t>Právní úprava obsahuje efektivní záruky před dlouhodobou institucionalizací bez souhlasu člověka</w:t>
      </w:r>
      <w:bookmarkEnd w:id="39"/>
    </w:p>
    <w:p w14:paraId="7330CBEE" w14:textId="77777777" w:rsidR="006B2280" w:rsidRPr="006B2280" w:rsidRDefault="006B2280" w:rsidP="006B2280">
      <w:pPr>
        <w:pStyle w:val="Zkladntext"/>
        <w:rPr>
          <w:rStyle w:val="pokyny"/>
          <w:color w:val="auto"/>
        </w:rPr>
      </w:pPr>
      <w:r w:rsidRPr="006B2280">
        <w:rPr>
          <w:rStyle w:val="pokyny"/>
          <w:color w:val="auto"/>
        </w:rPr>
        <w:t>Dle článku 19 Úmluvy má každý člověk se zdravotním postižením právo zvolit si místo, kde bude bydlet, na rovnoprávném základě s ostatními. Toto právo úzce souvisí s článkem 12 (rovnost před zákonem) a článkem 14 (osobní svoboda). Kritéria pro posouzení tohoto indikátoru jsou následující:</w:t>
      </w:r>
    </w:p>
    <w:p w14:paraId="320C52BD" w14:textId="77777777" w:rsidR="006B2280" w:rsidRPr="006B2280" w:rsidRDefault="006B2280" w:rsidP="006B2280">
      <w:pPr>
        <w:pStyle w:val="Zkladntext"/>
        <w:numPr>
          <w:ilvl w:val="0"/>
          <w:numId w:val="39"/>
        </w:numPr>
        <w:rPr>
          <w:rStyle w:val="pokyny"/>
          <w:color w:val="auto"/>
        </w:rPr>
      </w:pPr>
      <w:r w:rsidRPr="006B2280">
        <w:rPr>
          <w:rStyle w:val="pokyny"/>
          <w:color w:val="auto"/>
          <w:u w:val="single"/>
        </w:rPr>
        <w:t>Právo na život v nejméně omezujícím prostředí</w:t>
      </w:r>
      <w:r w:rsidRPr="006B2280">
        <w:rPr>
          <w:rStyle w:val="pokyny"/>
          <w:color w:val="auto"/>
        </w:rPr>
        <w:t xml:space="preserve">:  Právní úprava explicitně zakotvuje právo každého člověka s postižením žít v co nejméně omezujícím prostředí. To znamená, že v případě, že je možné zajistit potřebnou péči v přirozeném prostředí, nesmí být nucen k pobytu v ústavním zařízení. </w:t>
      </w:r>
    </w:p>
    <w:p w14:paraId="1DCED815" w14:textId="77777777" w:rsidR="006B2280" w:rsidRPr="006B2280" w:rsidRDefault="006B2280" w:rsidP="006B2280">
      <w:pPr>
        <w:pStyle w:val="Zkladntext"/>
        <w:numPr>
          <w:ilvl w:val="0"/>
          <w:numId w:val="39"/>
        </w:numPr>
        <w:rPr>
          <w:rStyle w:val="pokyny"/>
          <w:color w:val="auto"/>
        </w:rPr>
      </w:pPr>
      <w:r w:rsidRPr="006B2280">
        <w:rPr>
          <w:rStyle w:val="pokyny"/>
          <w:color w:val="auto"/>
          <w:u w:val="single"/>
        </w:rPr>
        <w:t>Zákaz umístění z důvodu postižení</w:t>
      </w:r>
      <w:r w:rsidRPr="006B2280">
        <w:rPr>
          <w:rStyle w:val="pokyny"/>
          <w:color w:val="auto"/>
        </w:rPr>
        <w:t>: Zdravotní postižení nesmí být jedinou ani jednou z podmínek pro umístění do pobytové sociální služby či zdravotnického zařízení bez souhlasu člověka.</w:t>
      </w:r>
    </w:p>
    <w:p w14:paraId="234452AE" w14:textId="77777777" w:rsidR="006B2280" w:rsidRPr="006B2280" w:rsidRDefault="006B2280" w:rsidP="006B2280">
      <w:pPr>
        <w:pStyle w:val="Zkladntext"/>
        <w:numPr>
          <w:ilvl w:val="0"/>
          <w:numId w:val="39"/>
        </w:numPr>
        <w:rPr>
          <w:rStyle w:val="pokyny"/>
          <w:color w:val="auto"/>
        </w:rPr>
      </w:pPr>
      <w:r w:rsidRPr="006B2280">
        <w:rPr>
          <w:rStyle w:val="pokyny"/>
          <w:color w:val="auto"/>
          <w:u w:val="single"/>
        </w:rPr>
        <w:t>Přezkum nezávislým orgánem:</w:t>
      </w:r>
      <w:r w:rsidRPr="006B2280">
        <w:rPr>
          <w:rStyle w:val="pokyny"/>
          <w:color w:val="auto"/>
        </w:rPr>
        <w:t xml:space="preserve"> V případě, že člověk nesouhlasí s pobytem v pobytové sociální službě nebo ve zdravotnickém zařízení, může se obrátit na posouzení nezávislým orgánem (soudem).</w:t>
      </w:r>
    </w:p>
    <w:p w14:paraId="0F24A7C5" w14:textId="77777777" w:rsidR="006B2280" w:rsidRPr="006B2280" w:rsidRDefault="006B2280" w:rsidP="006B2280">
      <w:pPr>
        <w:pStyle w:val="Zkladntext"/>
        <w:numPr>
          <w:ilvl w:val="0"/>
          <w:numId w:val="39"/>
        </w:numPr>
        <w:rPr>
          <w:rStyle w:val="pokyny"/>
          <w:color w:val="auto"/>
        </w:rPr>
      </w:pPr>
      <w:r w:rsidRPr="006B2280">
        <w:rPr>
          <w:rStyle w:val="pokyny"/>
          <w:color w:val="auto"/>
          <w:u w:val="single"/>
        </w:rPr>
        <w:t>Dočasnost:</w:t>
      </w:r>
      <w:r w:rsidRPr="006B2280">
        <w:rPr>
          <w:rStyle w:val="pokyny"/>
          <w:color w:val="auto"/>
        </w:rPr>
        <w:t xml:space="preserve"> Hospitalizace či pobyt v ústavní pobytové sociální službě jsou vždy dočasným opatřením, které podléhá pravidelnému přezkumu nezávislým orgánem, případně existuje jiná záruka před dlouhodobou institucionalizací. </w:t>
      </w:r>
    </w:p>
    <w:p w14:paraId="0C44D9C8" w14:textId="77777777" w:rsidR="006B2280" w:rsidRPr="006B2280" w:rsidRDefault="006B2280" w:rsidP="006B2280">
      <w:pPr>
        <w:pStyle w:val="Seznam"/>
        <w:numPr>
          <w:ilvl w:val="0"/>
          <w:numId w:val="0"/>
        </w:numPr>
        <w:rPr>
          <w:rStyle w:val="Siln"/>
          <w:b w:val="0"/>
          <w:bCs w:val="0"/>
        </w:rPr>
      </w:pPr>
      <w:r w:rsidRPr="006B2280">
        <w:rPr>
          <w:rStyle w:val="Siln"/>
          <w:b w:val="0"/>
        </w:rPr>
        <w:t>Maximální skóre: 8</w:t>
      </w:r>
    </w:p>
    <w:p w14:paraId="48637D63" w14:textId="77777777" w:rsidR="006B2280" w:rsidRPr="006B2280" w:rsidRDefault="006B2280" w:rsidP="006B2280">
      <w:pPr>
        <w:pStyle w:val="Seznam"/>
        <w:numPr>
          <w:ilvl w:val="0"/>
          <w:numId w:val="0"/>
        </w:numPr>
        <w:rPr>
          <w:rStyle w:val="Siln"/>
          <w:b w:val="0"/>
        </w:rPr>
      </w:pPr>
      <w:r w:rsidRPr="006B2280">
        <w:rPr>
          <w:rStyle w:val="Siln"/>
          <w:b w:val="0"/>
        </w:rPr>
        <w:t>Aktuální skóre: X</w:t>
      </w:r>
    </w:p>
    <w:p w14:paraId="2BCE0D7E" w14:textId="77777777" w:rsidR="006B2280" w:rsidRPr="006B2280" w:rsidRDefault="006B2280" w:rsidP="006B2280">
      <w:pPr>
        <w:pStyle w:val="Seznam"/>
        <w:numPr>
          <w:ilvl w:val="0"/>
          <w:numId w:val="0"/>
        </w:numPr>
        <w:rPr>
          <w:rStyle w:val="Siln"/>
          <w:b w:val="0"/>
        </w:rPr>
      </w:pPr>
      <w:r w:rsidRPr="006B2280">
        <w:rPr>
          <w:rStyle w:val="Siln"/>
          <w:b w:val="0"/>
        </w:rPr>
        <w:t>Skóre za jednotlivá kritéria:</w:t>
      </w:r>
    </w:p>
    <w:tbl>
      <w:tblPr>
        <w:tblW w:w="8931" w:type="dxa"/>
        <w:tblInd w:w="-5" w:type="dxa"/>
        <w:tblLayout w:type="fixed"/>
        <w:tblCellMar>
          <w:left w:w="70" w:type="dxa"/>
          <w:right w:w="70" w:type="dxa"/>
        </w:tblCellMar>
        <w:tblLook w:val="04A0" w:firstRow="1" w:lastRow="0" w:firstColumn="1" w:lastColumn="0" w:noHBand="0" w:noVBand="1"/>
      </w:tblPr>
      <w:tblGrid>
        <w:gridCol w:w="4537"/>
        <w:gridCol w:w="2197"/>
        <w:gridCol w:w="2197"/>
      </w:tblGrid>
      <w:tr w:rsidR="006B2280" w:rsidRPr="00E96CD2" w14:paraId="37726829" w14:textId="77777777" w:rsidTr="002F741F">
        <w:trPr>
          <w:trHeight w:val="430"/>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85C0A" w14:textId="77777777" w:rsidR="006B2280" w:rsidRPr="00E96CD2" w:rsidRDefault="006B2280" w:rsidP="002F741F">
            <w:pPr>
              <w:rPr>
                <w:b/>
                <w:bCs/>
                <w:color w:val="000000"/>
                <w:sz w:val="20"/>
                <w:szCs w:val="20"/>
              </w:rPr>
            </w:pPr>
          </w:p>
        </w:tc>
        <w:tc>
          <w:tcPr>
            <w:tcW w:w="2197" w:type="dxa"/>
            <w:tcBorders>
              <w:top w:val="single" w:sz="4" w:space="0" w:color="auto"/>
              <w:left w:val="nil"/>
              <w:bottom w:val="single" w:sz="4" w:space="0" w:color="auto"/>
              <w:right w:val="single" w:sz="4" w:space="0" w:color="auto"/>
            </w:tcBorders>
            <w:shd w:val="clear" w:color="auto" w:fill="auto"/>
            <w:vAlign w:val="center"/>
            <w:hideMark/>
          </w:tcPr>
          <w:p w14:paraId="5F1FA720" w14:textId="77777777" w:rsidR="006B2280" w:rsidRPr="00E96CD2" w:rsidRDefault="006B2280" w:rsidP="002F741F">
            <w:pPr>
              <w:jc w:val="center"/>
              <w:rPr>
                <w:b/>
                <w:bCs/>
                <w:color w:val="000000"/>
                <w:sz w:val="20"/>
                <w:szCs w:val="20"/>
              </w:rPr>
            </w:pPr>
            <w:r>
              <w:rPr>
                <w:b/>
                <w:bCs/>
                <w:color w:val="000000"/>
                <w:sz w:val="20"/>
                <w:szCs w:val="20"/>
              </w:rPr>
              <w:t>Sociální služby</w:t>
            </w:r>
          </w:p>
        </w:tc>
        <w:tc>
          <w:tcPr>
            <w:tcW w:w="2197" w:type="dxa"/>
            <w:tcBorders>
              <w:top w:val="single" w:sz="4" w:space="0" w:color="auto"/>
              <w:left w:val="nil"/>
              <w:bottom w:val="single" w:sz="4" w:space="0" w:color="auto"/>
              <w:right w:val="single" w:sz="4" w:space="0" w:color="auto"/>
            </w:tcBorders>
            <w:shd w:val="clear" w:color="auto" w:fill="auto"/>
            <w:vAlign w:val="center"/>
            <w:hideMark/>
          </w:tcPr>
          <w:p w14:paraId="5C5B5901" w14:textId="77777777" w:rsidR="006B2280" w:rsidRPr="00E96CD2" w:rsidRDefault="006B2280" w:rsidP="002F741F">
            <w:pPr>
              <w:jc w:val="center"/>
              <w:rPr>
                <w:b/>
                <w:bCs/>
                <w:color w:val="000000"/>
                <w:sz w:val="20"/>
                <w:szCs w:val="20"/>
              </w:rPr>
            </w:pPr>
            <w:r>
              <w:rPr>
                <w:b/>
                <w:bCs/>
                <w:color w:val="000000"/>
                <w:sz w:val="20"/>
                <w:szCs w:val="20"/>
              </w:rPr>
              <w:t>Zdravotní služby</w:t>
            </w:r>
          </w:p>
        </w:tc>
      </w:tr>
      <w:tr w:rsidR="006B2280" w:rsidRPr="00E96CD2" w14:paraId="1268A283" w14:textId="77777777" w:rsidTr="002F741F">
        <w:trPr>
          <w:trHeight w:val="430"/>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tcPr>
          <w:p w14:paraId="3B12BCD8" w14:textId="77777777" w:rsidR="006B2280" w:rsidRDefault="006B2280" w:rsidP="002F741F">
            <w:pPr>
              <w:rPr>
                <w:b/>
                <w:bCs/>
                <w:color w:val="000000"/>
                <w:sz w:val="20"/>
                <w:szCs w:val="20"/>
              </w:rPr>
            </w:pPr>
            <w:r>
              <w:rPr>
                <w:b/>
                <w:bCs/>
                <w:color w:val="000000"/>
                <w:sz w:val="20"/>
                <w:szCs w:val="20"/>
              </w:rPr>
              <w:t>Právo na život v co nejméně omezujícím prostředí</w:t>
            </w:r>
          </w:p>
        </w:tc>
        <w:tc>
          <w:tcPr>
            <w:tcW w:w="2197" w:type="dxa"/>
            <w:tcBorders>
              <w:top w:val="single" w:sz="4" w:space="0" w:color="auto"/>
              <w:left w:val="nil"/>
              <w:bottom w:val="single" w:sz="4" w:space="0" w:color="auto"/>
              <w:right w:val="single" w:sz="4" w:space="0" w:color="auto"/>
            </w:tcBorders>
            <w:shd w:val="clear" w:color="auto" w:fill="auto"/>
            <w:vAlign w:val="center"/>
          </w:tcPr>
          <w:p w14:paraId="58E37D0A" w14:textId="77777777" w:rsidR="006B2280" w:rsidRPr="00D72443" w:rsidRDefault="006B2280" w:rsidP="002F741F">
            <w:pPr>
              <w:jc w:val="right"/>
              <w:rPr>
                <w:bCs/>
                <w:color w:val="000000"/>
                <w:sz w:val="20"/>
                <w:szCs w:val="20"/>
              </w:rPr>
            </w:pPr>
            <w:r>
              <w:rPr>
                <w:bCs/>
                <w:color w:val="000000"/>
                <w:sz w:val="20"/>
                <w:szCs w:val="20"/>
              </w:rPr>
              <w:t>X</w:t>
            </w:r>
          </w:p>
        </w:tc>
        <w:tc>
          <w:tcPr>
            <w:tcW w:w="2197" w:type="dxa"/>
            <w:tcBorders>
              <w:top w:val="single" w:sz="4" w:space="0" w:color="auto"/>
              <w:left w:val="nil"/>
              <w:bottom w:val="single" w:sz="4" w:space="0" w:color="auto"/>
              <w:right w:val="single" w:sz="4" w:space="0" w:color="auto"/>
            </w:tcBorders>
            <w:shd w:val="clear" w:color="auto" w:fill="auto"/>
            <w:vAlign w:val="center"/>
          </w:tcPr>
          <w:p w14:paraId="2A40C8EB" w14:textId="77777777" w:rsidR="006B2280" w:rsidRPr="00D72443" w:rsidRDefault="006B2280" w:rsidP="002F741F">
            <w:pPr>
              <w:jc w:val="right"/>
              <w:rPr>
                <w:bCs/>
                <w:color w:val="000000"/>
                <w:sz w:val="20"/>
                <w:szCs w:val="20"/>
              </w:rPr>
            </w:pPr>
            <w:r>
              <w:rPr>
                <w:bCs/>
                <w:color w:val="000000"/>
                <w:sz w:val="20"/>
                <w:szCs w:val="20"/>
              </w:rPr>
              <w:t>X</w:t>
            </w:r>
          </w:p>
        </w:tc>
      </w:tr>
      <w:tr w:rsidR="006B2280" w:rsidRPr="00E96CD2" w14:paraId="43B954FA" w14:textId="77777777" w:rsidTr="002F741F">
        <w:trPr>
          <w:trHeight w:val="430"/>
        </w:trPr>
        <w:tc>
          <w:tcPr>
            <w:tcW w:w="4537" w:type="dxa"/>
            <w:tcBorders>
              <w:top w:val="nil"/>
              <w:left w:val="single" w:sz="4" w:space="0" w:color="auto"/>
              <w:bottom w:val="single" w:sz="4" w:space="0" w:color="auto"/>
              <w:right w:val="single" w:sz="4" w:space="0" w:color="auto"/>
            </w:tcBorders>
            <w:shd w:val="clear" w:color="auto" w:fill="auto"/>
            <w:vAlign w:val="center"/>
            <w:hideMark/>
          </w:tcPr>
          <w:p w14:paraId="532F2579" w14:textId="77777777" w:rsidR="006B2280" w:rsidRPr="00E96CD2" w:rsidRDefault="006B2280" w:rsidP="002F741F">
            <w:pPr>
              <w:rPr>
                <w:b/>
                <w:bCs/>
                <w:color w:val="000000"/>
                <w:sz w:val="20"/>
                <w:szCs w:val="20"/>
              </w:rPr>
            </w:pPr>
            <w:r>
              <w:rPr>
                <w:b/>
                <w:bCs/>
                <w:color w:val="000000"/>
                <w:sz w:val="20"/>
                <w:szCs w:val="20"/>
              </w:rPr>
              <w:t xml:space="preserve">Zákaz umístění z důvodu postižení </w:t>
            </w:r>
          </w:p>
        </w:tc>
        <w:tc>
          <w:tcPr>
            <w:tcW w:w="2197" w:type="dxa"/>
            <w:tcBorders>
              <w:top w:val="nil"/>
              <w:left w:val="nil"/>
              <w:bottom w:val="single" w:sz="4" w:space="0" w:color="auto"/>
              <w:right w:val="single" w:sz="4" w:space="0" w:color="auto"/>
            </w:tcBorders>
            <w:shd w:val="clear" w:color="auto" w:fill="auto"/>
            <w:noWrap/>
            <w:vAlign w:val="bottom"/>
            <w:hideMark/>
          </w:tcPr>
          <w:p w14:paraId="52BD8167" w14:textId="77777777" w:rsidR="006B2280" w:rsidRPr="00D72443" w:rsidRDefault="006B2280" w:rsidP="002F741F">
            <w:pPr>
              <w:jc w:val="right"/>
              <w:rPr>
                <w:color w:val="000000"/>
                <w:sz w:val="20"/>
                <w:szCs w:val="20"/>
              </w:rPr>
            </w:pPr>
            <w:r>
              <w:rPr>
                <w:color w:val="000000"/>
                <w:sz w:val="20"/>
                <w:szCs w:val="20"/>
              </w:rPr>
              <w:t>X</w:t>
            </w:r>
          </w:p>
        </w:tc>
        <w:tc>
          <w:tcPr>
            <w:tcW w:w="2197" w:type="dxa"/>
            <w:tcBorders>
              <w:top w:val="nil"/>
              <w:left w:val="nil"/>
              <w:bottom w:val="single" w:sz="4" w:space="0" w:color="auto"/>
              <w:right w:val="single" w:sz="4" w:space="0" w:color="auto"/>
            </w:tcBorders>
            <w:shd w:val="clear" w:color="auto" w:fill="auto"/>
            <w:noWrap/>
            <w:vAlign w:val="bottom"/>
            <w:hideMark/>
          </w:tcPr>
          <w:p w14:paraId="4B1A1C37" w14:textId="77777777" w:rsidR="006B2280" w:rsidRPr="00D72443" w:rsidRDefault="006B2280" w:rsidP="002F741F">
            <w:pPr>
              <w:jc w:val="right"/>
              <w:rPr>
                <w:color w:val="000000"/>
                <w:sz w:val="20"/>
                <w:szCs w:val="20"/>
              </w:rPr>
            </w:pPr>
            <w:r>
              <w:rPr>
                <w:color w:val="000000"/>
                <w:sz w:val="20"/>
                <w:szCs w:val="20"/>
              </w:rPr>
              <w:t>X</w:t>
            </w:r>
          </w:p>
        </w:tc>
      </w:tr>
      <w:tr w:rsidR="006B2280" w:rsidRPr="00E96CD2" w14:paraId="75FED2A4" w14:textId="77777777" w:rsidTr="002F741F">
        <w:trPr>
          <w:trHeight w:val="430"/>
        </w:trPr>
        <w:tc>
          <w:tcPr>
            <w:tcW w:w="4537" w:type="dxa"/>
            <w:tcBorders>
              <w:top w:val="nil"/>
              <w:left w:val="single" w:sz="4" w:space="0" w:color="auto"/>
              <w:bottom w:val="single" w:sz="4" w:space="0" w:color="auto"/>
              <w:right w:val="single" w:sz="4" w:space="0" w:color="auto"/>
            </w:tcBorders>
            <w:shd w:val="clear" w:color="auto" w:fill="auto"/>
            <w:vAlign w:val="center"/>
            <w:hideMark/>
          </w:tcPr>
          <w:p w14:paraId="37FDE359" w14:textId="77777777" w:rsidR="006B2280" w:rsidRPr="00E96CD2" w:rsidRDefault="006B2280" w:rsidP="002F741F">
            <w:pPr>
              <w:rPr>
                <w:b/>
                <w:bCs/>
                <w:color w:val="000000"/>
                <w:sz w:val="20"/>
                <w:szCs w:val="20"/>
              </w:rPr>
            </w:pPr>
            <w:r>
              <w:rPr>
                <w:b/>
                <w:bCs/>
                <w:color w:val="000000"/>
                <w:sz w:val="20"/>
                <w:szCs w:val="20"/>
              </w:rPr>
              <w:t>Přezkum nezávislým orgánem</w:t>
            </w:r>
          </w:p>
        </w:tc>
        <w:tc>
          <w:tcPr>
            <w:tcW w:w="2197" w:type="dxa"/>
            <w:tcBorders>
              <w:top w:val="nil"/>
              <w:left w:val="nil"/>
              <w:bottom w:val="single" w:sz="4" w:space="0" w:color="auto"/>
              <w:right w:val="single" w:sz="4" w:space="0" w:color="auto"/>
            </w:tcBorders>
            <w:shd w:val="clear" w:color="auto" w:fill="auto"/>
            <w:noWrap/>
            <w:vAlign w:val="bottom"/>
            <w:hideMark/>
          </w:tcPr>
          <w:p w14:paraId="22078FB8" w14:textId="77777777" w:rsidR="006B2280" w:rsidRPr="00D72443" w:rsidRDefault="006B2280" w:rsidP="002F741F">
            <w:pPr>
              <w:jc w:val="right"/>
              <w:rPr>
                <w:color w:val="000000"/>
                <w:sz w:val="20"/>
                <w:szCs w:val="20"/>
              </w:rPr>
            </w:pPr>
            <w:r>
              <w:rPr>
                <w:color w:val="000000"/>
                <w:sz w:val="20"/>
                <w:szCs w:val="20"/>
              </w:rPr>
              <w:t>X</w:t>
            </w:r>
          </w:p>
        </w:tc>
        <w:tc>
          <w:tcPr>
            <w:tcW w:w="2197" w:type="dxa"/>
            <w:tcBorders>
              <w:top w:val="nil"/>
              <w:left w:val="nil"/>
              <w:bottom w:val="single" w:sz="4" w:space="0" w:color="auto"/>
              <w:right w:val="single" w:sz="4" w:space="0" w:color="auto"/>
            </w:tcBorders>
            <w:shd w:val="clear" w:color="auto" w:fill="auto"/>
            <w:noWrap/>
            <w:vAlign w:val="bottom"/>
            <w:hideMark/>
          </w:tcPr>
          <w:p w14:paraId="17215D23" w14:textId="77777777" w:rsidR="006B2280" w:rsidRPr="00D72443" w:rsidRDefault="006B2280" w:rsidP="002F741F">
            <w:pPr>
              <w:jc w:val="right"/>
              <w:rPr>
                <w:color w:val="000000"/>
                <w:sz w:val="20"/>
                <w:szCs w:val="20"/>
              </w:rPr>
            </w:pPr>
            <w:r>
              <w:rPr>
                <w:color w:val="000000"/>
                <w:sz w:val="20"/>
                <w:szCs w:val="20"/>
              </w:rPr>
              <w:t>X</w:t>
            </w:r>
          </w:p>
        </w:tc>
      </w:tr>
      <w:tr w:rsidR="006B2280" w:rsidRPr="00E96CD2" w14:paraId="1229953E" w14:textId="77777777" w:rsidTr="002F741F">
        <w:trPr>
          <w:trHeight w:val="430"/>
        </w:trPr>
        <w:tc>
          <w:tcPr>
            <w:tcW w:w="4537" w:type="dxa"/>
            <w:tcBorders>
              <w:top w:val="nil"/>
              <w:left w:val="single" w:sz="4" w:space="0" w:color="auto"/>
              <w:bottom w:val="single" w:sz="4" w:space="0" w:color="auto"/>
              <w:right w:val="single" w:sz="4" w:space="0" w:color="auto"/>
            </w:tcBorders>
            <w:shd w:val="clear" w:color="auto" w:fill="auto"/>
            <w:vAlign w:val="center"/>
            <w:hideMark/>
          </w:tcPr>
          <w:p w14:paraId="4BE3CFFE" w14:textId="77777777" w:rsidR="006B2280" w:rsidRPr="00E96CD2" w:rsidRDefault="006B2280" w:rsidP="002F741F">
            <w:pPr>
              <w:rPr>
                <w:b/>
                <w:bCs/>
                <w:color w:val="000000"/>
                <w:sz w:val="20"/>
                <w:szCs w:val="20"/>
              </w:rPr>
            </w:pPr>
            <w:r>
              <w:rPr>
                <w:b/>
                <w:bCs/>
                <w:color w:val="000000"/>
                <w:sz w:val="20"/>
                <w:szCs w:val="20"/>
              </w:rPr>
              <w:t xml:space="preserve">Dočasnost </w:t>
            </w:r>
          </w:p>
        </w:tc>
        <w:tc>
          <w:tcPr>
            <w:tcW w:w="2197" w:type="dxa"/>
            <w:tcBorders>
              <w:top w:val="nil"/>
              <w:left w:val="nil"/>
              <w:bottom w:val="single" w:sz="4" w:space="0" w:color="auto"/>
              <w:right w:val="single" w:sz="4" w:space="0" w:color="auto"/>
            </w:tcBorders>
            <w:shd w:val="clear" w:color="auto" w:fill="auto"/>
            <w:noWrap/>
            <w:vAlign w:val="bottom"/>
            <w:hideMark/>
          </w:tcPr>
          <w:p w14:paraId="7DAF2B32" w14:textId="77777777" w:rsidR="006B2280" w:rsidRPr="00D72443" w:rsidRDefault="006B2280" w:rsidP="002F741F">
            <w:pPr>
              <w:jc w:val="right"/>
              <w:rPr>
                <w:color w:val="000000"/>
                <w:sz w:val="20"/>
                <w:szCs w:val="20"/>
              </w:rPr>
            </w:pPr>
            <w:r>
              <w:rPr>
                <w:color w:val="000000"/>
                <w:sz w:val="20"/>
                <w:szCs w:val="20"/>
              </w:rPr>
              <w:t>X</w:t>
            </w:r>
          </w:p>
        </w:tc>
        <w:tc>
          <w:tcPr>
            <w:tcW w:w="2197" w:type="dxa"/>
            <w:tcBorders>
              <w:top w:val="nil"/>
              <w:left w:val="nil"/>
              <w:bottom w:val="single" w:sz="4" w:space="0" w:color="auto"/>
              <w:right w:val="single" w:sz="4" w:space="0" w:color="auto"/>
            </w:tcBorders>
            <w:shd w:val="clear" w:color="auto" w:fill="auto"/>
            <w:noWrap/>
            <w:vAlign w:val="bottom"/>
            <w:hideMark/>
          </w:tcPr>
          <w:p w14:paraId="44191AE5" w14:textId="77777777" w:rsidR="006B2280" w:rsidRPr="00D72443" w:rsidRDefault="006B2280" w:rsidP="002F741F">
            <w:pPr>
              <w:jc w:val="right"/>
              <w:rPr>
                <w:color w:val="000000"/>
                <w:sz w:val="20"/>
                <w:szCs w:val="20"/>
              </w:rPr>
            </w:pPr>
            <w:r>
              <w:rPr>
                <w:color w:val="000000"/>
                <w:sz w:val="20"/>
                <w:szCs w:val="20"/>
              </w:rPr>
              <w:t>X</w:t>
            </w:r>
          </w:p>
        </w:tc>
      </w:tr>
      <w:tr w:rsidR="006B2280" w:rsidRPr="00E96CD2" w14:paraId="66243BDA" w14:textId="77777777" w:rsidTr="002F741F">
        <w:trPr>
          <w:trHeight w:val="112"/>
        </w:trPr>
        <w:tc>
          <w:tcPr>
            <w:tcW w:w="453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04F1B07" w14:textId="77777777" w:rsidR="006B2280" w:rsidRDefault="006B2280" w:rsidP="002F741F">
            <w:pPr>
              <w:rPr>
                <w:b/>
                <w:bCs/>
                <w:color w:val="000000"/>
                <w:sz w:val="20"/>
                <w:szCs w:val="20"/>
              </w:rPr>
            </w:pPr>
            <w:r>
              <w:rPr>
                <w:b/>
                <w:bCs/>
                <w:color w:val="000000"/>
                <w:sz w:val="20"/>
                <w:szCs w:val="20"/>
              </w:rPr>
              <w:t xml:space="preserve">Celkem </w:t>
            </w:r>
          </w:p>
        </w:tc>
        <w:tc>
          <w:tcPr>
            <w:tcW w:w="2197" w:type="dxa"/>
            <w:tcBorders>
              <w:top w:val="single" w:sz="4" w:space="0" w:color="auto"/>
              <w:left w:val="nil"/>
              <w:bottom w:val="single" w:sz="4" w:space="0" w:color="auto"/>
              <w:right w:val="single" w:sz="4" w:space="0" w:color="auto"/>
            </w:tcBorders>
            <w:shd w:val="clear" w:color="auto" w:fill="D0CECE" w:themeFill="background2" w:themeFillShade="E6"/>
            <w:noWrap/>
            <w:vAlign w:val="bottom"/>
          </w:tcPr>
          <w:p w14:paraId="55CCBB86" w14:textId="77777777" w:rsidR="006B2280" w:rsidRPr="005A78B1" w:rsidRDefault="006B2280" w:rsidP="002F741F">
            <w:pPr>
              <w:jc w:val="right"/>
              <w:rPr>
                <w:b/>
                <w:color w:val="000000"/>
                <w:sz w:val="20"/>
                <w:szCs w:val="20"/>
              </w:rPr>
            </w:pPr>
            <w:r>
              <w:rPr>
                <w:b/>
                <w:color w:val="000000"/>
                <w:sz w:val="20"/>
                <w:szCs w:val="20"/>
              </w:rPr>
              <w:t>X</w:t>
            </w:r>
          </w:p>
        </w:tc>
        <w:tc>
          <w:tcPr>
            <w:tcW w:w="2197" w:type="dxa"/>
            <w:tcBorders>
              <w:top w:val="single" w:sz="4" w:space="0" w:color="auto"/>
              <w:left w:val="nil"/>
              <w:bottom w:val="single" w:sz="4" w:space="0" w:color="auto"/>
              <w:right w:val="single" w:sz="4" w:space="0" w:color="auto"/>
            </w:tcBorders>
            <w:shd w:val="clear" w:color="auto" w:fill="D0CECE" w:themeFill="background2" w:themeFillShade="E6"/>
            <w:noWrap/>
            <w:vAlign w:val="bottom"/>
          </w:tcPr>
          <w:p w14:paraId="2A42F7AC" w14:textId="77777777" w:rsidR="006B2280" w:rsidRPr="005A78B1" w:rsidRDefault="006B2280" w:rsidP="002F741F">
            <w:pPr>
              <w:jc w:val="right"/>
              <w:rPr>
                <w:b/>
                <w:color w:val="000000"/>
                <w:sz w:val="20"/>
                <w:szCs w:val="20"/>
              </w:rPr>
            </w:pPr>
            <w:r>
              <w:rPr>
                <w:b/>
                <w:color w:val="000000"/>
                <w:sz w:val="20"/>
                <w:szCs w:val="20"/>
              </w:rPr>
              <w:t>X</w:t>
            </w:r>
          </w:p>
        </w:tc>
      </w:tr>
    </w:tbl>
    <w:p w14:paraId="17190725" w14:textId="77777777" w:rsidR="006B2280" w:rsidRDefault="006B2280" w:rsidP="006B2280">
      <w:pPr>
        <w:pStyle w:val="Zkladntext"/>
        <w:rPr>
          <w:rStyle w:val="Siln"/>
        </w:rPr>
      </w:pPr>
    </w:p>
    <w:p w14:paraId="3633CDF7" w14:textId="77777777" w:rsidR="00AD33E4" w:rsidRDefault="00AD33E4" w:rsidP="006B2280">
      <w:pPr>
        <w:pStyle w:val="Zkladntext"/>
        <w:rPr>
          <w:rStyle w:val="Siln"/>
        </w:rPr>
      </w:pPr>
    </w:p>
    <w:p w14:paraId="7C71470E" w14:textId="77777777" w:rsidR="00AD33E4" w:rsidRDefault="00AD33E4" w:rsidP="006B2280">
      <w:pPr>
        <w:pStyle w:val="Zkladntext"/>
        <w:rPr>
          <w:rStyle w:val="Siln"/>
        </w:rPr>
      </w:pPr>
    </w:p>
    <w:p w14:paraId="20BFEB7C" w14:textId="77777777" w:rsidR="00AD33E4" w:rsidRDefault="00AD33E4" w:rsidP="006B2280">
      <w:pPr>
        <w:pStyle w:val="Zkladntext"/>
        <w:rPr>
          <w:rStyle w:val="Siln"/>
        </w:rPr>
      </w:pPr>
    </w:p>
    <w:p w14:paraId="7DB9B036" w14:textId="77777777" w:rsidR="00AD33E4" w:rsidRDefault="00AD33E4" w:rsidP="006B2280">
      <w:pPr>
        <w:pStyle w:val="Zkladntext"/>
        <w:rPr>
          <w:rStyle w:val="Siln"/>
        </w:rPr>
      </w:pPr>
    </w:p>
    <w:tbl>
      <w:tblPr>
        <w:tblStyle w:val="Mkatabulky"/>
        <w:tblW w:w="0" w:type="auto"/>
        <w:tblInd w:w="0" w:type="dxa"/>
        <w:tblLook w:val="04A0" w:firstRow="1" w:lastRow="0" w:firstColumn="1" w:lastColumn="0" w:noHBand="0" w:noVBand="1"/>
      </w:tblPr>
      <w:tblGrid>
        <w:gridCol w:w="8495"/>
      </w:tblGrid>
      <w:tr w:rsidR="006B2280" w14:paraId="503C71D7" w14:textId="77777777" w:rsidTr="002F741F">
        <w:tc>
          <w:tcPr>
            <w:tcW w:w="9062" w:type="dxa"/>
          </w:tcPr>
          <w:p w14:paraId="57AA0259" w14:textId="77777777" w:rsidR="006B2280" w:rsidRPr="00AD33E4" w:rsidRDefault="006B2280" w:rsidP="002F741F">
            <w:pPr>
              <w:pStyle w:val="Zkladntext"/>
              <w:rPr>
                <w:rStyle w:val="Siln"/>
                <w:b w:val="0"/>
                <w:sz w:val="22"/>
              </w:rPr>
            </w:pPr>
            <w:r w:rsidRPr="00AD33E4">
              <w:rPr>
                <w:rStyle w:val="Siln"/>
              </w:rPr>
              <w:lastRenderedPageBreak/>
              <w:t xml:space="preserve"> </w:t>
            </w:r>
            <w:r w:rsidRPr="00AD33E4">
              <w:rPr>
                <w:rStyle w:val="Siln"/>
                <w:sz w:val="22"/>
              </w:rPr>
              <w:t>Komentář</w:t>
            </w:r>
          </w:p>
          <w:p w14:paraId="3028FE8E" w14:textId="77777777" w:rsidR="006B2280" w:rsidRPr="00AD33E4" w:rsidRDefault="006B2280" w:rsidP="002F741F">
            <w:pPr>
              <w:pStyle w:val="Zkladntext"/>
              <w:rPr>
                <w:rStyle w:val="pokyny"/>
                <w:color w:val="auto"/>
                <w:sz w:val="22"/>
              </w:rPr>
            </w:pPr>
            <w:r w:rsidRPr="00AD33E4">
              <w:rPr>
                <w:rStyle w:val="pokyny"/>
                <w:color w:val="auto"/>
                <w:sz w:val="22"/>
              </w:rPr>
              <w:t>Při tvorbě tohoto indikátoru jsme vycházeli z </w:t>
            </w:r>
            <w:hyperlink r:id="rId42" w:history="1">
              <w:r w:rsidRPr="00AD33E4">
                <w:rPr>
                  <w:rStyle w:val="Hypertextovodkaz"/>
                  <w:color w:val="auto"/>
                  <w:sz w:val="22"/>
                </w:rPr>
                <w:t>Obecného komentáře Výboru CRPD k článku 19</w:t>
              </w:r>
            </w:hyperlink>
            <w:r w:rsidRPr="00AD33E4">
              <w:rPr>
                <w:rStyle w:val="pokyny"/>
                <w:color w:val="auto"/>
                <w:sz w:val="22"/>
              </w:rPr>
              <w:t xml:space="preserve"> a </w:t>
            </w:r>
            <w:hyperlink r:id="rId43" w:history="1">
              <w:r w:rsidRPr="00AD33E4">
                <w:rPr>
                  <w:rStyle w:val="Hypertextovodkaz"/>
                  <w:color w:val="auto"/>
                  <w:sz w:val="22"/>
                </w:rPr>
                <w:t>Indikátorů zpracovaných kanceláří Vysokého komisaře pro lidská práva</w:t>
              </w:r>
            </w:hyperlink>
            <w:r w:rsidRPr="00AD33E4">
              <w:rPr>
                <w:rStyle w:val="pokyny"/>
                <w:color w:val="auto"/>
                <w:sz w:val="22"/>
              </w:rPr>
              <w:t>, při hodnocení míry naplnění pak z analýzy právní úpravy ČR.</w:t>
            </w:r>
          </w:p>
          <w:p w14:paraId="2FBA487B" w14:textId="77777777" w:rsidR="006B2280" w:rsidRPr="00AD33E4" w:rsidRDefault="006B2280" w:rsidP="002F741F">
            <w:pPr>
              <w:pStyle w:val="Zkladntext"/>
              <w:rPr>
                <w:rStyle w:val="pokyny"/>
                <w:color w:val="auto"/>
                <w:sz w:val="22"/>
              </w:rPr>
            </w:pPr>
            <w:r w:rsidRPr="00AD33E4">
              <w:rPr>
                <w:rStyle w:val="pokyny"/>
                <w:color w:val="auto"/>
                <w:sz w:val="22"/>
              </w:rPr>
              <w:t xml:space="preserve">Jednotlivá </w:t>
            </w:r>
            <w:r w:rsidR="00AD33E4">
              <w:rPr>
                <w:rStyle w:val="pokyny"/>
                <w:color w:val="auto"/>
                <w:sz w:val="22"/>
              </w:rPr>
              <w:t>kritéria budou hodnocena</w:t>
            </w:r>
            <w:r w:rsidRPr="00AD33E4">
              <w:rPr>
                <w:rStyle w:val="pokyny"/>
                <w:color w:val="auto"/>
                <w:sz w:val="22"/>
              </w:rPr>
              <w:t xml:space="preserve"> 0 – není naplněn, 0.5 – částečně naplněn nebo 1 – zcela naplněn, pro každou kategorii služeb. </w:t>
            </w:r>
          </w:p>
          <w:p w14:paraId="187B67AF" w14:textId="77777777" w:rsidR="006B2280" w:rsidRDefault="006B2280" w:rsidP="00AD33E4">
            <w:pPr>
              <w:pStyle w:val="Zkladntext"/>
              <w:rPr>
                <w:rStyle w:val="Siln"/>
              </w:rPr>
            </w:pPr>
            <w:r w:rsidRPr="00AD33E4">
              <w:rPr>
                <w:rStyle w:val="pokyny"/>
                <w:color w:val="auto"/>
                <w:sz w:val="22"/>
              </w:rPr>
              <w:t xml:space="preserve">V současné době </w:t>
            </w:r>
            <w:r w:rsidR="00AD33E4">
              <w:rPr>
                <w:rStyle w:val="pokyny"/>
                <w:color w:val="auto"/>
                <w:sz w:val="22"/>
              </w:rPr>
              <w:t xml:space="preserve">jsou </w:t>
            </w:r>
            <w:r w:rsidRPr="00AD33E4">
              <w:rPr>
                <w:rStyle w:val="pokyny"/>
                <w:color w:val="auto"/>
                <w:sz w:val="22"/>
              </w:rPr>
              <w:t>zdravotní po</w:t>
            </w:r>
            <w:r w:rsidR="00AD33E4">
              <w:rPr>
                <w:rStyle w:val="pokyny"/>
                <w:color w:val="auto"/>
                <w:sz w:val="22"/>
              </w:rPr>
              <w:t>stižení či duševní onemocnění</w:t>
            </w:r>
            <w:r w:rsidRPr="00AD33E4">
              <w:rPr>
                <w:rStyle w:val="pokyny"/>
                <w:color w:val="auto"/>
                <w:sz w:val="22"/>
              </w:rPr>
              <w:t xml:space="preserve"> jednou ze zákonných podmínek pro umístění člověka do pobytové sociální služby</w:t>
            </w:r>
            <w:r w:rsidRPr="00AD33E4">
              <w:rPr>
                <w:rStyle w:val="Znakapoznpodarou"/>
                <w:color w:val="auto"/>
              </w:rPr>
              <w:footnoteReference w:id="24"/>
            </w:r>
            <w:r w:rsidRPr="00AD33E4">
              <w:rPr>
                <w:rStyle w:val="pokyny"/>
                <w:color w:val="auto"/>
                <w:sz w:val="22"/>
              </w:rPr>
              <w:t xml:space="preserve"> i do zařízení poskytující zdravotní služby.</w:t>
            </w:r>
            <w:r w:rsidRPr="00AD33E4">
              <w:rPr>
                <w:rStyle w:val="Znakapoznpodarou"/>
                <w:color w:val="auto"/>
              </w:rPr>
              <w:footnoteReference w:id="25"/>
            </w:r>
            <w:r w:rsidR="00AD33E4">
              <w:rPr>
                <w:rStyle w:val="pokyny"/>
                <w:color w:val="auto"/>
                <w:sz w:val="22"/>
              </w:rPr>
              <w:t xml:space="preserve"> Pravidelný přezkum je </w:t>
            </w:r>
            <w:r w:rsidRPr="00AD33E4">
              <w:rPr>
                <w:rStyle w:val="pokyny"/>
                <w:color w:val="auto"/>
                <w:sz w:val="22"/>
              </w:rPr>
              <w:t xml:space="preserve"> zajištěn pouze u umístění do zdravotních služeb,</w:t>
            </w:r>
            <w:r w:rsidRPr="00AD33E4">
              <w:rPr>
                <w:rStyle w:val="Znakapoznpodarou"/>
                <w:color w:val="auto"/>
              </w:rPr>
              <w:footnoteReference w:id="26"/>
            </w:r>
            <w:r w:rsidRPr="00AD33E4">
              <w:rPr>
                <w:rStyle w:val="pokyny"/>
                <w:color w:val="auto"/>
                <w:sz w:val="22"/>
              </w:rPr>
              <w:t xml:space="preserve"> pokud se jedná o umístění do zařízení sociálních služeb,</w:t>
            </w:r>
            <w:r w:rsidRPr="00AD33E4">
              <w:rPr>
                <w:rStyle w:val="Znakapoznpodarou"/>
                <w:color w:val="auto"/>
              </w:rPr>
              <w:footnoteReference w:id="27"/>
            </w:r>
            <w:r w:rsidRPr="00AD33E4">
              <w:rPr>
                <w:rStyle w:val="pokyny"/>
                <w:color w:val="auto"/>
                <w:sz w:val="22"/>
              </w:rPr>
              <w:t xml:space="preserve"> přezkum nenastane automaticky, nýbrž až po podání nového návrhu člověkem nebo zařízením. U pobytů na základě souhlasu člověka, případně pobytů člověka, jenž není schopen souhlas či nesouhlas vyslovit, neexistuje žádná záruka k prevenci dlouhodobé institucionalizace.  </w:t>
            </w:r>
          </w:p>
        </w:tc>
      </w:tr>
    </w:tbl>
    <w:p w14:paraId="39E826E3" w14:textId="77777777" w:rsidR="006B2280" w:rsidRDefault="006B2280" w:rsidP="006B2280">
      <w:pPr>
        <w:pStyle w:val="Zkladntext"/>
        <w:rPr>
          <w:rStyle w:val="Siln"/>
        </w:rPr>
      </w:pPr>
    </w:p>
    <w:p w14:paraId="1A28ADE1" w14:textId="77777777" w:rsidR="006B2280" w:rsidRDefault="006B2280" w:rsidP="00DA7663">
      <w:pPr>
        <w:pStyle w:val="Seznam"/>
        <w:numPr>
          <w:ilvl w:val="0"/>
          <w:numId w:val="0"/>
        </w:numPr>
        <w:ind w:left="567"/>
        <w:rPr>
          <w:rStyle w:val="Siln"/>
          <w:b w:val="0"/>
          <w:bCs w:val="0"/>
        </w:rPr>
      </w:pPr>
    </w:p>
    <w:p w14:paraId="25A35B4B" w14:textId="77777777" w:rsidR="00AD33E4" w:rsidRDefault="00AD33E4" w:rsidP="00DA7663">
      <w:pPr>
        <w:pStyle w:val="Seznam"/>
        <w:numPr>
          <w:ilvl w:val="0"/>
          <w:numId w:val="0"/>
        </w:numPr>
        <w:ind w:left="567"/>
        <w:rPr>
          <w:rStyle w:val="Siln"/>
          <w:b w:val="0"/>
          <w:bCs w:val="0"/>
        </w:rPr>
      </w:pPr>
    </w:p>
    <w:p w14:paraId="06F21BD3" w14:textId="77777777" w:rsidR="00AD33E4" w:rsidRDefault="00AD33E4" w:rsidP="00DA7663">
      <w:pPr>
        <w:pStyle w:val="Seznam"/>
        <w:numPr>
          <w:ilvl w:val="0"/>
          <w:numId w:val="0"/>
        </w:numPr>
        <w:ind w:left="567"/>
        <w:rPr>
          <w:rStyle w:val="Siln"/>
          <w:b w:val="0"/>
          <w:bCs w:val="0"/>
        </w:rPr>
      </w:pPr>
    </w:p>
    <w:p w14:paraId="11221D63" w14:textId="77777777" w:rsidR="00AD33E4" w:rsidRDefault="00AD33E4" w:rsidP="00DA7663">
      <w:pPr>
        <w:pStyle w:val="Seznam"/>
        <w:numPr>
          <w:ilvl w:val="0"/>
          <w:numId w:val="0"/>
        </w:numPr>
        <w:ind w:left="567"/>
        <w:rPr>
          <w:rStyle w:val="Siln"/>
          <w:b w:val="0"/>
          <w:bCs w:val="0"/>
        </w:rPr>
      </w:pPr>
    </w:p>
    <w:p w14:paraId="64CE0720" w14:textId="77777777" w:rsidR="00AD33E4" w:rsidRDefault="00AD33E4" w:rsidP="00DA7663">
      <w:pPr>
        <w:pStyle w:val="Seznam"/>
        <w:numPr>
          <w:ilvl w:val="0"/>
          <w:numId w:val="0"/>
        </w:numPr>
        <w:ind w:left="567"/>
        <w:rPr>
          <w:rStyle w:val="Siln"/>
          <w:b w:val="0"/>
          <w:bCs w:val="0"/>
        </w:rPr>
      </w:pPr>
    </w:p>
    <w:p w14:paraId="4EF43E40" w14:textId="77777777" w:rsidR="00AD33E4" w:rsidRDefault="00AD33E4" w:rsidP="00DA7663">
      <w:pPr>
        <w:pStyle w:val="Seznam"/>
        <w:numPr>
          <w:ilvl w:val="0"/>
          <w:numId w:val="0"/>
        </w:numPr>
        <w:ind w:left="567"/>
        <w:rPr>
          <w:rStyle w:val="Siln"/>
          <w:b w:val="0"/>
          <w:bCs w:val="0"/>
        </w:rPr>
      </w:pPr>
    </w:p>
    <w:p w14:paraId="0B04FF1C" w14:textId="77777777" w:rsidR="00AD33E4" w:rsidRDefault="00AD33E4" w:rsidP="00DA7663">
      <w:pPr>
        <w:pStyle w:val="Seznam"/>
        <w:numPr>
          <w:ilvl w:val="0"/>
          <w:numId w:val="0"/>
        </w:numPr>
        <w:ind w:left="567"/>
        <w:rPr>
          <w:rStyle w:val="Siln"/>
          <w:b w:val="0"/>
          <w:bCs w:val="0"/>
        </w:rPr>
      </w:pPr>
    </w:p>
    <w:p w14:paraId="59BB9130" w14:textId="77777777" w:rsidR="00AD33E4" w:rsidRDefault="00AD33E4" w:rsidP="00DA7663">
      <w:pPr>
        <w:pStyle w:val="Seznam"/>
        <w:numPr>
          <w:ilvl w:val="0"/>
          <w:numId w:val="0"/>
        </w:numPr>
        <w:ind w:left="567"/>
        <w:rPr>
          <w:rStyle w:val="Siln"/>
          <w:b w:val="0"/>
          <w:bCs w:val="0"/>
        </w:rPr>
      </w:pPr>
    </w:p>
    <w:p w14:paraId="0BBDCB3D" w14:textId="77777777" w:rsidR="00AD33E4" w:rsidRDefault="00AD33E4" w:rsidP="00DA7663">
      <w:pPr>
        <w:pStyle w:val="Seznam"/>
        <w:numPr>
          <w:ilvl w:val="0"/>
          <w:numId w:val="0"/>
        </w:numPr>
        <w:ind w:left="567"/>
        <w:rPr>
          <w:rStyle w:val="Siln"/>
          <w:b w:val="0"/>
          <w:bCs w:val="0"/>
        </w:rPr>
      </w:pPr>
    </w:p>
    <w:p w14:paraId="0B2A8CC0" w14:textId="77777777" w:rsidR="00AD33E4" w:rsidRDefault="00AD33E4" w:rsidP="00DA7663">
      <w:pPr>
        <w:pStyle w:val="Seznam"/>
        <w:numPr>
          <w:ilvl w:val="0"/>
          <w:numId w:val="0"/>
        </w:numPr>
        <w:ind w:left="567"/>
        <w:rPr>
          <w:rStyle w:val="Siln"/>
          <w:b w:val="0"/>
          <w:bCs w:val="0"/>
        </w:rPr>
      </w:pPr>
    </w:p>
    <w:p w14:paraId="7A664DF4" w14:textId="77777777" w:rsidR="00AD33E4" w:rsidRDefault="00AD33E4" w:rsidP="00DA7663">
      <w:pPr>
        <w:pStyle w:val="Seznam"/>
        <w:numPr>
          <w:ilvl w:val="0"/>
          <w:numId w:val="0"/>
        </w:numPr>
        <w:ind w:left="567"/>
        <w:rPr>
          <w:rStyle w:val="Siln"/>
          <w:b w:val="0"/>
          <w:bCs w:val="0"/>
        </w:rPr>
      </w:pPr>
    </w:p>
    <w:p w14:paraId="41C99049" w14:textId="77777777" w:rsidR="00AD33E4" w:rsidRDefault="00AD33E4" w:rsidP="00DA7663">
      <w:pPr>
        <w:pStyle w:val="Seznam"/>
        <w:numPr>
          <w:ilvl w:val="0"/>
          <w:numId w:val="0"/>
        </w:numPr>
        <w:ind w:left="567"/>
        <w:rPr>
          <w:rStyle w:val="Siln"/>
          <w:b w:val="0"/>
          <w:bCs w:val="0"/>
        </w:rPr>
      </w:pPr>
    </w:p>
    <w:p w14:paraId="6CB12A17" w14:textId="77777777" w:rsidR="00AD33E4" w:rsidRDefault="00AD33E4" w:rsidP="00DA7663">
      <w:pPr>
        <w:pStyle w:val="Seznam"/>
        <w:numPr>
          <w:ilvl w:val="0"/>
          <w:numId w:val="0"/>
        </w:numPr>
        <w:ind w:left="567"/>
        <w:rPr>
          <w:rStyle w:val="Siln"/>
          <w:b w:val="0"/>
          <w:bCs w:val="0"/>
        </w:rPr>
      </w:pPr>
    </w:p>
    <w:p w14:paraId="63A8B1EF" w14:textId="77777777" w:rsidR="00AD33E4" w:rsidRPr="00AD33E4" w:rsidRDefault="00AD33E4" w:rsidP="00AD33E4">
      <w:pPr>
        <w:pStyle w:val="Nadpis3"/>
        <w:rPr>
          <w:rStyle w:val="Siln"/>
          <w:rFonts w:eastAsiaTheme="minorEastAsia"/>
          <w:b w:val="0"/>
          <w:bCs w:val="0"/>
        </w:rPr>
      </w:pPr>
      <w:bookmarkStart w:id="40" w:name="_Toc81417440"/>
      <w:r w:rsidRPr="00AD33E4">
        <w:rPr>
          <w:rStyle w:val="Siln"/>
          <w:rFonts w:eastAsiaTheme="minorEastAsia"/>
          <w:b w:val="0"/>
          <w:bCs w:val="0"/>
        </w:rPr>
        <w:lastRenderedPageBreak/>
        <w:t>Lidé nejsou vylučováni ze systému obecního bydlení či pobytových sociálních služeb z důvodu zdravotního postižení, diagnózy či omezení svéprávnosti</w:t>
      </w:r>
      <w:bookmarkEnd w:id="40"/>
    </w:p>
    <w:p w14:paraId="59BF0825" w14:textId="77777777" w:rsidR="00AD33E4" w:rsidRPr="00AD33E4" w:rsidRDefault="00AD33E4" w:rsidP="00AD33E4">
      <w:pPr>
        <w:pStyle w:val="Zkladntext"/>
        <w:rPr>
          <w:rStyle w:val="Siln"/>
          <w:b w:val="0"/>
        </w:rPr>
      </w:pPr>
      <w:r w:rsidRPr="00AD33E4">
        <w:rPr>
          <w:rStyle w:val="Siln"/>
          <w:b w:val="0"/>
        </w:rPr>
        <w:t>Lidé s postižením by měli mít přístup k běžným ubytovacím službám v komunitě. Pro lidi ohrožených institucionalizací z finančních důvodů či z důvodu nedostupnosti péče v komunitě je pak obzvlášť důležité, aby měli možnost dosáhnout na obecní byty, případně aby mohli využívat pobytové sociální služby. Kritéria pro posouzení tohoto indikátoru jsou:</w:t>
      </w:r>
    </w:p>
    <w:p w14:paraId="10A869FB" w14:textId="77777777" w:rsidR="00AD33E4" w:rsidRPr="00AD33E4" w:rsidRDefault="00AD33E4" w:rsidP="00AD33E4">
      <w:pPr>
        <w:pStyle w:val="Zkladntext"/>
        <w:numPr>
          <w:ilvl w:val="0"/>
          <w:numId w:val="40"/>
        </w:numPr>
        <w:rPr>
          <w:rStyle w:val="Siln"/>
          <w:b w:val="0"/>
        </w:rPr>
      </w:pPr>
      <w:r w:rsidRPr="00AD33E4">
        <w:rPr>
          <w:rStyle w:val="Siln"/>
          <w:b w:val="0"/>
        </w:rPr>
        <w:t>Stát má komplexní právní úpravu pro sociální bydlení, která zohledňuje také přístupnost pro lidi s postižením</w:t>
      </w:r>
    </w:p>
    <w:p w14:paraId="27F6834C" w14:textId="77777777" w:rsidR="00AD33E4" w:rsidRPr="00AD33E4" w:rsidRDefault="00AD33E4" w:rsidP="00AD33E4">
      <w:pPr>
        <w:pStyle w:val="Zkladntext"/>
        <w:numPr>
          <w:ilvl w:val="0"/>
          <w:numId w:val="40"/>
        </w:numPr>
        <w:rPr>
          <w:rStyle w:val="Siln"/>
          <w:b w:val="0"/>
        </w:rPr>
      </w:pPr>
      <w:r w:rsidRPr="00AD33E4">
        <w:rPr>
          <w:rStyle w:val="Siln"/>
          <w:b w:val="0"/>
        </w:rPr>
        <w:t>Právní úprava neumožňuje obcím vylučovat či znevýhodňovat lidi s postižením z přístupu k obecnímu bydlení.</w:t>
      </w:r>
    </w:p>
    <w:p w14:paraId="3717CE88" w14:textId="77777777" w:rsidR="00AD33E4" w:rsidRPr="00AD33E4" w:rsidRDefault="00AD33E4" w:rsidP="00AD33E4">
      <w:pPr>
        <w:pStyle w:val="Zkladntext"/>
        <w:numPr>
          <w:ilvl w:val="0"/>
          <w:numId w:val="40"/>
        </w:numPr>
        <w:rPr>
          <w:rStyle w:val="Siln"/>
          <w:b w:val="0"/>
        </w:rPr>
      </w:pPr>
      <w:r w:rsidRPr="00AD33E4">
        <w:rPr>
          <w:rStyle w:val="Siln"/>
          <w:b w:val="0"/>
        </w:rPr>
        <w:t>Obce nevylučují či neznevýhodňují lidi s postižením z přístupu k obecnímu bydlení.</w:t>
      </w:r>
    </w:p>
    <w:p w14:paraId="275AFBAB" w14:textId="77777777" w:rsidR="00AD33E4" w:rsidRPr="00AD33E4" w:rsidRDefault="00AD33E4" w:rsidP="00AD33E4">
      <w:pPr>
        <w:pStyle w:val="Zkladntext"/>
        <w:numPr>
          <w:ilvl w:val="0"/>
          <w:numId w:val="40"/>
        </w:numPr>
        <w:rPr>
          <w:rStyle w:val="Siln"/>
          <w:b w:val="0"/>
        </w:rPr>
      </w:pPr>
      <w:r w:rsidRPr="00AD33E4">
        <w:rPr>
          <w:rStyle w:val="Siln"/>
          <w:b w:val="0"/>
        </w:rPr>
        <w:t>Právní úprava neumožňuje poskytovatelům sociálních služeb vylučovat či znevýhodňovat lidi s  postižením z přístupu k pobytovým sociálním službám.</w:t>
      </w:r>
    </w:p>
    <w:p w14:paraId="687594CD" w14:textId="77777777" w:rsidR="00AD33E4" w:rsidRPr="00AD33E4" w:rsidRDefault="00AD33E4" w:rsidP="00AD33E4">
      <w:pPr>
        <w:pStyle w:val="Zkladntext"/>
        <w:numPr>
          <w:ilvl w:val="0"/>
          <w:numId w:val="40"/>
        </w:numPr>
        <w:rPr>
          <w:rStyle w:val="Siln"/>
          <w:b w:val="0"/>
        </w:rPr>
      </w:pPr>
      <w:r w:rsidRPr="00AD33E4">
        <w:rPr>
          <w:rStyle w:val="Siln"/>
          <w:b w:val="0"/>
        </w:rPr>
        <w:t>Poskytovatelé sociálních služeb nevylučují či neznevýhodňovat lidi s postižením z přístupu k pobytovým sociálním službám</w:t>
      </w:r>
    </w:p>
    <w:p w14:paraId="01DA79D5" w14:textId="77777777" w:rsidR="00AD33E4" w:rsidRPr="00AD33E4" w:rsidRDefault="00AD33E4" w:rsidP="00AD33E4">
      <w:pPr>
        <w:pStyle w:val="Seznam"/>
        <w:numPr>
          <w:ilvl w:val="0"/>
          <w:numId w:val="0"/>
        </w:numPr>
        <w:rPr>
          <w:rStyle w:val="Siln"/>
          <w:b w:val="0"/>
          <w:bCs w:val="0"/>
          <w:color w:val="000000" w:themeColor="text1"/>
        </w:rPr>
      </w:pPr>
      <w:r w:rsidRPr="00AD33E4">
        <w:rPr>
          <w:rStyle w:val="Siln"/>
          <w:b w:val="0"/>
        </w:rPr>
        <w:t>Maximální skóre: 5</w:t>
      </w:r>
    </w:p>
    <w:p w14:paraId="35808F6F" w14:textId="77777777" w:rsidR="00AD33E4" w:rsidRPr="00AD33E4" w:rsidRDefault="00AD33E4" w:rsidP="00AD33E4">
      <w:pPr>
        <w:pStyle w:val="Seznam"/>
        <w:numPr>
          <w:ilvl w:val="0"/>
          <w:numId w:val="0"/>
        </w:numPr>
        <w:rPr>
          <w:rStyle w:val="Siln"/>
          <w:b w:val="0"/>
        </w:rPr>
      </w:pPr>
      <w:r w:rsidRPr="00AD33E4">
        <w:rPr>
          <w:rStyle w:val="Siln"/>
          <w:b w:val="0"/>
        </w:rPr>
        <w:t xml:space="preserve">Aktuální skóre: </w:t>
      </w:r>
      <w:r>
        <w:rPr>
          <w:rStyle w:val="Siln"/>
          <w:b w:val="0"/>
        </w:rPr>
        <w:t>X</w:t>
      </w:r>
    </w:p>
    <w:tbl>
      <w:tblPr>
        <w:tblStyle w:val="Mkatabulky"/>
        <w:tblW w:w="0" w:type="auto"/>
        <w:tblInd w:w="0" w:type="dxa"/>
        <w:tblLook w:val="04A0" w:firstRow="1" w:lastRow="0" w:firstColumn="1" w:lastColumn="0" w:noHBand="0" w:noVBand="1"/>
      </w:tblPr>
      <w:tblGrid>
        <w:gridCol w:w="8495"/>
      </w:tblGrid>
      <w:tr w:rsidR="00AD33E4" w:rsidRPr="00AD33E4" w14:paraId="09400DBF" w14:textId="77777777" w:rsidTr="002F741F">
        <w:tc>
          <w:tcPr>
            <w:tcW w:w="9062" w:type="dxa"/>
          </w:tcPr>
          <w:p w14:paraId="200B71DE" w14:textId="77777777" w:rsidR="00AD33E4" w:rsidRPr="00AD33E4" w:rsidRDefault="00AD33E4" w:rsidP="002F741F">
            <w:pPr>
              <w:pStyle w:val="Seznam"/>
              <w:numPr>
                <w:ilvl w:val="0"/>
                <w:numId w:val="0"/>
              </w:numPr>
              <w:rPr>
                <w:rStyle w:val="Siln"/>
                <w:b w:val="0"/>
                <w:sz w:val="22"/>
                <w:szCs w:val="22"/>
              </w:rPr>
            </w:pPr>
            <w:r w:rsidRPr="00AD33E4">
              <w:rPr>
                <w:rStyle w:val="Siln"/>
                <w:sz w:val="22"/>
                <w:szCs w:val="22"/>
              </w:rPr>
              <w:t>Komentář</w:t>
            </w:r>
          </w:p>
          <w:p w14:paraId="721C0246" w14:textId="77777777" w:rsidR="00AD33E4" w:rsidRPr="00AD33E4" w:rsidRDefault="00AD33E4" w:rsidP="002F741F">
            <w:pPr>
              <w:pStyle w:val="Seznam"/>
              <w:numPr>
                <w:ilvl w:val="0"/>
                <w:numId w:val="0"/>
              </w:numPr>
              <w:rPr>
                <w:rStyle w:val="pokyny"/>
                <w:color w:val="auto"/>
                <w:sz w:val="22"/>
                <w:szCs w:val="22"/>
              </w:rPr>
            </w:pPr>
            <w:r w:rsidRPr="00AD33E4">
              <w:rPr>
                <w:rStyle w:val="pokyny"/>
                <w:color w:val="auto"/>
                <w:sz w:val="22"/>
                <w:szCs w:val="22"/>
              </w:rPr>
              <w:t>Při tvorbě tohoto indikátoru jsme vycházeli z </w:t>
            </w:r>
            <w:hyperlink r:id="rId44" w:history="1">
              <w:r w:rsidRPr="00AD33E4">
                <w:rPr>
                  <w:rStyle w:val="Hypertextovodkaz"/>
                  <w:color w:val="auto"/>
                  <w:sz w:val="22"/>
                  <w:szCs w:val="22"/>
                </w:rPr>
                <w:t>Obecného komentáře Výboru CRPD k článku 19</w:t>
              </w:r>
            </w:hyperlink>
            <w:r w:rsidRPr="00AD33E4">
              <w:rPr>
                <w:rStyle w:val="pokyny"/>
                <w:color w:val="auto"/>
                <w:sz w:val="22"/>
                <w:szCs w:val="22"/>
              </w:rPr>
              <w:t xml:space="preserve"> a </w:t>
            </w:r>
            <w:hyperlink r:id="rId45" w:history="1">
              <w:r w:rsidRPr="00AD33E4">
                <w:rPr>
                  <w:rStyle w:val="Hypertextovodkaz"/>
                  <w:color w:val="auto"/>
                  <w:sz w:val="22"/>
                  <w:szCs w:val="22"/>
                </w:rPr>
                <w:t>Indikátorů zpracovaných kanceláří Vysokého komisaře pro lidská práva</w:t>
              </w:r>
            </w:hyperlink>
            <w:r w:rsidRPr="00AD33E4">
              <w:rPr>
                <w:rStyle w:val="pokyny"/>
                <w:color w:val="auto"/>
                <w:sz w:val="22"/>
                <w:szCs w:val="22"/>
              </w:rPr>
              <w:t xml:space="preserve"> a z výzkumů veřejného ochránce práv. Tyto výzkumy lze zopakovat v následujícím monitorovacím období. </w:t>
            </w:r>
          </w:p>
          <w:p w14:paraId="37903336" w14:textId="77777777" w:rsidR="00AD33E4" w:rsidRPr="00AD33E4" w:rsidRDefault="00AD33E4" w:rsidP="002F741F">
            <w:pPr>
              <w:pStyle w:val="Seznam"/>
              <w:numPr>
                <w:ilvl w:val="0"/>
                <w:numId w:val="0"/>
              </w:numPr>
              <w:rPr>
                <w:rStyle w:val="pokyny"/>
                <w:rFonts w:eastAsia="Times New Roman"/>
                <w:color w:val="auto"/>
                <w:sz w:val="22"/>
                <w:szCs w:val="22"/>
              </w:rPr>
            </w:pPr>
            <w:r w:rsidRPr="00AD33E4">
              <w:rPr>
                <w:rStyle w:val="pokyny"/>
                <w:rFonts w:eastAsia="Times New Roman"/>
                <w:color w:val="auto"/>
                <w:sz w:val="22"/>
                <w:szCs w:val="22"/>
              </w:rPr>
              <w:t>Každý aspekt tohoto indikátoru, tj. písm. a) – e), lze hodnotit jedním bodem.</w:t>
            </w:r>
          </w:p>
          <w:p w14:paraId="32097B28" w14:textId="77777777" w:rsidR="00AD33E4" w:rsidRPr="00AD33E4" w:rsidRDefault="00AD33E4" w:rsidP="002F741F">
            <w:pPr>
              <w:pStyle w:val="Seznam"/>
              <w:numPr>
                <w:ilvl w:val="0"/>
                <w:numId w:val="0"/>
              </w:numPr>
              <w:rPr>
                <w:rStyle w:val="pokyny"/>
                <w:rFonts w:eastAsia="Times New Roman"/>
                <w:b/>
                <w:color w:val="auto"/>
                <w:sz w:val="22"/>
                <w:szCs w:val="22"/>
              </w:rPr>
            </w:pPr>
            <w:r w:rsidRPr="00AD33E4">
              <w:rPr>
                <w:rStyle w:val="pokyny"/>
                <w:rFonts w:eastAsia="Times New Roman"/>
                <w:color w:val="auto"/>
                <w:sz w:val="22"/>
                <w:szCs w:val="22"/>
              </w:rPr>
              <w:t xml:space="preserve">Ad a) Komplexní úprava sociálního bydlení v současné době neexistuje. </w:t>
            </w:r>
          </w:p>
          <w:p w14:paraId="30C66D85" w14:textId="77777777" w:rsidR="00AD33E4" w:rsidRPr="00AD33E4" w:rsidRDefault="00AD33E4" w:rsidP="002F741F">
            <w:pPr>
              <w:pStyle w:val="Seznam"/>
              <w:numPr>
                <w:ilvl w:val="0"/>
                <w:numId w:val="0"/>
              </w:numPr>
              <w:rPr>
                <w:sz w:val="22"/>
                <w:szCs w:val="22"/>
              </w:rPr>
            </w:pPr>
            <w:r w:rsidRPr="00AD33E4">
              <w:rPr>
                <w:rStyle w:val="pokyny"/>
                <w:rFonts w:eastAsia="Times New Roman"/>
                <w:color w:val="auto"/>
                <w:sz w:val="22"/>
                <w:szCs w:val="22"/>
              </w:rPr>
              <w:t>Ad b) Ustanovení §</w:t>
            </w:r>
            <w:r w:rsidRPr="00AD33E4">
              <w:rPr>
                <w:sz w:val="22"/>
                <w:szCs w:val="22"/>
              </w:rPr>
              <w:t xml:space="preserve"> 2 odst. 3 antidiskriminačního zákona zakazuje diskriminaci v přístupu k bydlení z důvodu zdravotního postižení. Jak dovodil veřejný ochránce práv, toto ustanovení se týká také odepření přístupu k obecnímu bydlení z důvodu duševního onemocnění či omezení svéprávnosti.</w:t>
            </w:r>
            <w:r w:rsidRPr="00AD33E4">
              <w:rPr>
                <w:rStyle w:val="Znakapoznpodarou"/>
                <w:color w:val="auto"/>
                <w:sz w:val="22"/>
                <w:szCs w:val="22"/>
              </w:rPr>
              <w:footnoteReference w:id="28"/>
            </w:r>
          </w:p>
          <w:p w14:paraId="71A2452F" w14:textId="77777777" w:rsidR="00AD33E4" w:rsidRPr="00AD33E4" w:rsidRDefault="00AD33E4" w:rsidP="002F741F">
            <w:pPr>
              <w:pStyle w:val="Seznam"/>
              <w:numPr>
                <w:ilvl w:val="0"/>
                <w:numId w:val="0"/>
              </w:numPr>
              <w:rPr>
                <w:sz w:val="22"/>
                <w:szCs w:val="22"/>
              </w:rPr>
            </w:pPr>
            <w:r w:rsidRPr="00AD33E4">
              <w:rPr>
                <w:sz w:val="22"/>
                <w:szCs w:val="22"/>
              </w:rPr>
              <w:t>Ad c) Ačkoliv to právní úprava neumožňuje, v praxi některé obce vylučují či znevýhodňují žadatele s omezenou svéprávností či psychosociálním postižením. Dle výzkumu veřejného ochránce práv 18 % až 30 % z posuzovaných kritérií pro přístup k obecnému bydlení zcela vylučovalo žadatele s omezenou svéprávností,</w:t>
            </w:r>
            <w:r w:rsidRPr="00AD33E4">
              <w:rPr>
                <w:rStyle w:val="Znakapoznpodarou"/>
                <w:color w:val="auto"/>
                <w:sz w:val="22"/>
                <w:szCs w:val="22"/>
              </w:rPr>
              <w:footnoteReference w:id="29"/>
            </w:r>
            <w:r w:rsidRPr="00AD33E4">
              <w:rPr>
                <w:sz w:val="22"/>
                <w:szCs w:val="22"/>
              </w:rPr>
              <w:t xml:space="preserve"> dokonce jedna pětina bytů pro seniory či lidí </w:t>
            </w:r>
            <w:r w:rsidRPr="00AD33E4">
              <w:rPr>
                <w:sz w:val="22"/>
                <w:szCs w:val="22"/>
              </w:rPr>
              <w:lastRenderedPageBreak/>
              <w:t>s postižením vyžadovala plnou svéprávnost. Dále 19% domů s pečovatelskou službou vůbec nepřijímala žádostí od lidí s psychiatrickou diagnózou.</w:t>
            </w:r>
            <w:r w:rsidRPr="00AD33E4">
              <w:rPr>
                <w:rStyle w:val="Znakapoznpodarou"/>
                <w:color w:val="auto"/>
                <w:sz w:val="22"/>
                <w:szCs w:val="22"/>
              </w:rPr>
              <w:footnoteReference w:id="30"/>
            </w:r>
            <w:r w:rsidRPr="00AD33E4">
              <w:rPr>
                <w:sz w:val="22"/>
                <w:szCs w:val="22"/>
              </w:rPr>
              <w:t xml:space="preserve"> </w:t>
            </w:r>
            <w:r>
              <w:rPr>
                <w:sz w:val="22"/>
                <w:szCs w:val="22"/>
              </w:rPr>
              <w:t>Existují samozřejmě případy, kdy</w:t>
            </w:r>
            <w:r w:rsidRPr="00AD33E4">
              <w:rPr>
                <w:sz w:val="22"/>
                <w:szCs w:val="22"/>
              </w:rPr>
              <w:t xml:space="preserve"> jsou lidé s postižením zvýhodněni při přístupu k obecnímu bydlení.</w:t>
            </w:r>
          </w:p>
          <w:p w14:paraId="6055C12D" w14:textId="77777777" w:rsidR="00AD33E4" w:rsidRPr="00AD33E4" w:rsidRDefault="00AD33E4" w:rsidP="002F741F">
            <w:pPr>
              <w:pStyle w:val="Seznam"/>
              <w:numPr>
                <w:ilvl w:val="0"/>
                <w:numId w:val="0"/>
              </w:numPr>
              <w:rPr>
                <w:sz w:val="22"/>
                <w:szCs w:val="22"/>
              </w:rPr>
            </w:pPr>
            <w:r w:rsidRPr="00AD33E4">
              <w:rPr>
                <w:sz w:val="22"/>
                <w:szCs w:val="22"/>
              </w:rPr>
              <w:t xml:space="preserve">Ad d) Právní úprava umožňuje poskytovatelům sociálních služeb (kromě poskytovatelů služby domov se zvláštním režimem) odmítnout žadatele, kterého „chování by </w:t>
            </w:r>
            <w:r w:rsidRPr="00AD33E4">
              <w:rPr>
                <w:sz w:val="22"/>
                <w:szCs w:val="22"/>
                <w:u w:val="single"/>
              </w:rPr>
              <w:t>z důvodu duševní poruchy</w:t>
            </w:r>
            <w:r w:rsidRPr="00AD33E4">
              <w:rPr>
                <w:sz w:val="22"/>
                <w:szCs w:val="22"/>
              </w:rPr>
              <w:t xml:space="preserve"> závažným způsobem narušovalo kolektivní soužití.“</w:t>
            </w:r>
            <w:r w:rsidRPr="00AD33E4">
              <w:rPr>
                <w:rStyle w:val="Znakapoznpodarou"/>
                <w:color w:val="auto"/>
                <w:sz w:val="22"/>
                <w:szCs w:val="22"/>
              </w:rPr>
              <w:footnoteReference w:id="31"/>
            </w:r>
          </w:p>
          <w:p w14:paraId="4DF248D2" w14:textId="77777777" w:rsidR="00AD33E4" w:rsidRPr="00AD33E4" w:rsidRDefault="00AD33E4" w:rsidP="00AD33E4">
            <w:pPr>
              <w:pStyle w:val="Seznam"/>
              <w:numPr>
                <w:ilvl w:val="0"/>
                <w:numId w:val="0"/>
              </w:numPr>
              <w:rPr>
                <w:rStyle w:val="Siln"/>
                <w:b w:val="0"/>
                <w:bCs w:val="0"/>
                <w:sz w:val="22"/>
                <w:szCs w:val="22"/>
              </w:rPr>
            </w:pPr>
            <w:r w:rsidRPr="00AD33E4">
              <w:rPr>
                <w:sz w:val="22"/>
                <w:szCs w:val="22"/>
              </w:rPr>
              <w:t>Ad e) Jak vyplývá z výzkumů veřejného ochránce práv, zejména lidé s psychosociálním postižením jsou často bez dalšího vylučování z pobytových sociálních služeb.  Dle výzkumu veřejného ochránce práv z roku 2013 poskytovatelé služby domovů pro seniory až v 70 % případů vylučovali „osoby s problémovým chováním, osoby s duševní poruchou, která by závažným způsobem narušovala kolektivní soužití,“</w:t>
            </w:r>
            <w:r w:rsidRPr="00AD33E4">
              <w:rPr>
                <w:rStyle w:val="Znakapoznpodarou"/>
                <w:color w:val="auto"/>
                <w:sz w:val="22"/>
                <w:szCs w:val="22"/>
              </w:rPr>
              <w:footnoteReference w:id="32"/>
            </w:r>
            <w:r w:rsidRPr="00AD33E4">
              <w:rPr>
                <w:sz w:val="22"/>
                <w:szCs w:val="22"/>
              </w:rPr>
              <w:t xml:space="preserve"> dle jiného výzkumu z roku 2020 zase 12 % azylových domů zmiňovalo duševní postižení,  5 % mentální postižení a 6 % smyslové postižení jako překážku pro poskytování služby.</w:t>
            </w:r>
            <w:r w:rsidRPr="00AD33E4">
              <w:rPr>
                <w:rStyle w:val="Znakapoznpodarou"/>
                <w:color w:val="auto"/>
                <w:sz w:val="22"/>
                <w:szCs w:val="22"/>
              </w:rPr>
              <w:footnoteReference w:id="33"/>
            </w:r>
            <w:r>
              <w:rPr>
                <w:sz w:val="22"/>
                <w:szCs w:val="22"/>
              </w:rPr>
              <w:t xml:space="preserve"> </w:t>
            </w:r>
          </w:p>
        </w:tc>
      </w:tr>
    </w:tbl>
    <w:p w14:paraId="795C17B3" w14:textId="77777777" w:rsidR="00AD33E4" w:rsidRPr="00AD33E4" w:rsidRDefault="00AD33E4" w:rsidP="00DA7663">
      <w:pPr>
        <w:pStyle w:val="Seznam"/>
        <w:numPr>
          <w:ilvl w:val="0"/>
          <w:numId w:val="0"/>
        </w:numPr>
        <w:ind w:left="567"/>
        <w:rPr>
          <w:rStyle w:val="Siln"/>
          <w:b w:val="0"/>
          <w:bCs w:val="0"/>
          <w:sz w:val="22"/>
          <w:szCs w:val="22"/>
        </w:rPr>
      </w:pPr>
    </w:p>
    <w:p w14:paraId="5D061A86" w14:textId="77777777" w:rsidR="0038603F" w:rsidRDefault="007D4CD3" w:rsidP="007D4CD3">
      <w:pPr>
        <w:pStyle w:val="Nadpis1"/>
      </w:pPr>
      <w:bookmarkStart w:id="41" w:name="_Toc81417441"/>
      <w:bookmarkStart w:id="42" w:name="_Toc528165601"/>
      <w:bookmarkStart w:id="43" w:name="_Toc528165986"/>
      <w:bookmarkStart w:id="44" w:name="_Toc528166239"/>
      <w:r>
        <w:lastRenderedPageBreak/>
        <w:t>Čl. 27 Úmluvy (práce a zaměstnání)</w:t>
      </w:r>
      <w:bookmarkEnd w:id="41"/>
      <w:r>
        <w:t xml:space="preserve"> </w:t>
      </w:r>
      <w:bookmarkEnd w:id="9"/>
      <w:bookmarkEnd w:id="10"/>
      <w:bookmarkEnd w:id="11"/>
      <w:bookmarkEnd w:id="12"/>
      <w:bookmarkEnd w:id="13"/>
      <w:bookmarkEnd w:id="42"/>
      <w:bookmarkEnd w:id="43"/>
      <w:bookmarkEnd w:id="44"/>
    </w:p>
    <w:p w14:paraId="4E34611E" w14:textId="77777777" w:rsidR="00992426" w:rsidRDefault="00992426" w:rsidP="00992426">
      <w:pPr>
        <w:pStyle w:val="Nadpis2"/>
        <w:rPr>
          <w:rStyle w:val="Siln"/>
          <w:rFonts w:eastAsiaTheme="minorEastAsia"/>
          <w:b w:val="0"/>
          <w:bCs w:val="0"/>
        </w:rPr>
      </w:pPr>
      <w:bookmarkStart w:id="45" w:name="_Toc81417442"/>
      <w:r w:rsidRPr="00992426">
        <w:rPr>
          <w:rStyle w:val="Siln"/>
          <w:rFonts w:eastAsiaTheme="minorEastAsia"/>
          <w:b w:val="0"/>
          <w:bCs w:val="0"/>
        </w:rPr>
        <w:t>5 indikátorů pro</w:t>
      </w:r>
      <w:r w:rsidRPr="00992426">
        <w:rPr>
          <w:rStyle w:val="Siln"/>
          <w:b w:val="0"/>
          <w:bCs w:val="0"/>
        </w:rPr>
        <w:t xml:space="preserve"> sledování plnění</w:t>
      </w:r>
      <w:r w:rsidRPr="00992426">
        <w:rPr>
          <w:rStyle w:val="Siln"/>
          <w:rFonts w:eastAsiaTheme="minorEastAsia"/>
          <w:b w:val="0"/>
          <w:bCs w:val="0"/>
        </w:rPr>
        <w:t xml:space="preserve"> čl. 27 Úmluvy</w:t>
      </w:r>
      <w:bookmarkEnd w:id="45"/>
    </w:p>
    <w:p w14:paraId="4A7E9EF4" w14:textId="77777777" w:rsidR="00992426" w:rsidRPr="00992426" w:rsidRDefault="00992426" w:rsidP="00992426">
      <w:pPr>
        <w:pStyle w:val="Zkladntext"/>
        <w:rPr>
          <w:lang w:eastAsia="cs-CZ"/>
        </w:rPr>
      </w:pPr>
    </w:p>
    <w:p w14:paraId="76A4D56C" w14:textId="77777777" w:rsidR="00992426" w:rsidRPr="00992426" w:rsidRDefault="00992426" w:rsidP="00992426">
      <w:pPr>
        <w:pStyle w:val="Seznam"/>
        <w:rPr>
          <w:rStyle w:val="Siln"/>
          <w:b w:val="0"/>
          <w:bCs w:val="0"/>
        </w:rPr>
      </w:pPr>
      <w:r w:rsidRPr="00992426">
        <w:rPr>
          <w:rStyle w:val="Siln"/>
          <w:b w:val="0"/>
        </w:rPr>
        <w:t xml:space="preserve">Zaměstnanost lidí s postižením </w:t>
      </w:r>
      <w:bookmarkStart w:id="46" w:name="_Hlk53848842"/>
      <w:r w:rsidRPr="00992426">
        <w:rPr>
          <w:rStyle w:val="Siln"/>
          <w:b w:val="0"/>
        </w:rPr>
        <w:t xml:space="preserve">v porovnání s lidmi </w:t>
      </w:r>
      <w:bookmarkEnd w:id="46"/>
      <w:r w:rsidRPr="00992426">
        <w:rPr>
          <w:rStyle w:val="Siln"/>
          <w:b w:val="0"/>
        </w:rPr>
        <w:t>bez postižení (výsledkový indikátor)</w:t>
      </w:r>
    </w:p>
    <w:p w14:paraId="2C9C87D2" w14:textId="77777777" w:rsidR="00992426" w:rsidRPr="00992426" w:rsidRDefault="00992426" w:rsidP="00992426">
      <w:pPr>
        <w:pStyle w:val="Seznam"/>
        <w:rPr>
          <w:rStyle w:val="Siln"/>
          <w:b w:val="0"/>
          <w:bCs w:val="0"/>
        </w:rPr>
      </w:pPr>
      <w:r w:rsidRPr="00992426">
        <w:rPr>
          <w:rStyle w:val="Siln"/>
          <w:b w:val="0"/>
        </w:rPr>
        <w:t>Lidé s postižením na volném a chráněném trhu práce (výsledkový)</w:t>
      </w:r>
    </w:p>
    <w:p w14:paraId="0C13593C" w14:textId="77777777" w:rsidR="00992426" w:rsidRPr="00992426" w:rsidRDefault="00992426" w:rsidP="00992426">
      <w:pPr>
        <w:pStyle w:val="Seznam"/>
        <w:rPr>
          <w:rStyle w:val="Siln"/>
          <w:b w:val="0"/>
          <w:bCs w:val="0"/>
        </w:rPr>
      </w:pPr>
      <w:r w:rsidRPr="00992426">
        <w:rPr>
          <w:rStyle w:val="Siln"/>
          <w:b w:val="0"/>
        </w:rPr>
        <w:t>Přístupnost zaměstnavatelů vůči lidem s postižením (procesní)</w:t>
      </w:r>
    </w:p>
    <w:p w14:paraId="5D531362" w14:textId="77777777" w:rsidR="00992426" w:rsidRPr="00992426" w:rsidRDefault="00992426" w:rsidP="00992426">
      <w:pPr>
        <w:pStyle w:val="Seznam"/>
        <w:rPr>
          <w:rStyle w:val="Siln"/>
          <w:b w:val="0"/>
          <w:bCs w:val="0"/>
        </w:rPr>
      </w:pPr>
      <w:r w:rsidRPr="00992426">
        <w:rPr>
          <w:rStyle w:val="Siln"/>
          <w:b w:val="0"/>
        </w:rPr>
        <w:t>Diskriminace v práci z důvodu postižení (výsledkový)</w:t>
      </w:r>
    </w:p>
    <w:p w14:paraId="571B8678" w14:textId="77777777" w:rsidR="00992426" w:rsidRPr="00992426" w:rsidRDefault="00992426" w:rsidP="00992426">
      <w:pPr>
        <w:pStyle w:val="Seznam"/>
        <w:rPr>
          <w:rStyle w:val="Siln"/>
          <w:b w:val="0"/>
        </w:rPr>
      </w:pPr>
      <w:r w:rsidRPr="00992426">
        <w:rPr>
          <w:rStyle w:val="Siln"/>
          <w:b w:val="0"/>
        </w:rPr>
        <w:t>Systém státní podpory zaměstnávání lidí s postižením (výsledkový)</w:t>
      </w:r>
    </w:p>
    <w:p w14:paraId="56028AB3" w14:textId="77777777" w:rsidR="00992426" w:rsidRPr="008060DD" w:rsidRDefault="00992426" w:rsidP="00992426">
      <w:pPr>
        <w:rPr>
          <w:rStyle w:val="Siln"/>
          <w:b w:val="0"/>
        </w:rPr>
      </w:pPr>
    </w:p>
    <w:p w14:paraId="3A8FDE74" w14:textId="77777777" w:rsidR="00992426" w:rsidRPr="008060DD" w:rsidRDefault="00992426" w:rsidP="00992426">
      <w:pPr>
        <w:rPr>
          <w:rStyle w:val="Siln"/>
          <w:b w:val="0"/>
        </w:rPr>
      </w:pPr>
    </w:p>
    <w:p w14:paraId="3C55D16C" w14:textId="77777777" w:rsidR="00992426" w:rsidRPr="00992426" w:rsidRDefault="00992426" w:rsidP="00992426">
      <w:pPr>
        <w:pStyle w:val="Zkladntext"/>
        <w:rPr>
          <w:rStyle w:val="Siln"/>
          <w:b w:val="0"/>
        </w:rPr>
      </w:pPr>
      <w:r w:rsidRPr="00992426">
        <w:rPr>
          <w:rStyle w:val="Siln"/>
          <w:b w:val="0"/>
        </w:rPr>
        <w:t>Každý indikátor má základní a rozšířenou variantu. Základní varianta je pro účely prezentace do médií (laickou veřejnost), na webové stránky a na sociální sítě. Rozšířená varianta je určena pro mezinárodní a státní organizace (ministerstva a úřady), soukromý a neziskový sektor. Naprostá většina indikátorů je výsledková (outcome indicators).</w:t>
      </w:r>
    </w:p>
    <w:p w14:paraId="434FE870" w14:textId="77777777" w:rsidR="00992426" w:rsidRPr="008060DD" w:rsidRDefault="00992426" w:rsidP="00992426">
      <w:pPr>
        <w:rPr>
          <w:rStyle w:val="Siln"/>
          <w:b w:val="0"/>
        </w:rPr>
      </w:pPr>
    </w:p>
    <w:p w14:paraId="6B94E01C" w14:textId="77777777" w:rsidR="00992426" w:rsidRPr="008060DD" w:rsidRDefault="00992426" w:rsidP="00992426">
      <w:pPr>
        <w:rPr>
          <w:rStyle w:val="Siln"/>
          <w:b w:val="0"/>
        </w:rPr>
      </w:pPr>
    </w:p>
    <w:p w14:paraId="496680B1" w14:textId="77777777" w:rsidR="00992426" w:rsidRPr="00992426" w:rsidRDefault="00992426" w:rsidP="00992426">
      <w:pPr>
        <w:rPr>
          <w:rStyle w:val="Siln"/>
          <w:b w:val="0"/>
        </w:rPr>
      </w:pPr>
      <w:r w:rsidRPr="00992426">
        <w:rPr>
          <w:rStyle w:val="Siln"/>
          <w:b w:val="0"/>
        </w:rPr>
        <w:t>Sledování indikátorů je možné na základě:</w:t>
      </w:r>
    </w:p>
    <w:p w14:paraId="7C63DD24" w14:textId="77777777" w:rsidR="00992426" w:rsidRPr="00992426" w:rsidRDefault="00992426" w:rsidP="00992426">
      <w:pPr>
        <w:pStyle w:val="Seznam"/>
        <w:rPr>
          <w:rStyle w:val="Siln"/>
          <w:b w:val="0"/>
          <w:bCs w:val="0"/>
        </w:rPr>
      </w:pPr>
      <w:r w:rsidRPr="00992426">
        <w:rPr>
          <w:rStyle w:val="Siln"/>
          <w:b w:val="0"/>
        </w:rPr>
        <w:t>opakujícího se výběrového šetření ČSÚ – nutno zjistit záměr opakování šetření v návaznosti na Labour Force Survey (LFS), jež podléhá Nařízení Rady (ES) č. 577/98</w:t>
      </w:r>
    </w:p>
    <w:p w14:paraId="1E279BED" w14:textId="77777777" w:rsidR="00992426" w:rsidRPr="00992426" w:rsidRDefault="00992426" w:rsidP="00992426">
      <w:pPr>
        <w:pStyle w:val="Seznam"/>
        <w:rPr>
          <w:rStyle w:val="Siln"/>
          <w:b w:val="0"/>
          <w:bCs w:val="0"/>
        </w:rPr>
      </w:pPr>
      <w:r w:rsidRPr="00992426">
        <w:rPr>
          <w:rStyle w:val="Siln"/>
          <w:b w:val="0"/>
        </w:rPr>
        <w:t>opakujícího se šetření Eurobarometr Evropské komise (3 – 4 roky) na téma „Diskriminace“</w:t>
      </w:r>
    </w:p>
    <w:p w14:paraId="709591A9" w14:textId="77777777" w:rsidR="00992426" w:rsidRPr="00992426" w:rsidRDefault="00992426" w:rsidP="00992426">
      <w:pPr>
        <w:pStyle w:val="Seznam"/>
        <w:rPr>
          <w:rStyle w:val="Siln"/>
          <w:b w:val="0"/>
          <w:bCs w:val="0"/>
        </w:rPr>
      </w:pPr>
      <w:r w:rsidRPr="00992426">
        <w:rPr>
          <w:rStyle w:val="Siln"/>
          <w:b w:val="0"/>
        </w:rPr>
        <w:t xml:space="preserve">ročních Analýz vývoje zaměstnanosti a nezaměstnanosti vypracovávaných MPSV </w:t>
      </w:r>
    </w:p>
    <w:p w14:paraId="3501F3EF" w14:textId="77777777" w:rsidR="00992426" w:rsidRPr="00992426" w:rsidRDefault="00992426" w:rsidP="00992426">
      <w:pPr>
        <w:pStyle w:val="Seznam"/>
        <w:rPr>
          <w:rStyle w:val="Siln"/>
          <w:b w:val="0"/>
          <w:bCs w:val="0"/>
        </w:rPr>
      </w:pPr>
      <w:r w:rsidRPr="00992426">
        <w:rPr>
          <w:rStyle w:val="Siln"/>
          <w:b w:val="0"/>
        </w:rPr>
        <w:t>dat zpracovávaných GŘ ÚP a ČSSZ</w:t>
      </w:r>
    </w:p>
    <w:p w14:paraId="26F7F543" w14:textId="77777777" w:rsidR="00992426" w:rsidRPr="008060DD" w:rsidRDefault="00992426" w:rsidP="00992426">
      <w:pPr>
        <w:pStyle w:val="Seznam"/>
        <w:numPr>
          <w:ilvl w:val="0"/>
          <w:numId w:val="0"/>
        </w:numPr>
        <w:rPr>
          <w:rStyle w:val="Siln"/>
          <w:b w:val="0"/>
          <w:bCs w:val="0"/>
        </w:rPr>
      </w:pPr>
    </w:p>
    <w:p w14:paraId="1188D23A" w14:textId="77777777" w:rsidR="00992426" w:rsidRPr="008060DD" w:rsidRDefault="00992426" w:rsidP="00992426">
      <w:pPr>
        <w:pStyle w:val="Seznam"/>
        <w:numPr>
          <w:ilvl w:val="0"/>
          <w:numId w:val="0"/>
        </w:numPr>
        <w:rPr>
          <w:rStyle w:val="Siln"/>
          <w:b w:val="0"/>
          <w:bCs w:val="0"/>
        </w:rPr>
      </w:pPr>
    </w:p>
    <w:p w14:paraId="48F5A81A" w14:textId="77777777" w:rsidR="00992426" w:rsidRPr="00992426" w:rsidRDefault="00992426" w:rsidP="00992426">
      <w:pPr>
        <w:pStyle w:val="Seznam"/>
        <w:numPr>
          <w:ilvl w:val="0"/>
          <w:numId w:val="0"/>
        </w:numPr>
        <w:rPr>
          <w:rStyle w:val="Siln"/>
          <w:b w:val="0"/>
          <w:bCs w:val="0"/>
        </w:rPr>
      </w:pPr>
      <w:r w:rsidRPr="00992426">
        <w:rPr>
          <w:rStyle w:val="Siln"/>
          <w:b w:val="0"/>
        </w:rPr>
        <w:t xml:space="preserve">Problematika pracovní rehabilitace bude ošetřena </w:t>
      </w:r>
      <w:r>
        <w:rPr>
          <w:rStyle w:val="Siln"/>
          <w:b w:val="0"/>
        </w:rPr>
        <w:t xml:space="preserve">indikátory k </w:t>
      </w:r>
      <w:r w:rsidRPr="00992426">
        <w:rPr>
          <w:rStyle w:val="Siln"/>
          <w:b w:val="0"/>
        </w:rPr>
        <w:t xml:space="preserve">čl. 26 Úmluvy. </w:t>
      </w:r>
      <w:r w:rsidRPr="00992426">
        <w:rPr>
          <w:rStyle w:val="Siln"/>
          <w:b w:val="0"/>
        </w:rPr>
        <w:br w:type="page"/>
      </w:r>
    </w:p>
    <w:p w14:paraId="133ECDA8" w14:textId="77777777" w:rsidR="00992426" w:rsidRPr="00992426" w:rsidRDefault="00992426" w:rsidP="00992426">
      <w:pPr>
        <w:pStyle w:val="Nadpis3"/>
        <w:rPr>
          <w:rStyle w:val="Siln"/>
          <w:rFonts w:eastAsiaTheme="minorEastAsia"/>
          <w:b w:val="0"/>
          <w:bCs w:val="0"/>
        </w:rPr>
      </w:pPr>
      <w:bookmarkStart w:id="47" w:name="_Toc81417443"/>
      <w:r w:rsidRPr="00992426">
        <w:rPr>
          <w:rStyle w:val="Siln"/>
          <w:rFonts w:eastAsiaTheme="minorEastAsia"/>
          <w:b w:val="0"/>
          <w:bCs w:val="0"/>
        </w:rPr>
        <w:lastRenderedPageBreak/>
        <w:t>Zaměstnanost lidí s postižením v porovnání s lidmi bez postižení</w:t>
      </w:r>
      <w:bookmarkEnd w:id="47"/>
    </w:p>
    <w:p w14:paraId="6B646232" w14:textId="77777777" w:rsidR="00992426" w:rsidRPr="008060DD" w:rsidRDefault="00992426" w:rsidP="00992426">
      <w:pPr>
        <w:rPr>
          <w:rStyle w:val="pokyny"/>
          <w:color w:val="000000" w:themeColor="text1"/>
        </w:rPr>
      </w:pPr>
    </w:p>
    <w:p w14:paraId="051812E7" w14:textId="77777777" w:rsidR="00992426" w:rsidRPr="008060DD" w:rsidRDefault="00992426" w:rsidP="00992426">
      <w:pPr>
        <w:rPr>
          <w:rStyle w:val="Siln"/>
        </w:rPr>
      </w:pPr>
      <w:r w:rsidRPr="008060DD">
        <w:rPr>
          <w:rStyle w:val="Siln"/>
        </w:rPr>
        <w:t>Základní varianta indikátoru</w:t>
      </w:r>
    </w:p>
    <w:p w14:paraId="0799C96A" w14:textId="77777777" w:rsidR="00992426" w:rsidRPr="008060DD" w:rsidRDefault="00992426" w:rsidP="00992426">
      <w:pPr>
        <w:rPr>
          <w:rStyle w:val="pokyny"/>
          <w:color w:val="000000" w:themeColor="text1"/>
        </w:rPr>
      </w:pPr>
    </w:p>
    <w:p w14:paraId="31D0A267" w14:textId="77777777" w:rsidR="00992426" w:rsidRPr="008060DD" w:rsidRDefault="00992426" w:rsidP="00992426">
      <w:pPr>
        <w:rPr>
          <w:rStyle w:val="Siln"/>
        </w:rPr>
      </w:pPr>
      <w:bookmarkStart w:id="48" w:name="_Hlk50991138"/>
      <w:r w:rsidRPr="008060DD">
        <w:rPr>
          <w:rStyle w:val="pokyny"/>
          <w:color w:val="000000" w:themeColor="text1"/>
        </w:rPr>
        <w:t xml:space="preserve">Zaměstnanost lidí </w:t>
      </w:r>
      <w:r w:rsidRPr="008060DD">
        <w:rPr>
          <w:rStyle w:val="pokyny"/>
          <w:color w:val="000000" w:themeColor="text1"/>
          <w:u w:val="single"/>
        </w:rPr>
        <w:t>bez postižení</w:t>
      </w:r>
      <w:r w:rsidRPr="008060DD">
        <w:rPr>
          <w:rStyle w:val="pokyny"/>
          <w:color w:val="000000" w:themeColor="text1"/>
        </w:rPr>
        <w:t xml:space="preserve"> v produktivním věku (20 – 64 let)</w:t>
      </w:r>
    </w:p>
    <w:p w14:paraId="2BF31A6B" w14:textId="77777777" w:rsidR="00992426" w:rsidRPr="008060DD" w:rsidRDefault="00992426" w:rsidP="00992426">
      <w:pPr>
        <w:rPr>
          <w:rStyle w:val="pokyny"/>
          <w:color w:val="000000" w:themeColor="text1"/>
        </w:rPr>
      </w:pPr>
    </w:p>
    <w:p w14:paraId="28493BE9" w14:textId="77777777" w:rsidR="00992426" w:rsidRPr="008060DD" w:rsidRDefault="00992426" w:rsidP="00992426">
      <w:pPr>
        <w:rPr>
          <w:rStyle w:val="pokyny"/>
          <w:color w:val="000000" w:themeColor="text1"/>
        </w:rPr>
      </w:pPr>
      <w:r w:rsidRPr="008060DD">
        <w:rPr>
          <w:rStyle w:val="pokyny"/>
          <w:color w:val="000000" w:themeColor="text1"/>
        </w:rPr>
        <w:t>79 %</w:t>
      </w:r>
    </w:p>
    <w:p w14:paraId="1C8C2699" w14:textId="77777777" w:rsidR="00992426" w:rsidRPr="008060DD" w:rsidRDefault="00992426" w:rsidP="00992426">
      <w:pPr>
        <w:rPr>
          <w:rStyle w:val="pokyny"/>
          <w:color w:val="000000" w:themeColor="text1"/>
        </w:rPr>
      </w:pPr>
    </w:p>
    <w:p w14:paraId="47B183F6" w14:textId="77777777" w:rsidR="00992426" w:rsidRPr="008060DD" w:rsidRDefault="00992426" w:rsidP="00992426">
      <w:pPr>
        <w:rPr>
          <w:rStyle w:val="pokyny"/>
          <w:color w:val="000000" w:themeColor="text1"/>
        </w:rPr>
      </w:pPr>
      <w:r w:rsidRPr="008060DD">
        <w:rPr>
          <w:rStyle w:val="pokyny"/>
          <w:color w:val="000000" w:themeColor="text1"/>
        </w:rPr>
        <w:t xml:space="preserve">Zaměstnanost lidí </w:t>
      </w:r>
      <w:r w:rsidRPr="008060DD">
        <w:rPr>
          <w:rStyle w:val="pokyny"/>
          <w:color w:val="000000" w:themeColor="text1"/>
          <w:u w:val="single"/>
        </w:rPr>
        <w:t>s postižením</w:t>
      </w:r>
      <w:r w:rsidRPr="008060DD">
        <w:rPr>
          <w:rStyle w:val="pokyny"/>
          <w:color w:val="000000" w:themeColor="text1"/>
        </w:rPr>
        <w:t xml:space="preserve"> v produktivním věku (20 – 64 let)</w:t>
      </w:r>
    </w:p>
    <w:p w14:paraId="0020600B" w14:textId="77777777" w:rsidR="00992426" w:rsidRPr="008060DD" w:rsidRDefault="00992426" w:rsidP="00992426">
      <w:pPr>
        <w:rPr>
          <w:rStyle w:val="pokyny"/>
          <w:color w:val="000000" w:themeColor="text1"/>
        </w:rPr>
      </w:pPr>
    </w:p>
    <w:p w14:paraId="75113A25" w14:textId="77777777" w:rsidR="00992426" w:rsidRPr="008060DD" w:rsidRDefault="00992426" w:rsidP="00992426">
      <w:pPr>
        <w:rPr>
          <w:rStyle w:val="pokyny"/>
          <w:color w:val="000000" w:themeColor="text1"/>
        </w:rPr>
      </w:pPr>
      <w:r w:rsidRPr="008060DD">
        <w:rPr>
          <w:rStyle w:val="pokyny"/>
          <w:color w:val="000000" w:themeColor="text1"/>
        </w:rPr>
        <w:t>40 %</w:t>
      </w:r>
    </w:p>
    <w:p w14:paraId="30F08778" w14:textId="77777777" w:rsidR="00992426" w:rsidRPr="008060DD" w:rsidRDefault="00992426" w:rsidP="00992426">
      <w:pPr>
        <w:rPr>
          <w:rStyle w:val="pokyny"/>
          <w:color w:val="000000" w:themeColor="text1"/>
        </w:rPr>
      </w:pPr>
    </w:p>
    <w:bookmarkEnd w:id="48"/>
    <w:p w14:paraId="1689C95C" w14:textId="77777777" w:rsidR="00992426" w:rsidRPr="008060DD" w:rsidRDefault="00992426" w:rsidP="00992426">
      <w:pPr>
        <w:rPr>
          <w:rStyle w:val="Siln"/>
        </w:rPr>
      </w:pPr>
      <w:r w:rsidRPr="008060DD">
        <w:rPr>
          <w:rStyle w:val="Siln"/>
        </w:rPr>
        <w:t>Progres v implementaci čl. 27 Úmluvy</w:t>
      </w:r>
    </w:p>
    <w:p w14:paraId="3EFE7BD4" w14:textId="77777777" w:rsidR="00992426" w:rsidRPr="008060DD" w:rsidRDefault="00992426" w:rsidP="00992426">
      <w:pPr>
        <w:pStyle w:val="Seznam"/>
        <w:numPr>
          <w:ilvl w:val="0"/>
          <w:numId w:val="0"/>
        </w:numPr>
        <w:rPr>
          <w:rStyle w:val="pokyny"/>
          <w:color w:val="000000" w:themeColor="text1"/>
        </w:rPr>
      </w:pPr>
      <w:r w:rsidRPr="008060DD">
        <w:rPr>
          <w:rStyle w:val="pokyny"/>
          <w:color w:val="000000" w:themeColor="text1"/>
        </w:rPr>
        <w:t>Podíl lidí s postižením, kteří jsou v produktivním věku zaměstnáni, se blíží podílu zaměstnanosti lidí bez postižení.</w:t>
      </w:r>
    </w:p>
    <w:p w14:paraId="43E150B4" w14:textId="77777777" w:rsidR="00992426" w:rsidRPr="008060DD" w:rsidRDefault="00992426" w:rsidP="00992426">
      <w:pPr>
        <w:pStyle w:val="Seznam"/>
        <w:numPr>
          <w:ilvl w:val="0"/>
          <w:numId w:val="0"/>
        </w:numPr>
        <w:rPr>
          <w:rStyle w:val="Siln"/>
        </w:rPr>
      </w:pPr>
    </w:p>
    <w:p w14:paraId="35E1D751" w14:textId="77777777" w:rsidR="00992426" w:rsidRPr="008060DD" w:rsidRDefault="00992426" w:rsidP="00992426">
      <w:pPr>
        <w:pStyle w:val="Seznam"/>
        <w:numPr>
          <w:ilvl w:val="0"/>
          <w:numId w:val="0"/>
        </w:numPr>
        <w:rPr>
          <w:rStyle w:val="Siln"/>
        </w:rPr>
      </w:pPr>
      <w:r w:rsidRPr="008060DD">
        <w:rPr>
          <w:rStyle w:val="Siln"/>
        </w:rPr>
        <w:t>Rozšířená varianta</w:t>
      </w:r>
      <w:r w:rsidRPr="008060DD">
        <w:t xml:space="preserve"> </w:t>
      </w:r>
      <w:r w:rsidRPr="008060DD">
        <w:rPr>
          <w:rStyle w:val="Siln"/>
        </w:rPr>
        <w:t>indikátoru</w:t>
      </w:r>
    </w:p>
    <w:p w14:paraId="340E14AB" w14:textId="77777777" w:rsidR="00992426" w:rsidRPr="008060DD" w:rsidRDefault="00992426" w:rsidP="00992426">
      <w:pPr>
        <w:rPr>
          <w:rStyle w:val="Siln"/>
        </w:rPr>
      </w:pPr>
      <w:r w:rsidRPr="008060DD">
        <w:rPr>
          <w:rStyle w:val="pokyny"/>
          <w:color w:val="000000" w:themeColor="text1"/>
        </w:rPr>
        <w:t xml:space="preserve">Zaměstnanost žen </w:t>
      </w:r>
      <w:r w:rsidRPr="008060DD">
        <w:rPr>
          <w:rStyle w:val="pokyny"/>
          <w:color w:val="000000" w:themeColor="text1"/>
          <w:u w:val="single"/>
        </w:rPr>
        <w:t>bez postižení</w:t>
      </w:r>
      <w:r w:rsidRPr="008060DD">
        <w:rPr>
          <w:rStyle w:val="pokyny"/>
          <w:color w:val="000000" w:themeColor="text1"/>
        </w:rPr>
        <w:t xml:space="preserve"> v produktivním věku (20 – 64 let)</w:t>
      </w:r>
    </w:p>
    <w:p w14:paraId="1B3BC096" w14:textId="77777777" w:rsidR="00992426" w:rsidRPr="008060DD" w:rsidRDefault="00992426" w:rsidP="00992426">
      <w:pPr>
        <w:rPr>
          <w:rStyle w:val="pokyny"/>
          <w:color w:val="000000" w:themeColor="text1"/>
        </w:rPr>
      </w:pPr>
    </w:p>
    <w:p w14:paraId="5E57F383" w14:textId="77777777" w:rsidR="00992426" w:rsidRPr="008060DD" w:rsidRDefault="00992426" w:rsidP="00992426">
      <w:pPr>
        <w:rPr>
          <w:rStyle w:val="pokyny"/>
          <w:color w:val="000000" w:themeColor="text1"/>
        </w:rPr>
      </w:pPr>
      <w:r w:rsidRPr="008060DD">
        <w:rPr>
          <w:rStyle w:val="pokyny"/>
          <w:color w:val="000000" w:themeColor="text1"/>
        </w:rPr>
        <w:t>XX %</w:t>
      </w:r>
    </w:p>
    <w:p w14:paraId="6F25CB31" w14:textId="77777777" w:rsidR="00992426" w:rsidRPr="008060DD" w:rsidRDefault="00992426" w:rsidP="00992426">
      <w:pPr>
        <w:rPr>
          <w:rStyle w:val="pokyny"/>
          <w:color w:val="000000" w:themeColor="text1"/>
        </w:rPr>
      </w:pPr>
    </w:p>
    <w:p w14:paraId="17F11881" w14:textId="77777777" w:rsidR="00992426" w:rsidRPr="008060DD" w:rsidRDefault="00992426" w:rsidP="00992426">
      <w:pPr>
        <w:rPr>
          <w:rStyle w:val="pokyny"/>
          <w:color w:val="000000" w:themeColor="text1"/>
        </w:rPr>
      </w:pPr>
      <w:r w:rsidRPr="008060DD">
        <w:rPr>
          <w:rStyle w:val="pokyny"/>
          <w:color w:val="000000" w:themeColor="text1"/>
        </w:rPr>
        <w:t xml:space="preserve">Zaměstnanost žen </w:t>
      </w:r>
      <w:r w:rsidRPr="008060DD">
        <w:rPr>
          <w:rStyle w:val="pokyny"/>
          <w:color w:val="000000" w:themeColor="text1"/>
          <w:u w:val="single"/>
        </w:rPr>
        <w:t>s postižením</w:t>
      </w:r>
      <w:r w:rsidRPr="008060DD">
        <w:rPr>
          <w:rStyle w:val="pokyny"/>
          <w:color w:val="000000" w:themeColor="text1"/>
        </w:rPr>
        <w:t xml:space="preserve"> v produktivním věku (20 – 64 let)</w:t>
      </w:r>
    </w:p>
    <w:p w14:paraId="1745D087" w14:textId="77777777" w:rsidR="00992426" w:rsidRPr="008060DD" w:rsidRDefault="00992426" w:rsidP="00992426">
      <w:pPr>
        <w:rPr>
          <w:rStyle w:val="pokyny"/>
          <w:color w:val="000000" w:themeColor="text1"/>
        </w:rPr>
      </w:pPr>
    </w:p>
    <w:p w14:paraId="6C5D7F57" w14:textId="77777777" w:rsidR="00992426" w:rsidRPr="008060DD" w:rsidRDefault="00992426" w:rsidP="00992426">
      <w:pPr>
        <w:rPr>
          <w:rStyle w:val="Siln"/>
          <w:b w:val="0"/>
          <w:bCs w:val="0"/>
          <w:color w:val="000000" w:themeColor="text1"/>
        </w:rPr>
      </w:pPr>
      <w:r w:rsidRPr="008060DD">
        <w:rPr>
          <w:rStyle w:val="pokyny"/>
          <w:color w:val="000000" w:themeColor="text1"/>
        </w:rPr>
        <w:t>XX %</w:t>
      </w:r>
    </w:p>
    <w:p w14:paraId="59EB2490" w14:textId="77777777" w:rsidR="00992426" w:rsidRPr="008060DD" w:rsidRDefault="00992426" w:rsidP="00992426">
      <w:pPr>
        <w:pStyle w:val="Seznam"/>
        <w:numPr>
          <w:ilvl w:val="0"/>
          <w:numId w:val="0"/>
        </w:numPr>
        <w:rPr>
          <w:rStyle w:val="Siln"/>
        </w:rPr>
      </w:pPr>
      <w:r w:rsidRPr="008060DD">
        <w:rPr>
          <w:rStyle w:val="Siln"/>
        </w:rPr>
        <w:t>Progres v implementaci čl. 27 Úmluvy a čl. 6 Úmluvy</w:t>
      </w:r>
    </w:p>
    <w:p w14:paraId="2CE6A12C" w14:textId="77777777" w:rsidR="00992426" w:rsidRPr="008060DD" w:rsidRDefault="00992426" w:rsidP="00992426">
      <w:pPr>
        <w:pStyle w:val="Seznam"/>
        <w:numPr>
          <w:ilvl w:val="0"/>
          <w:numId w:val="0"/>
        </w:numPr>
        <w:rPr>
          <w:rStyle w:val="pokyny"/>
          <w:color w:val="000000" w:themeColor="text1"/>
        </w:rPr>
      </w:pPr>
      <w:r w:rsidRPr="008060DD">
        <w:rPr>
          <w:rStyle w:val="pokyny"/>
          <w:color w:val="000000" w:themeColor="text1"/>
        </w:rPr>
        <w:t>Podíl žen s postižením, které jsou v produktivním věku zaměstnány, se blíží podílu zaměstnanosti žen bez postižení.</w:t>
      </w:r>
    </w:p>
    <w:p w14:paraId="26C1EE4D"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Komentář</w:t>
      </w:r>
    </w:p>
    <w:p w14:paraId="78DFC73A"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 xml:space="preserve">Data jsou z výběrového šetření ČSÚ, 2018. Je potřeba zjistit, zda ČSÚ bude výběrové šetření opakovat a pokud ano, v jaké periodicitě. </w:t>
      </w:r>
      <w:r>
        <w:rPr>
          <w:rStyle w:val="pokyny"/>
          <w:color w:val="000000" w:themeColor="text1"/>
        </w:rPr>
        <w:t>R</w:t>
      </w:r>
      <w:r w:rsidRPr="008060DD">
        <w:rPr>
          <w:rStyle w:val="pokyny"/>
          <w:color w:val="000000" w:themeColor="text1"/>
        </w:rPr>
        <w:t>espektujeme vymezení postižení tak, jak ho definuje ČSÚ na str. 7 zprávy (kombinace subjektivního dlouhodobého omezení a objektivního – pobírání jedné z dávek určené pro kompenzaci znevýhodnění).</w:t>
      </w:r>
    </w:p>
    <w:p w14:paraId="3BEAF24F"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Dále je třeba od ČSÚ zjistit dělení podle pohlaví ve vztahu k produktivnímu věku (lidé bez postižení, osoby s postižením). Zpráva ČSÚ toto podrobnější</w:t>
      </w:r>
      <w:r w:rsidRPr="008060DD">
        <w:t xml:space="preserve"> </w:t>
      </w:r>
      <w:r w:rsidRPr="008060DD">
        <w:rPr>
          <w:rStyle w:val="pokyny"/>
          <w:color w:val="000000" w:themeColor="text1"/>
        </w:rPr>
        <w:t>dělení dl</w:t>
      </w:r>
      <w:r>
        <w:rPr>
          <w:rStyle w:val="pokyny"/>
          <w:color w:val="000000" w:themeColor="text1"/>
        </w:rPr>
        <w:t>e dosavadních</w:t>
      </w:r>
      <w:r w:rsidRPr="008060DD">
        <w:rPr>
          <w:rStyle w:val="pokyny"/>
          <w:color w:val="000000" w:themeColor="text1"/>
        </w:rPr>
        <w:t xml:space="preserve"> zjištění neobsahuje (viz tabulka 1.5, str. 37 zprávy).   </w:t>
      </w:r>
    </w:p>
    <w:p w14:paraId="3F5E8C74"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 xml:space="preserve">Dále je třeba zjistit, zda </w:t>
      </w:r>
      <w:r>
        <w:rPr>
          <w:rStyle w:val="pokyny"/>
          <w:color w:val="000000" w:themeColor="text1"/>
        </w:rPr>
        <w:t>MPSV/ÚP ČR/ČSSZ nedisponují</w:t>
      </w:r>
      <w:r w:rsidRPr="008060DD">
        <w:rPr>
          <w:rStyle w:val="pokyny"/>
          <w:color w:val="000000" w:themeColor="text1"/>
        </w:rPr>
        <w:t xml:space="preserve"> jinými daty.</w:t>
      </w:r>
    </w:p>
    <w:p w14:paraId="293F0A1F" w14:textId="77777777" w:rsidR="00992426" w:rsidRPr="008060DD" w:rsidRDefault="00992426" w:rsidP="00992426">
      <w:pPr>
        <w:rPr>
          <w:rStyle w:val="pokyny"/>
          <w:color w:val="000000" w:themeColor="text1"/>
        </w:rPr>
      </w:pPr>
      <w:r w:rsidRPr="008060DD">
        <w:rPr>
          <w:rStyle w:val="pokyny"/>
          <w:color w:val="000000" w:themeColor="text1"/>
        </w:rPr>
        <w:br w:type="page"/>
      </w:r>
    </w:p>
    <w:p w14:paraId="727401C7" w14:textId="77777777" w:rsidR="00992426" w:rsidRPr="00992426" w:rsidRDefault="00992426" w:rsidP="00992426">
      <w:pPr>
        <w:pStyle w:val="Nadpis3"/>
        <w:rPr>
          <w:rStyle w:val="Siln"/>
          <w:rFonts w:eastAsiaTheme="minorEastAsia"/>
          <w:b w:val="0"/>
          <w:bCs w:val="0"/>
        </w:rPr>
      </w:pPr>
      <w:bookmarkStart w:id="49" w:name="_Toc81417444"/>
      <w:r w:rsidRPr="00992426">
        <w:rPr>
          <w:rStyle w:val="Siln"/>
          <w:rFonts w:eastAsiaTheme="minorEastAsia"/>
          <w:b w:val="0"/>
          <w:bCs w:val="0"/>
        </w:rPr>
        <w:lastRenderedPageBreak/>
        <w:t>Lidé s postižením na volném a chráněném trhu práce</w:t>
      </w:r>
      <w:bookmarkEnd w:id="49"/>
      <w:r w:rsidRPr="00992426">
        <w:rPr>
          <w:rStyle w:val="Siln"/>
          <w:rFonts w:eastAsiaTheme="minorEastAsia"/>
          <w:b w:val="0"/>
          <w:bCs w:val="0"/>
        </w:rPr>
        <w:t xml:space="preserve"> </w:t>
      </w:r>
    </w:p>
    <w:p w14:paraId="67752A2C" w14:textId="77777777" w:rsidR="00992426" w:rsidRPr="00992426" w:rsidRDefault="00992426" w:rsidP="00992426">
      <w:pPr>
        <w:pStyle w:val="Seznam"/>
        <w:numPr>
          <w:ilvl w:val="0"/>
          <w:numId w:val="0"/>
        </w:numPr>
        <w:rPr>
          <w:rStyle w:val="Siln"/>
        </w:rPr>
      </w:pPr>
      <w:r w:rsidRPr="00992426">
        <w:rPr>
          <w:rStyle w:val="Siln"/>
        </w:rPr>
        <w:t>Základní varianta indikátoru</w:t>
      </w:r>
    </w:p>
    <w:p w14:paraId="14DFD5FE" w14:textId="77777777" w:rsidR="00992426" w:rsidRPr="00992426" w:rsidRDefault="00992426" w:rsidP="00992426">
      <w:pPr>
        <w:pStyle w:val="Seznam"/>
        <w:numPr>
          <w:ilvl w:val="0"/>
          <w:numId w:val="0"/>
        </w:numPr>
        <w:rPr>
          <w:rStyle w:val="Siln"/>
          <w:b w:val="0"/>
        </w:rPr>
      </w:pPr>
      <w:r w:rsidRPr="00992426">
        <w:rPr>
          <w:rStyle w:val="Siln"/>
          <w:b w:val="0"/>
        </w:rPr>
        <w:t>Podíl lidí s postižením na volném trhu práce</w:t>
      </w:r>
    </w:p>
    <w:p w14:paraId="6A213C59" w14:textId="77777777" w:rsidR="00992426" w:rsidRPr="00992426" w:rsidRDefault="00992426" w:rsidP="00992426">
      <w:pPr>
        <w:pStyle w:val="Seznam"/>
        <w:numPr>
          <w:ilvl w:val="0"/>
          <w:numId w:val="0"/>
        </w:numPr>
        <w:rPr>
          <w:rStyle w:val="Siln"/>
          <w:b w:val="0"/>
        </w:rPr>
      </w:pPr>
      <w:r w:rsidRPr="00992426">
        <w:rPr>
          <w:rStyle w:val="Siln"/>
          <w:b w:val="0"/>
        </w:rPr>
        <w:t>92,2 %</w:t>
      </w:r>
    </w:p>
    <w:p w14:paraId="181522B0" w14:textId="77777777" w:rsidR="00992426" w:rsidRPr="00992426" w:rsidRDefault="00992426" w:rsidP="00992426">
      <w:pPr>
        <w:pStyle w:val="Seznam"/>
        <w:numPr>
          <w:ilvl w:val="0"/>
          <w:numId w:val="0"/>
        </w:numPr>
        <w:rPr>
          <w:rStyle w:val="Siln"/>
          <w:b w:val="0"/>
        </w:rPr>
      </w:pPr>
      <w:r w:rsidRPr="00992426">
        <w:rPr>
          <w:rStyle w:val="Siln"/>
          <w:b w:val="0"/>
        </w:rPr>
        <w:t>Podíl osob s postižením na chráněném trhu práce</w:t>
      </w:r>
    </w:p>
    <w:p w14:paraId="7DE0732E" w14:textId="77777777" w:rsidR="00992426" w:rsidRPr="00992426" w:rsidRDefault="00992426" w:rsidP="00992426">
      <w:pPr>
        <w:pStyle w:val="Seznam"/>
        <w:numPr>
          <w:ilvl w:val="0"/>
          <w:numId w:val="0"/>
        </w:numPr>
        <w:rPr>
          <w:rStyle w:val="Siln"/>
          <w:b w:val="0"/>
        </w:rPr>
      </w:pPr>
      <w:r w:rsidRPr="00992426">
        <w:rPr>
          <w:rStyle w:val="Siln"/>
          <w:b w:val="0"/>
        </w:rPr>
        <w:t>7,8 %</w:t>
      </w:r>
    </w:p>
    <w:p w14:paraId="26AFA339" w14:textId="77777777" w:rsidR="00992426" w:rsidRPr="00992426" w:rsidRDefault="00992426" w:rsidP="00992426">
      <w:pPr>
        <w:pStyle w:val="Seznam"/>
        <w:numPr>
          <w:ilvl w:val="0"/>
          <w:numId w:val="0"/>
        </w:numPr>
        <w:ind w:left="567" w:hanging="567"/>
        <w:rPr>
          <w:rStyle w:val="Siln"/>
          <w:b w:val="0"/>
        </w:rPr>
      </w:pPr>
      <w:r w:rsidRPr="00992426">
        <w:rPr>
          <w:rStyle w:val="Siln"/>
          <w:b w:val="0"/>
        </w:rPr>
        <w:t>Progres v implementaci čl. 27 Úmluvy</w:t>
      </w:r>
    </w:p>
    <w:p w14:paraId="3B1590C2" w14:textId="77777777" w:rsidR="00992426" w:rsidRDefault="00992426" w:rsidP="00992426">
      <w:pPr>
        <w:pStyle w:val="Seznam"/>
        <w:numPr>
          <w:ilvl w:val="0"/>
          <w:numId w:val="0"/>
        </w:numPr>
        <w:rPr>
          <w:rStyle w:val="Siln"/>
          <w:b w:val="0"/>
        </w:rPr>
      </w:pPr>
      <w:r w:rsidRPr="00992426">
        <w:rPr>
          <w:rStyle w:val="Siln"/>
          <w:b w:val="0"/>
        </w:rPr>
        <w:t>Zvyšuje se podíl lidí s postižením na volném trhu práce a současně se snižuje podíl lidí s postižením zaměstnaných na chráněném trhu práce.</w:t>
      </w:r>
    </w:p>
    <w:p w14:paraId="455F2E27" w14:textId="77777777" w:rsidR="00992426" w:rsidRPr="00992426" w:rsidRDefault="00992426" w:rsidP="00992426">
      <w:pPr>
        <w:pStyle w:val="Seznam"/>
        <w:numPr>
          <w:ilvl w:val="0"/>
          <w:numId w:val="0"/>
        </w:numPr>
        <w:rPr>
          <w:rStyle w:val="Siln"/>
          <w:b w:val="0"/>
        </w:rPr>
      </w:pPr>
    </w:p>
    <w:p w14:paraId="6F7A798A"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ind w:left="567" w:hanging="567"/>
        <w:rPr>
          <w:rStyle w:val="Siln"/>
          <w:b w:val="0"/>
        </w:rPr>
      </w:pPr>
      <w:r w:rsidRPr="00992426">
        <w:rPr>
          <w:rStyle w:val="Siln"/>
          <w:b w:val="0"/>
        </w:rPr>
        <w:t>Komentář</w:t>
      </w:r>
    </w:p>
    <w:p w14:paraId="48958823"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992426">
        <w:rPr>
          <w:rStyle w:val="Siln"/>
          <w:b w:val="0"/>
        </w:rPr>
        <w:t xml:space="preserve">Data jsou opět z výběrového šetření ČSÚ, 2018. Nelze zjistit, zda se vztahují k produktivnímu věku a dělení podle pohlaví (nutno zjistit přímo u ČSÚ). </w:t>
      </w:r>
    </w:p>
    <w:p w14:paraId="2B947ADC"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992426">
        <w:rPr>
          <w:rStyle w:val="Siln"/>
          <w:b w:val="0"/>
        </w:rPr>
        <w:t>Je třeba ověřit, zda MPSV</w:t>
      </w:r>
      <w:r w:rsidRPr="00992426">
        <w:t>/</w:t>
      </w:r>
      <w:r w:rsidRPr="00992426">
        <w:rPr>
          <w:rStyle w:val="Siln"/>
          <w:b w:val="0"/>
        </w:rPr>
        <w:t>GŘ ÚP/ČSSZ nemají jiná data.</w:t>
      </w:r>
    </w:p>
    <w:p w14:paraId="7A3A2315" w14:textId="77777777" w:rsidR="00992426" w:rsidRPr="00992426" w:rsidRDefault="00992426" w:rsidP="00992426">
      <w:pPr>
        <w:pStyle w:val="Seznam"/>
        <w:numPr>
          <w:ilvl w:val="0"/>
          <w:numId w:val="0"/>
        </w:numPr>
        <w:rPr>
          <w:rStyle w:val="Siln"/>
          <w:b w:val="0"/>
          <w:bCs w:val="0"/>
        </w:rPr>
      </w:pPr>
    </w:p>
    <w:p w14:paraId="2360E2AD" w14:textId="77777777" w:rsidR="00992426" w:rsidRPr="00992426" w:rsidRDefault="00992426" w:rsidP="00992426">
      <w:pPr>
        <w:pStyle w:val="Seznam"/>
        <w:numPr>
          <w:ilvl w:val="0"/>
          <w:numId w:val="0"/>
        </w:numPr>
        <w:rPr>
          <w:rStyle w:val="Siln"/>
          <w:bCs w:val="0"/>
        </w:rPr>
      </w:pPr>
      <w:r w:rsidRPr="00992426">
        <w:rPr>
          <w:rStyle w:val="Siln"/>
        </w:rPr>
        <w:t>Rozšířená varianta indikátoru</w:t>
      </w:r>
    </w:p>
    <w:p w14:paraId="56E4DF0A" w14:textId="77777777" w:rsidR="00992426" w:rsidRPr="00BB41CA" w:rsidRDefault="00992426" w:rsidP="00992426">
      <w:pPr>
        <w:pStyle w:val="Seznam"/>
        <w:numPr>
          <w:ilvl w:val="0"/>
          <w:numId w:val="0"/>
        </w:numPr>
        <w:rPr>
          <w:rStyle w:val="Siln"/>
          <w:b w:val="0"/>
          <w:i/>
          <w:iCs/>
        </w:rPr>
      </w:pPr>
      <w:r w:rsidRPr="00BB41CA">
        <w:rPr>
          <w:rStyle w:val="Siln"/>
          <w:b w:val="0"/>
          <w:i/>
          <w:iCs/>
        </w:rPr>
        <w:t>I. Zvyšující se podíl lidí s postižením na volném trhu práce, z toho</w:t>
      </w:r>
    </w:p>
    <w:p w14:paraId="254D5475" w14:textId="77777777" w:rsidR="00992426" w:rsidRPr="00992426" w:rsidRDefault="00992426" w:rsidP="00992426">
      <w:pPr>
        <w:pStyle w:val="Seznam"/>
        <w:numPr>
          <w:ilvl w:val="0"/>
          <w:numId w:val="0"/>
        </w:numPr>
        <w:rPr>
          <w:rStyle w:val="Siln"/>
          <w:b w:val="0"/>
        </w:rPr>
      </w:pPr>
      <w:r w:rsidRPr="00992426">
        <w:rPr>
          <w:rStyle w:val="Siln"/>
          <w:b w:val="0"/>
        </w:rPr>
        <w:t xml:space="preserve">XX </w:t>
      </w:r>
      <w:r w:rsidRPr="00992426">
        <w:rPr>
          <w:rStyle w:val="Siln"/>
          <w:rFonts w:cs="Calibri"/>
          <w:b w:val="0"/>
        </w:rPr>
        <w:t>%</w:t>
      </w:r>
      <w:r w:rsidRPr="00992426">
        <w:rPr>
          <w:rStyle w:val="Siln"/>
          <w:b w:val="0"/>
        </w:rPr>
        <w:t xml:space="preserve"> ve veřejném sektoru </w:t>
      </w:r>
    </w:p>
    <w:p w14:paraId="22ADCD78" w14:textId="77777777" w:rsidR="00992426" w:rsidRPr="00992426" w:rsidRDefault="00992426" w:rsidP="00992426">
      <w:pPr>
        <w:pStyle w:val="Seznam"/>
        <w:numPr>
          <w:ilvl w:val="0"/>
          <w:numId w:val="0"/>
        </w:numPr>
        <w:rPr>
          <w:rStyle w:val="Siln"/>
          <w:b w:val="0"/>
        </w:rPr>
      </w:pPr>
      <w:r w:rsidRPr="00992426">
        <w:rPr>
          <w:rStyle w:val="Siln"/>
          <w:b w:val="0"/>
        </w:rPr>
        <w:t xml:space="preserve">XX </w:t>
      </w:r>
      <w:r w:rsidRPr="00992426">
        <w:rPr>
          <w:rStyle w:val="Siln"/>
          <w:rFonts w:cs="Calibri"/>
          <w:b w:val="0"/>
        </w:rPr>
        <w:t>%</w:t>
      </w:r>
      <w:r w:rsidRPr="00992426">
        <w:rPr>
          <w:rStyle w:val="Siln"/>
          <w:b w:val="0"/>
        </w:rPr>
        <w:t xml:space="preserve"> v soukromém sektoru</w:t>
      </w:r>
    </w:p>
    <w:p w14:paraId="00B03A95"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992426">
        <w:rPr>
          <w:rStyle w:val="Siln"/>
          <w:b w:val="0"/>
        </w:rPr>
        <w:t>Komentář</w:t>
      </w:r>
    </w:p>
    <w:p w14:paraId="03C40C45"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992426">
        <w:rPr>
          <w:rStyle w:val="Siln"/>
          <w:b w:val="0"/>
        </w:rPr>
        <w:t>Všichni zaměstnavatelé zaměstnávající více jak 25 zaměstnanců vyplňují každoročně pro Úřad práce ČR formulář „Ohlášení plnění povinného podílu lidí s postižením na celkovém počtu zaměstnanců“. V případě dohody s ÚP by mělo být možné získat v elektronické podobě data o podílu OZP u jednotlivých zaměstnavatelů. Je však potřeba ověřit, zdali ÚP disponuje ve svých datech atributem (příznakem), dle kterého lze jednoduše jednotlivá data rozdělit na veřejný / soukromý sektor. Pokud ano, tak není problém vypočítat jednoduché srovnání podílů zaměstnanosti (respektive plnění povinného podílu) v obou sektorech.</w:t>
      </w:r>
    </w:p>
    <w:p w14:paraId="13177801" w14:textId="77777777" w:rsidR="00992426" w:rsidRPr="00992426" w:rsidRDefault="00992426" w:rsidP="00992426">
      <w:pPr>
        <w:pStyle w:val="Seznam"/>
        <w:numPr>
          <w:ilvl w:val="0"/>
          <w:numId w:val="0"/>
        </w:numPr>
        <w:rPr>
          <w:rStyle w:val="Siln"/>
          <w:b w:val="0"/>
          <w:bCs w:val="0"/>
        </w:rPr>
      </w:pPr>
      <w:r w:rsidRPr="00992426">
        <w:rPr>
          <w:rStyle w:val="Siln"/>
          <w:b w:val="0"/>
        </w:rPr>
        <w:t xml:space="preserve">Progres v implementaci čl. 27 Úmluvy </w:t>
      </w:r>
    </w:p>
    <w:p w14:paraId="06638189" w14:textId="77777777" w:rsidR="00992426" w:rsidRPr="00992426" w:rsidRDefault="00992426" w:rsidP="00992426">
      <w:pPr>
        <w:pStyle w:val="Zkladntext"/>
        <w:rPr>
          <w:rStyle w:val="Siln"/>
          <w:b w:val="0"/>
        </w:rPr>
      </w:pPr>
      <w:r w:rsidRPr="00992426">
        <w:rPr>
          <w:rStyle w:val="Siln"/>
          <w:b w:val="0"/>
        </w:rPr>
        <w:t>Organizace veřejného sektoru plní víc než povinný podíl. Organizace soukromého sektoru plní povinný podíl minimálně v zákonem dané výši.</w:t>
      </w:r>
    </w:p>
    <w:p w14:paraId="326D1DB3" w14:textId="77777777" w:rsidR="00992426" w:rsidRPr="00992426" w:rsidRDefault="00992426" w:rsidP="00992426">
      <w:pPr>
        <w:pStyle w:val="Zkladntext"/>
        <w:rPr>
          <w:rStyle w:val="Siln"/>
          <w:b w:val="0"/>
        </w:rPr>
      </w:pPr>
    </w:p>
    <w:p w14:paraId="1F191927" w14:textId="77777777" w:rsidR="00992426" w:rsidRPr="00BB41CA" w:rsidRDefault="00992426" w:rsidP="00992426">
      <w:pPr>
        <w:pStyle w:val="Seznam"/>
        <w:numPr>
          <w:ilvl w:val="0"/>
          <w:numId w:val="0"/>
        </w:numPr>
        <w:rPr>
          <w:rStyle w:val="Siln"/>
          <w:b w:val="0"/>
          <w:i/>
          <w:iCs/>
        </w:rPr>
      </w:pPr>
      <w:r w:rsidRPr="00BB41CA">
        <w:rPr>
          <w:rStyle w:val="Siln"/>
          <w:b w:val="0"/>
          <w:i/>
          <w:iCs/>
        </w:rPr>
        <w:lastRenderedPageBreak/>
        <w:t>II. Zvyšující se podíl zaměstnavatelů, kteří plní povinný podíl pouze formou přímého zaměstnávání lidí s postižením v pracovním poměru, ve srovnání s podílem zaměstnavatelů, kteří využívají jiné formy či jejich kombinaci uvedené v § 81 zákona o zaměstnanosti</w:t>
      </w:r>
    </w:p>
    <w:p w14:paraId="20E6B0E8" w14:textId="77777777" w:rsidR="00992426" w:rsidRPr="00992426" w:rsidRDefault="00992426" w:rsidP="00992426">
      <w:pPr>
        <w:pStyle w:val="Seznam"/>
        <w:numPr>
          <w:ilvl w:val="0"/>
          <w:numId w:val="0"/>
        </w:numPr>
        <w:rPr>
          <w:rStyle w:val="Siln"/>
          <w:b w:val="0"/>
        </w:rPr>
      </w:pPr>
      <w:r w:rsidRPr="00992426">
        <w:rPr>
          <w:rStyle w:val="Siln"/>
          <w:b w:val="0"/>
        </w:rPr>
        <w:t>XX % - podíl zaměstnavatelů plnící povinnost zaměstnávání lidí s postižením pouze prostřednictvím přímého zaměstnávání lidí s postižením v pracovním poměru</w:t>
      </w:r>
    </w:p>
    <w:p w14:paraId="4D1D6F8D" w14:textId="77777777" w:rsidR="00992426" w:rsidRPr="00992426" w:rsidRDefault="00992426" w:rsidP="00992426">
      <w:pPr>
        <w:pStyle w:val="Seznam"/>
        <w:numPr>
          <w:ilvl w:val="0"/>
          <w:numId w:val="0"/>
        </w:numPr>
        <w:rPr>
          <w:rStyle w:val="Siln"/>
          <w:b w:val="0"/>
        </w:rPr>
      </w:pPr>
      <w:r w:rsidRPr="00992426">
        <w:rPr>
          <w:rStyle w:val="Siln"/>
          <w:b w:val="0"/>
        </w:rPr>
        <w:t>XX % - podíl zaměstnavatelů plnící povinnost zaměstnávání lidí s postižením kombinací přímého zaměstnávání a nákupem výrobku a služeb</w:t>
      </w:r>
    </w:p>
    <w:p w14:paraId="7D4D41B2" w14:textId="77777777" w:rsidR="00992426" w:rsidRPr="00992426" w:rsidRDefault="00992426" w:rsidP="00992426">
      <w:pPr>
        <w:pStyle w:val="Seznam"/>
        <w:numPr>
          <w:ilvl w:val="0"/>
          <w:numId w:val="0"/>
        </w:numPr>
        <w:rPr>
          <w:rStyle w:val="Siln"/>
          <w:b w:val="0"/>
        </w:rPr>
      </w:pPr>
      <w:r w:rsidRPr="00992426">
        <w:rPr>
          <w:rStyle w:val="Siln"/>
          <w:b w:val="0"/>
        </w:rPr>
        <w:t>XX % - podíl zaměstnavatelů plnící povinnost zaměstnávání lidí s postižením kombinací všech tří forem uvedených v § 81 zákona o zaměstnanosti</w:t>
      </w:r>
    </w:p>
    <w:p w14:paraId="17DE42D3" w14:textId="77777777" w:rsidR="00992426" w:rsidRPr="00992426" w:rsidRDefault="00992426" w:rsidP="00992426">
      <w:pPr>
        <w:pStyle w:val="Seznam"/>
        <w:numPr>
          <w:ilvl w:val="0"/>
          <w:numId w:val="0"/>
        </w:numPr>
        <w:rPr>
          <w:rStyle w:val="Siln"/>
          <w:b w:val="0"/>
        </w:rPr>
      </w:pPr>
      <w:r w:rsidRPr="00992426">
        <w:rPr>
          <w:rStyle w:val="Siln"/>
          <w:b w:val="0"/>
        </w:rPr>
        <w:t>XX % - podíl zaměstnavatelů plnící povinnost zaměstnávání lidí s postižením kombinací nákupu výrobku a služeb a odvodu do státního rozpočtu</w:t>
      </w:r>
    </w:p>
    <w:p w14:paraId="44B6678D" w14:textId="77777777" w:rsidR="00992426" w:rsidRPr="00992426" w:rsidRDefault="00992426" w:rsidP="00992426">
      <w:pPr>
        <w:pStyle w:val="Seznam"/>
        <w:numPr>
          <w:ilvl w:val="0"/>
          <w:numId w:val="0"/>
        </w:numPr>
        <w:rPr>
          <w:rStyle w:val="Siln"/>
          <w:b w:val="0"/>
        </w:rPr>
      </w:pPr>
      <w:r w:rsidRPr="00992426">
        <w:rPr>
          <w:rStyle w:val="Siln"/>
          <w:b w:val="0"/>
        </w:rPr>
        <w:t>XX % - podíl zaměstnavatelů plnící povinnost zaměstnávání lidí s postižením pouze  odvodem do státního rozpočtu</w:t>
      </w:r>
    </w:p>
    <w:p w14:paraId="24AF7054" w14:textId="77777777" w:rsidR="00992426" w:rsidRDefault="00992426" w:rsidP="00992426">
      <w:pPr>
        <w:pStyle w:val="Seznam"/>
        <w:numPr>
          <w:ilvl w:val="0"/>
          <w:numId w:val="0"/>
        </w:numPr>
        <w:ind w:left="567" w:hanging="567"/>
        <w:rPr>
          <w:rStyle w:val="Siln"/>
          <w:b w:val="0"/>
        </w:rPr>
      </w:pPr>
    </w:p>
    <w:p w14:paraId="797513C3" w14:textId="77777777" w:rsidR="00992426" w:rsidRPr="00992426" w:rsidRDefault="00992426" w:rsidP="00992426">
      <w:pPr>
        <w:pStyle w:val="Seznam"/>
        <w:numPr>
          <w:ilvl w:val="0"/>
          <w:numId w:val="0"/>
        </w:numPr>
        <w:ind w:left="567" w:hanging="567"/>
        <w:rPr>
          <w:rStyle w:val="Siln"/>
          <w:b w:val="0"/>
          <w:bCs w:val="0"/>
        </w:rPr>
      </w:pPr>
      <w:r w:rsidRPr="00992426">
        <w:rPr>
          <w:rStyle w:val="Siln"/>
          <w:b w:val="0"/>
        </w:rPr>
        <w:t xml:space="preserve">Progres v implementaci čl. 27 Úmluvy </w:t>
      </w:r>
    </w:p>
    <w:p w14:paraId="1B842A76" w14:textId="77777777" w:rsidR="00992426" w:rsidRPr="00992426" w:rsidRDefault="00992426" w:rsidP="00992426">
      <w:pPr>
        <w:pStyle w:val="Seznam"/>
        <w:numPr>
          <w:ilvl w:val="0"/>
          <w:numId w:val="0"/>
        </w:numPr>
        <w:rPr>
          <w:rStyle w:val="Siln"/>
          <w:b w:val="0"/>
        </w:rPr>
      </w:pPr>
      <w:r w:rsidRPr="00992426">
        <w:rPr>
          <w:rStyle w:val="Siln"/>
          <w:b w:val="0"/>
        </w:rPr>
        <w:t xml:space="preserve">Podíl zaměstnavatelů, kteří plní povinný podíl pouze formou přímého zaměstnávání lidí s postižením v pracovním poměru, se zvyšuje. Podíly ostatních zaměstnavatelů s jinými formami se snižuje. </w:t>
      </w:r>
    </w:p>
    <w:p w14:paraId="385DA5D8" w14:textId="77777777" w:rsidR="00992426" w:rsidRPr="00992426" w:rsidRDefault="00992426" w:rsidP="00992426">
      <w:pPr>
        <w:pStyle w:val="Seznam"/>
        <w:numPr>
          <w:ilvl w:val="0"/>
          <w:numId w:val="0"/>
        </w:numPr>
        <w:rPr>
          <w:rStyle w:val="Siln"/>
          <w:b w:val="0"/>
        </w:rPr>
      </w:pPr>
    </w:p>
    <w:p w14:paraId="7BB0130D" w14:textId="77777777" w:rsidR="00992426" w:rsidRPr="00BB41CA" w:rsidRDefault="00992426" w:rsidP="00992426">
      <w:pPr>
        <w:pStyle w:val="Seznam"/>
        <w:numPr>
          <w:ilvl w:val="0"/>
          <w:numId w:val="0"/>
        </w:numPr>
        <w:rPr>
          <w:rStyle w:val="Siln"/>
          <w:b w:val="0"/>
          <w:i/>
          <w:iCs/>
        </w:rPr>
      </w:pPr>
      <w:r w:rsidRPr="00BB41CA">
        <w:rPr>
          <w:rStyle w:val="Siln"/>
          <w:b w:val="0"/>
          <w:i/>
          <w:iCs/>
        </w:rPr>
        <w:t>III. Podíl lidí s postižením v produktivním věku, kteří se věnují samostatně výdělečné činnosti</w:t>
      </w:r>
    </w:p>
    <w:p w14:paraId="2CD7D3C8" w14:textId="77777777" w:rsidR="00992426" w:rsidRDefault="00992426" w:rsidP="00992426">
      <w:pPr>
        <w:pStyle w:val="Seznam"/>
        <w:numPr>
          <w:ilvl w:val="0"/>
          <w:numId w:val="0"/>
        </w:numPr>
        <w:rPr>
          <w:rStyle w:val="Siln"/>
          <w:b w:val="0"/>
        </w:rPr>
      </w:pPr>
      <w:r w:rsidRPr="00992426">
        <w:rPr>
          <w:rStyle w:val="Siln"/>
          <w:b w:val="0"/>
        </w:rPr>
        <w:t>XX %</w:t>
      </w:r>
    </w:p>
    <w:p w14:paraId="6EE47572" w14:textId="77777777" w:rsidR="00992426" w:rsidRPr="00992426" w:rsidRDefault="00992426" w:rsidP="00992426">
      <w:pPr>
        <w:pStyle w:val="Seznam"/>
        <w:numPr>
          <w:ilvl w:val="0"/>
          <w:numId w:val="0"/>
        </w:numPr>
        <w:rPr>
          <w:rStyle w:val="Siln"/>
          <w:b w:val="0"/>
          <w:bCs w:val="0"/>
        </w:rPr>
      </w:pPr>
      <w:r w:rsidRPr="00992426">
        <w:rPr>
          <w:rStyle w:val="Siln"/>
          <w:b w:val="0"/>
        </w:rPr>
        <w:t>Progres v implementaci čl. 27 Úmluvy</w:t>
      </w:r>
    </w:p>
    <w:p w14:paraId="4D7A95CB" w14:textId="77777777" w:rsidR="00992426" w:rsidRDefault="00992426" w:rsidP="00992426">
      <w:pPr>
        <w:pStyle w:val="Seznam"/>
        <w:numPr>
          <w:ilvl w:val="0"/>
          <w:numId w:val="0"/>
        </w:numPr>
        <w:rPr>
          <w:rStyle w:val="Siln"/>
          <w:b w:val="0"/>
        </w:rPr>
      </w:pPr>
      <w:r w:rsidRPr="00992426">
        <w:rPr>
          <w:rStyle w:val="Siln"/>
          <w:b w:val="0"/>
        </w:rPr>
        <w:t>Podíl lidí s postižením</w:t>
      </w:r>
      <w:r w:rsidRPr="00992426">
        <w:t xml:space="preserve"> </w:t>
      </w:r>
      <w:r w:rsidRPr="00992426">
        <w:rPr>
          <w:rStyle w:val="Siln"/>
          <w:b w:val="0"/>
        </w:rPr>
        <w:t>v produktivním věku, kteří se věnují samostatně výdělečné činnosti podnikání), je srovnatelný s podílem lidem bez postižení v produktivním věku, kteří se věnují samostatně výdělečné činnosti (podnikání).</w:t>
      </w:r>
    </w:p>
    <w:p w14:paraId="72D15E7D" w14:textId="77777777" w:rsidR="00992426" w:rsidRPr="00992426" w:rsidRDefault="00992426" w:rsidP="00992426">
      <w:pPr>
        <w:pStyle w:val="Seznam"/>
        <w:numPr>
          <w:ilvl w:val="0"/>
          <w:numId w:val="0"/>
        </w:numPr>
        <w:rPr>
          <w:rStyle w:val="Siln"/>
          <w:b w:val="0"/>
        </w:rPr>
      </w:pPr>
    </w:p>
    <w:p w14:paraId="6522E821"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992426">
        <w:rPr>
          <w:rStyle w:val="Siln"/>
          <w:b w:val="0"/>
        </w:rPr>
        <w:t>Komentář</w:t>
      </w:r>
    </w:p>
    <w:p w14:paraId="07302A9C"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rPr>
          <w:rStyle w:val="Siln"/>
          <w:b w:val="0"/>
        </w:rPr>
      </w:pPr>
      <w:r w:rsidRPr="00992426">
        <w:rPr>
          <w:rStyle w:val="Siln"/>
          <w:b w:val="0"/>
        </w:rPr>
        <w:t>Nepodařilo se zatím dohledat, kde by takový údaj mohl být uvedený. Jedná se ale o důležité hledisko, protože existence postižení nevylučuje, že osoba kupříkladu podniká. Měli bychom mít i tyto lidi s postižením zachyceny v indikátoru s ohledem na čl. 27 odst. 1 písm. f) Úmluvy. Bude nutno konzultovat s MPSV/ČSSZ.</w:t>
      </w:r>
    </w:p>
    <w:p w14:paraId="5DDF565F" w14:textId="77777777" w:rsidR="00992426" w:rsidRPr="00992426" w:rsidRDefault="00992426" w:rsidP="00992426">
      <w:pPr>
        <w:pStyle w:val="Seznam"/>
        <w:numPr>
          <w:ilvl w:val="0"/>
          <w:numId w:val="0"/>
        </w:numPr>
        <w:rPr>
          <w:rStyle w:val="Siln"/>
          <w:b w:val="0"/>
        </w:rPr>
      </w:pPr>
    </w:p>
    <w:p w14:paraId="5C016116" w14:textId="77777777" w:rsidR="00992426" w:rsidRPr="00992426" w:rsidRDefault="00992426" w:rsidP="00992426">
      <w:pPr>
        <w:pStyle w:val="Nadpis3"/>
        <w:rPr>
          <w:rStyle w:val="Siln"/>
          <w:rFonts w:eastAsiaTheme="minorEastAsia"/>
          <w:b w:val="0"/>
          <w:bCs w:val="0"/>
        </w:rPr>
      </w:pPr>
      <w:r w:rsidRPr="008060DD">
        <w:rPr>
          <w:rStyle w:val="Siln"/>
          <w:rFonts w:eastAsiaTheme="minorEastAsia"/>
        </w:rPr>
        <w:br w:type="page"/>
      </w:r>
      <w:bookmarkStart w:id="50" w:name="_Toc81417445"/>
      <w:r w:rsidRPr="00992426">
        <w:rPr>
          <w:rStyle w:val="Siln"/>
          <w:rFonts w:eastAsiaTheme="minorEastAsia"/>
          <w:b w:val="0"/>
          <w:bCs w:val="0"/>
        </w:rPr>
        <w:lastRenderedPageBreak/>
        <w:t>Přístupnost zaměstnavatelů ve veřejném sektoru vůči lidem s postižením</w:t>
      </w:r>
      <w:bookmarkEnd w:id="50"/>
      <w:r w:rsidRPr="00992426">
        <w:rPr>
          <w:rStyle w:val="Siln"/>
          <w:rFonts w:eastAsiaTheme="minorEastAsia"/>
          <w:b w:val="0"/>
          <w:bCs w:val="0"/>
        </w:rPr>
        <w:t xml:space="preserve"> </w:t>
      </w:r>
    </w:p>
    <w:p w14:paraId="3BF67C62" w14:textId="77777777" w:rsidR="00992426" w:rsidRPr="008060DD" w:rsidRDefault="00992426" w:rsidP="00992426">
      <w:pPr>
        <w:rPr>
          <w:rStyle w:val="pokyny"/>
          <w:b/>
          <w:bCs/>
          <w:color w:val="000000" w:themeColor="text1"/>
        </w:rPr>
      </w:pPr>
      <w:r w:rsidRPr="008060DD">
        <w:rPr>
          <w:rStyle w:val="pokyny"/>
          <w:b/>
          <w:bCs/>
          <w:color w:val="000000" w:themeColor="text1"/>
        </w:rPr>
        <w:t>Základní varianta indikátoru</w:t>
      </w:r>
    </w:p>
    <w:p w14:paraId="7A0E8AF3" w14:textId="77777777" w:rsidR="00992426" w:rsidRPr="008060DD" w:rsidRDefault="00992426" w:rsidP="00992426">
      <w:pPr>
        <w:rPr>
          <w:rStyle w:val="pokyny"/>
          <w:color w:val="000000" w:themeColor="text1"/>
        </w:rPr>
      </w:pPr>
    </w:p>
    <w:p w14:paraId="1AF573D5" w14:textId="77777777" w:rsidR="00992426" w:rsidRPr="008060DD" w:rsidRDefault="00992426" w:rsidP="00992426">
      <w:pPr>
        <w:rPr>
          <w:rStyle w:val="pokyny"/>
          <w:b/>
          <w:bCs/>
          <w:color w:val="000000" w:themeColor="text1"/>
        </w:rPr>
      </w:pPr>
      <w:r w:rsidRPr="008060DD">
        <w:rPr>
          <w:rStyle w:val="pokyny"/>
          <w:b/>
          <w:bCs/>
          <w:color w:val="000000" w:themeColor="text1"/>
        </w:rPr>
        <w:t>Index fyzické přístupnosti zaměstnavatelů ve veřejném sektoru</w:t>
      </w:r>
    </w:p>
    <w:p w14:paraId="5569670D" w14:textId="77777777" w:rsidR="00992426" w:rsidRPr="008060DD" w:rsidRDefault="00992426" w:rsidP="00992426">
      <w:pPr>
        <w:pStyle w:val="Zkladntext"/>
        <w:rPr>
          <w:rStyle w:val="pokyny"/>
          <w:color w:val="000000" w:themeColor="text1"/>
        </w:rPr>
      </w:pPr>
      <w:r w:rsidRPr="008060DD">
        <w:rPr>
          <w:rStyle w:val="pokyny"/>
          <w:color w:val="000000" w:themeColor="text1"/>
        </w:rPr>
        <w:t>Otázka možnosti pracovního uplatnění lidí s postižením na otevřeném trhu práce je významně spojena s přístupností budov, které mají být místem výkonu práce. Z pohledu fyzické mobility se jedná o princip bezbariérovosti vstupu, pracovního místa, sociálních zařízení a dosažení jednotlivých podlaží pomocí výtahu. Méně běžnými aspekty přístupnosti jsou opatření pro lidi se zrakovým postižením v podobě informačních cedulek v Braillově písmu nebo akustického naváděcího systému.</w:t>
      </w:r>
    </w:p>
    <w:p w14:paraId="47A35229" w14:textId="77777777" w:rsidR="00992426" w:rsidRPr="004C0E9A" w:rsidRDefault="00992426" w:rsidP="00992426">
      <w:pPr>
        <w:pStyle w:val="Zkladntext"/>
        <w:rPr>
          <w:rStyle w:val="pokyny"/>
          <w:color w:val="000000" w:themeColor="text1"/>
        </w:rPr>
      </w:pPr>
      <w:r w:rsidRPr="008060DD">
        <w:rPr>
          <w:rStyle w:val="pokyny"/>
          <w:color w:val="000000" w:themeColor="text1"/>
        </w:rPr>
        <w:t>Pro zjišťování přístupnosti bu</w:t>
      </w:r>
      <w:r>
        <w:rPr>
          <w:rStyle w:val="pokyny"/>
          <w:color w:val="000000" w:themeColor="text1"/>
        </w:rPr>
        <w:t xml:space="preserve">dov jsme </w:t>
      </w:r>
      <w:r w:rsidRPr="004C0E9A">
        <w:rPr>
          <w:rStyle w:val="pokyny"/>
          <w:color w:val="000000" w:themeColor="text1"/>
        </w:rPr>
        <w:t>sestavili soubor jedenácti položek zahrnující možné potřeby různých skupin lidí s postižením, kdy se dotazujeme, zda je budova opatřena:</w:t>
      </w:r>
    </w:p>
    <w:p w14:paraId="5F93D312" w14:textId="77777777" w:rsidR="00992426" w:rsidRPr="004C0E9A" w:rsidRDefault="00992426" w:rsidP="00992426">
      <w:pPr>
        <w:pStyle w:val="Seznam"/>
        <w:rPr>
          <w:rStyle w:val="pokyny"/>
          <w:color w:val="000000" w:themeColor="text1"/>
        </w:rPr>
      </w:pPr>
      <w:r w:rsidRPr="004C0E9A">
        <w:rPr>
          <w:rStyle w:val="pokyny"/>
          <w:color w:val="000000" w:themeColor="text1"/>
        </w:rPr>
        <w:t>funkčními nájezdovými rampami / zdvižnými plošinami,</w:t>
      </w:r>
    </w:p>
    <w:p w14:paraId="4515541F" w14:textId="77777777" w:rsidR="00992426" w:rsidRPr="004C0E9A" w:rsidRDefault="00992426" w:rsidP="00992426">
      <w:pPr>
        <w:pStyle w:val="Seznam"/>
        <w:rPr>
          <w:rStyle w:val="pokyny"/>
          <w:color w:val="000000" w:themeColor="text1"/>
        </w:rPr>
      </w:pPr>
      <w:r w:rsidRPr="004C0E9A">
        <w:rPr>
          <w:rStyle w:val="pokyny"/>
          <w:color w:val="000000" w:themeColor="text1"/>
        </w:rPr>
        <w:t>výtahy odpovídajících rozměrů (min. 900 mm pro průjezd člověka používajícího vozík),</w:t>
      </w:r>
    </w:p>
    <w:p w14:paraId="5E490965" w14:textId="77777777" w:rsidR="00992426" w:rsidRPr="004C0E9A" w:rsidRDefault="00992426" w:rsidP="00992426">
      <w:pPr>
        <w:pStyle w:val="Seznam"/>
        <w:rPr>
          <w:rStyle w:val="pokyny"/>
          <w:color w:val="000000" w:themeColor="text1"/>
        </w:rPr>
      </w:pPr>
      <w:r w:rsidRPr="004C0E9A">
        <w:rPr>
          <w:rStyle w:val="pokyny"/>
          <w:color w:val="000000" w:themeColor="text1"/>
        </w:rPr>
        <w:t>bezbariérovým sociálním zařízením, které je dostupné za stejných podmínek jako sociální zařízení pro lidi bez postižení,</w:t>
      </w:r>
    </w:p>
    <w:p w14:paraId="32FA4341" w14:textId="77777777" w:rsidR="00992426" w:rsidRPr="004C0E9A" w:rsidRDefault="00992426" w:rsidP="00992426">
      <w:pPr>
        <w:pStyle w:val="Seznam"/>
        <w:rPr>
          <w:rStyle w:val="pokyny"/>
          <w:color w:val="000000" w:themeColor="text1"/>
        </w:rPr>
      </w:pPr>
      <w:r w:rsidRPr="004C0E9A">
        <w:rPr>
          <w:rStyle w:val="pokyny"/>
          <w:color w:val="000000" w:themeColor="text1"/>
        </w:rPr>
        <w:t>vodícími liniemi na podlahách,</w:t>
      </w:r>
    </w:p>
    <w:p w14:paraId="45F2ED1B" w14:textId="77777777" w:rsidR="00992426" w:rsidRPr="004C0E9A" w:rsidRDefault="00992426" w:rsidP="00992426">
      <w:pPr>
        <w:pStyle w:val="Seznam"/>
        <w:rPr>
          <w:rStyle w:val="pokyny"/>
          <w:color w:val="000000" w:themeColor="text1"/>
        </w:rPr>
      </w:pPr>
      <w:r w:rsidRPr="004C0E9A">
        <w:rPr>
          <w:rStyle w:val="pokyny"/>
          <w:color w:val="000000" w:themeColor="text1"/>
        </w:rPr>
        <w:t>informačními cedulkami v Braillově písmě,</w:t>
      </w:r>
    </w:p>
    <w:p w14:paraId="137EEC25" w14:textId="77777777" w:rsidR="00992426" w:rsidRPr="004C0E9A" w:rsidRDefault="00992426" w:rsidP="00992426">
      <w:pPr>
        <w:pStyle w:val="Seznam"/>
        <w:rPr>
          <w:rStyle w:val="pokyny"/>
          <w:color w:val="000000" w:themeColor="text1"/>
        </w:rPr>
      </w:pPr>
      <w:r w:rsidRPr="004C0E9A">
        <w:rPr>
          <w:rStyle w:val="pokyny"/>
          <w:color w:val="000000" w:themeColor="text1"/>
        </w:rPr>
        <w:t>akustickým naváděcím systémem,</w:t>
      </w:r>
    </w:p>
    <w:p w14:paraId="0735F7EC" w14:textId="77777777" w:rsidR="00992426" w:rsidRPr="004C0E9A" w:rsidRDefault="00992426" w:rsidP="00992426">
      <w:pPr>
        <w:pStyle w:val="Seznam"/>
        <w:rPr>
          <w:rStyle w:val="pokyny"/>
          <w:color w:val="000000" w:themeColor="text1"/>
        </w:rPr>
      </w:pPr>
      <w:r w:rsidRPr="004C0E9A">
        <w:rPr>
          <w:rStyle w:val="pokyny"/>
          <w:color w:val="000000" w:themeColor="text1"/>
        </w:rPr>
        <w:t>vizuální signalizací,</w:t>
      </w:r>
    </w:p>
    <w:p w14:paraId="3C74E037" w14:textId="77777777" w:rsidR="00992426" w:rsidRPr="004C0E9A" w:rsidRDefault="00992426" w:rsidP="00992426">
      <w:pPr>
        <w:pStyle w:val="Seznam"/>
        <w:rPr>
          <w:rStyle w:val="pokyny"/>
          <w:color w:val="000000" w:themeColor="text1"/>
        </w:rPr>
      </w:pPr>
      <w:r w:rsidRPr="004C0E9A">
        <w:rPr>
          <w:rStyle w:val="pokyny"/>
          <w:color w:val="000000" w:themeColor="text1"/>
        </w:rPr>
        <w:t>indukční smyčkou,</w:t>
      </w:r>
    </w:p>
    <w:p w14:paraId="6ACA82C2" w14:textId="77777777" w:rsidR="00992426" w:rsidRPr="004C0E9A" w:rsidRDefault="00992426" w:rsidP="00992426">
      <w:pPr>
        <w:pStyle w:val="Seznam"/>
        <w:rPr>
          <w:rStyle w:val="pokyny"/>
          <w:color w:val="000000" w:themeColor="text1"/>
        </w:rPr>
      </w:pPr>
      <w:r w:rsidRPr="004C0E9A">
        <w:rPr>
          <w:rStyle w:val="pokyny"/>
          <w:color w:val="000000" w:themeColor="text1"/>
        </w:rPr>
        <w:t>bezplatným připojením k wi-fi za účelem on-line komunikace s tlumočníkem či přepisovatelem,</w:t>
      </w:r>
    </w:p>
    <w:p w14:paraId="76073214" w14:textId="77777777" w:rsidR="00992426" w:rsidRPr="004C0E9A" w:rsidRDefault="00992426" w:rsidP="00992426">
      <w:pPr>
        <w:pStyle w:val="Seznam"/>
        <w:rPr>
          <w:rStyle w:val="pokyny"/>
          <w:color w:val="000000" w:themeColor="text1"/>
        </w:rPr>
      </w:pPr>
      <w:r w:rsidRPr="004C0E9A">
        <w:rPr>
          <w:rStyle w:val="pokyny"/>
          <w:color w:val="000000" w:themeColor="text1"/>
        </w:rPr>
        <w:t>aktualizovanými orientačními nápisy se snadno čitelnou velikostí písma, fontu a v kontrastních barvách,</w:t>
      </w:r>
    </w:p>
    <w:p w14:paraId="0D190ECC" w14:textId="77777777" w:rsidR="00992426" w:rsidRPr="004C0E9A" w:rsidRDefault="00992426" w:rsidP="00992426">
      <w:pPr>
        <w:pStyle w:val="Seznam"/>
        <w:rPr>
          <w:rStyle w:val="pokyny"/>
          <w:color w:val="000000" w:themeColor="text1"/>
        </w:rPr>
      </w:pPr>
      <w:r w:rsidRPr="004C0E9A">
        <w:rPr>
          <w:rStyle w:val="pokyny"/>
          <w:color w:val="000000" w:themeColor="text1"/>
        </w:rPr>
        <w:t>snadno čitelnými piktogramy.</w:t>
      </w:r>
    </w:p>
    <w:p w14:paraId="15596062" w14:textId="77777777" w:rsidR="00992426" w:rsidRPr="004C0E9A" w:rsidRDefault="00992426" w:rsidP="00992426">
      <w:pPr>
        <w:pStyle w:val="Zkladntext"/>
        <w:rPr>
          <w:rStyle w:val="pokyny"/>
          <w:color w:val="000000" w:themeColor="text1"/>
        </w:rPr>
      </w:pPr>
      <w:r w:rsidRPr="004C0E9A">
        <w:rPr>
          <w:rStyle w:val="pokyny"/>
          <w:color w:val="000000" w:themeColor="text1"/>
        </w:rPr>
        <w:t>Každá budova pracoviště může dosáhnout míry indexu fyzické přístupnosti od hodnoty 0 (nejméně přístupná / nedisponuje žádným opatřením) po hodnotu 11 (nejvíce přístupná / disponuje všemi opatřeními).</w:t>
      </w:r>
    </w:p>
    <w:p w14:paraId="20D352E4" w14:textId="77777777" w:rsidR="00992426" w:rsidRPr="004C0E9A" w:rsidRDefault="00992426" w:rsidP="00992426">
      <w:pPr>
        <w:pStyle w:val="Zkladntext"/>
        <w:rPr>
          <w:rStyle w:val="pokyny"/>
          <w:b/>
          <w:bCs/>
          <w:color w:val="000000" w:themeColor="text1"/>
        </w:rPr>
      </w:pPr>
      <w:r w:rsidRPr="004C0E9A">
        <w:rPr>
          <w:rStyle w:val="pokyny"/>
          <w:b/>
          <w:bCs/>
          <w:color w:val="000000" w:themeColor="text1"/>
        </w:rPr>
        <w:t>Index otevřenosti zaměstnavatelů ve veřejném sektoru</w:t>
      </w:r>
    </w:p>
    <w:p w14:paraId="661FACA6" w14:textId="77777777" w:rsidR="00992426" w:rsidRPr="004C0E9A" w:rsidRDefault="00992426" w:rsidP="00992426">
      <w:pPr>
        <w:pStyle w:val="Zkladntext"/>
        <w:rPr>
          <w:rStyle w:val="pokyny"/>
          <w:color w:val="000000" w:themeColor="text1"/>
        </w:rPr>
      </w:pPr>
      <w:r w:rsidRPr="004C0E9A">
        <w:rPr>
          <w:rStyle w:val="pokyny"/>
          <w:color w:val="000000" w:themeColor="text1"/>
        </w:rPr>
        <w:t>Míra zaměstnanosti lidí s postižením ve veřejném sektoru je výrazně ovlivněna také tím, zda zaměstnavatelé zohledňují specifické potřeby lidí s postižením před vznikem pracovního vztahu a po celou dobu jeho trvání (zejména v oblasti pracovních podmínek).</w:t>
      </w:r>
    </w:p>
    <w:p w14:paraId="682F4281" w14:textId="77777777" w:rsidR="00992426" w:rsidRPr="004C0E9A" w:rsidRDefault="00992426" w:rsidP="00992426">
      <w:pPr>
        <w:pStyle w:val="Zkladntext"/>
        <w:rPr>
          <w:rStyle w:val="pokyny"/>
          <w:color w:val="000000" w:themeColor="text1"/>
        </w:rPr>
      </w:pPr>
      <w:r w:rsidRPr="004C0E9A">
        <w:rPr>
          <w:rStyle w:val="pokyny"/>
          <w:color w:val="000000" w:themeColor="text1"/>
        </w:rPr>
        <w:lastRenderedPageBreak/>
        <w:t>Pro zjišťování otevřenosti zaměstnavatelů ve veřejném sektoru jsme sestavili soubor deseti položek. Otevřený a inkluzivní zaměstnavatel ve veřejném sektoru</w:t>
      </w:r>
    </w:p>
    <w:p w14:paraId="781745C5" w14:textId="77777777" w:rsidR="00992426" w:rsidRPr="004C0E9A" w:rsidRDefault="00992426" w:rsidP="00992426">
      <w:pPr>
        <w:pStyle w:val="Seznam"/>
        <w:rPr>
          <w:rStyle w:val="pokyny"/>
          <w:color w:val="000000" w:themeColor="text1"/>
        </w:rPr>
      </w:pPr>
      <w:r w:rsidRPr="004C0E9A">
        <w:rPr>
          <w:rStyle w:val="pokyny"/>
          <w:color w:val="000000" w:themeColor="text1"/>
        </w:rPr>
        <w:t>ví, které pracovní pozice může obsadit lidmi s různými tipy postižení,</w:t>
      </w:r>
    </w:p>
    <w:p w14:paraId="2FDCA0E3" w14:textId="77777777" w:rsidR="00992426" w:rsidRPr="004C0E9A" w:rsidRDefault="00992426" w:rsidP="00992426">
      <w:pPr>
        <w:pStyle w:val="Seznam"/>
        <w:rPr>
          <w:rStyle w:val="pokyny"/>
          <w:color w:val="000000" w:themeColor="text1"/>
        </w:rPr>
      </w:pPr>
      <w:r w:rsidRPr="004C0E9A">
        <w:rPr>
          <w:rStyle w:val="pokyny"/>
          <w:color w:val="000000" w:themeColor="text1"/>
        </w:rPr>
        <w:t>píše pracovní inzerci tak, aby oslovil i uchazeče o zaměstnání z řad lidí s postižením,</w:t>
      </w:r>
    </w:p>
    <w:p w14:paraId="3E14E3EE" w14:textId="77777777" w:rsidR="00992426" w:rsidRPr="004C0E9A" w:rsidRDefault="00992426" w:rsidP="00992426">
      <w:pPr>
        <w:pStyle w:val="Seznam"/>
        <w:rPr>
          <w:rStyle w:val="pokyny"/>
          <w:color w:val="000000" w:themeColor="text1"/>
        </w:rPr>
      </w:pPr>
      <w:r w:rsidRPr="004C0E9A">
        <w:rPr>
          <w:rStyle w:val="pokyny"/>
          <w:color w:val="000000" w:themeColor="text1"/>
        </w:rPr>
        <w:t>poskytuje lidem s postižením pracovní rehabilitaci a práci ve spolupráci s Úřadem práce,</w:t>
      </w:r>
    </w:p>
    <w:p w14:paraId="4278F588" w14:textId="77777777" w:rsidR="00992426" w:rsidRPr="004C0E9A" w:rsidRDefault="00992426" w:rsidP="00992426">
      <w:pPr>
        <w:pStyle w:val="Seznam"/>
        <w:rPr>
          <w:rStyle w:val="pokyny"/>
          <w:color w:val="000000" w:themeColor="text1"/>
        </w:rPr>
      </w:pPr>
      <w:r w:rsidRPr="004C0E9A">
        <w:rPr>
          <w:rStyle w:val="pokyny"/>
          <w:color w:val="000000" w:themeColor="text1"/>
        </w:rPr>
        <w:t>poskytuje získání praxe lidem s postižením a práci ve spolupráci s neziskovými organizacemi, středními a vysokými školami,</w:t>
      </w:r>
    </w:p>
    <w:p w14:paraId="3570349B" w14:textId="77777777" w:rsidR="00992426" w:rsidRPr="004C0E9A" w:rsidRDefault="00992426" w:rsidP="00992426">
      <w:pPr>
        <w:pStyle w:val="Seznam"/>
        <w:rPr>
          <w:rStyle w:val="pokyny"/>
          <w:color w:val="000000" w:themeColor="text1"/>
        </w:rPr>
      </w:pPr>
      <w:r w:rsidRPr="004C0E9A">
        <w:rPr>
          <w:rStyle w:val="pokyny"/>
          <w:color w:val="000000" w:themeColor="text1"/>
        </w:rPr>
        <w:t>umožňuje zaměstnancům s postižením přítomnost asistence či kompenzační pomůcky (pes se speciálním výcvikem) během výběrového řízení a po dobu trvání pracovního vztahu,</w:t>
      </w:r>
    </w:p>
    <w:p w14:paraId="2C9EDBC0" w14:textId="77777777" w:rsidR="00992426" w:rsidRPr="004C0E9A" w:rsidRDefault="00992426" w:rsidP="00992426">
      <w:pPr>
        <w:pStyle w:val="Seznam"/>
        <w:rPr>
          <w:rStyle w:val="pokyny"/>
          <w:color w:val="000000" w:themeColor="text1"/>
        </w:rPr>
      </w:pPr>
      <w:r w:rsidRPr="004C0E9A">
        <w:rPr>
          <w:rStyle w:val="pokyny"/>
          <w:color w:val="000000" w:themeColor="text1"/>
        </w:rPr>
        <w:t>nabízí a umožňuje kratší pracovní úvazky,</w:t>
      </w:r>
    </w:p>
    <w:p w14:paraId="65612C7D" w14:textId="77777777" w:rsidR="00992426" w:rsidRPr="004C0E9A" w:rsidRDefault="00992426" w:rsidP="00992426">
      <w:pPr>
        <w:pStyle w:val="Seznam"/>
        <w:rPr>
          <w:rStyle w:val="pokyny"/>
          <w:color w:val="000000" w:themeColor="text1"/>
        </w:rPr>
      </w:pPr>
      <w:r w:rsidRPr="004C0E9A">
        <w:rPr>
          <w:rStyle w:val="pokyny"/>
          <w:color w:val="000000" w:themeColor="text1"/>
        </w:rPr>
        <w:t>nabízí a umožňuje práci z jiného místa,</w:t>
      </w:r>
    </w:p>
    <w:p w14:paraId="5BF4AC26" w14:textId="77777777" w:rsidR="00992426" w:rsidRPr="004C0E9A" w:rsidRDefault="00992426" w:rsidP="00992426">
      <w:pPr>
        <w:pStyle w:val="Seznam"/>
        <w:rPr>
          <w:rStyle w:val="pokyny"/>
          <w:color w:val="000000" w:themeColor="text1"/>
        </w:rPr>
      </w:pPr>
      <w:r w:rsidRPr="004C0E9A">
        <w:rPr>
          <w:rStyle w:val="pokyny"/>
          <w:color w:val="000000" w:themeColor="text1"/>
        </w:rPr>
        <w:t>upravuje pracoviště a poskytuje pracovní pomůcky dle potřeb zaměstnance s postižením,</w:t>
      </w:r>
    </w:p>
    <w:p w14:paraId="547D077E" w14:textId="77777777" w:rsidR="00992426" w:rsidRPr="004C0E9A" w:rsidRDefault="00992426" w:rsidP="00992426">
      <w:pPr>
        <w:pStyle w:val="Seznam"/>
        <w:rPr>
          <w:rStyle w:val="pokyny"/>
          <w:color w:val="000000" w:themeColor="text1"/>
        </w:rPr>
      </w:pPr>
      <w:r w:rsidRPr="004C0E9A">
        <w:rPr>
          <w:rStyle w:val="pokyny"/>
          <w:color w:val="000000" w:themeColor="text1"/>
        </w:rPr>
        <w:t>přijímá další přiměřená opatření s ohledem na individuální potřeby zaměstnance s postižením,</w:t>
      </w:r>
    </w:p>
    <w:p w14:paraId="5B9556DF" w14:textId="77777777" w:rsidR="00992426" w:rsidRPr="004C0E9A" w:rsidRDefault="00992426" w:rsidP="00992426">
      <w:pPr>
        <w:pStyle w:val="Seznam"/>
        <w:rPr>
          <w:rStyle w:val="pokyny"/>
          <w:color w:val="000000" w:themeColor="text1"/>
        </w:rPr>
      </w:pPr>
      <w:r w:rsidRPr="004C0E9A">
        <w:rPr>
          <w:rStyle w:val="pokyny"/>
          <w:color w:val="000000" w:themeColor="text1"/>
        </w:rPr>
        <w:t>poskytuje lidem s postižením specifické benefity ke kompenzaci jejich postižení.</w:t>
      </w:r>
    </w:p>
    <w:p w14:paraId="0B328AA6" w14:textId="77777777" w:rsidR="00992426" w:rsidRPr="004C0E9A" w:rsidRDefault="00992426" w:rsidP="00992426">
      <w:pPr>
        <w:rPr>
          <w:rStyle w:val="pokyny"/>
          <w:b/>
          <w:bCs/>
          <w:color w:val="000000" w:themeColor="text1"/>
        </w:rPr>
      </w:pPr>
    </w:p>
    <w:p w14:paraId="2CFDA96B" w14:textId="77777777" w:rsidR="00992426" w:rsidRPr="00992426" w:rsidRDefault="00992426" w:rsidP="00992426">
      <w:pPr>
        <w:rPr>
          <w:rStyle w:val="pokyny"/>
          <w:bCs/>
          <w:color w:val="000000" w:themeColor="text1"/>
        </w:rPr>
      </w:pPr>
      <w:r w:rsidRPr="00992426">
        <w:rPr>
          <w:rStyle w:val="pokyny"/>
          <w:bCs/>
          <w:color w:val="000000" w:themeColor="text1"/>
        </w:rPr>
        <w:t>Progres v implementaci čl. 27 Úmluvy</w:t>
      </w:r>
    </w:p>
    <w:p w14:paraId="1A5940AB" w14:textId="77777777" w:rsidR="00992426" w:rsidRPr="004C0E9A" w:rsidRDefault="00992426" w:rsidP="00992426">
      <w:pPr>
        <w:rPr>
          <w:rStyle w:val="pokyny"/>
          <w:color w:val="000000" w:themeColor="text1"/>
        </w:rPr>
      </w:pPr>
    </w:p>
    <w:p w14:paraId="6D12AEF1" w14:textId="77777777" w:rsidR="00992426" w:rsidRPr="004C0E9A" w:rsidRDefault="00992426" w:rsidP="00992426">
      <w:pPr>
        <w:rPr>
          <w:rStyle w:val="pokyny"/>
          <w:color w:val="000000" w:themeColor="text1"/>
        </w:rPr>
      </w:pPr>
      <w:r w:rsidRPr="004C0E9A">
        <w:rPr>
          <w:rStyle w:val="pokyny"/>
          <w:color w:val="000000" w:themeColor="text1"/>
        </w:rPr>
        <w:t xml:space="preserve">Cílem je mezi zkoumanými organizacemi dosahovat zvyšujícího průměrného indexu přístupnosti a otevřenosti směrem k ideální hodnotě </w:t>
      </w:r>
      <w:r w:rsidRPr="004C0E9A">
        <w:rPr>
          <w:rStyle w:val="pokyny"/>
          <w:b/>
          <w:bCs/>
          <w:color w:val="000000" w:themeColor="text1"/>
        </w:rPr>
        <w:t>21</w:t>
      </w:r>
      <w:r w:rsidRPr="004C0E9A">
        <w:rPr>
          <w:rStyle w:val="pokyny"/>
          <w:color w:val="000000" w:themeColor="text1"/>
        </w:rPr>
        <w:t xml:space="preserve"> (1 x 11, 1 x 10).</w:t>
      </w:r>
    </w:p>
    <w:p w14:paraId="00CE570E" w14:textId="77777777" w:rsidR="00992426" w:rsidRPr="004C0E9A" w:rsidRDefault="00992426" w:rsidP="00992426">
      <w:pPr>
        <w:rPr>
          <w:rStyle w:val="pokyny"/>
          <w:color w:val="000000" w:themeColor="text1"/>
        </w:rPr>
      </w:pPr>
    </w:p>
    <w:p w14:paraId="06EE5F2C" w14:textId="77777777" w:rsidR="00992426" w:rsidRPr="004C0E9A" w:rsidRDefault="00992426" w:rsidP="00992426">
      <w:pPr>
        <w:pBdr>
          <w:top w:val="single" w:sz="4" w:space="1" w:color="auto"/>
          <w:left w:val="single" w:sz="4" w:space="4" w:color="auto"/>
          <w:bottom w:val="single" w:sz="4" w:space="1" w:color="auto"/>
          <w:right w:val="single" w:sz="4" w:space="4" w:color="auto"/>
        </w:pBdr>
        <w:rPr>
          <w:rStyle w:val="pokyny"/>
          <w:color w:val="000000" w:themeColor="text1"/>
        </w:rPr>
      </w:pPr>
      <w:r w:rsidRPr="004C0E9A">
        <w:rPr>
          <w:rStyle w:val="pokyny"/>
          <w:color w:val="000000" w:themeColor="text1"/>
        </w:rPr>
        <w:t>Komentář</w:t>
      </w:r>
    </w:p>
    <w:p w14:paraId="01C5DF79" w14:textId="77777777" w:rsidR="00992426" w:rsidRPr="004C0E9A" w:rsidRDefault="00992426" w:rsidP="00992426">
      <w:pPr>
        <w:pBdr>
          <w:top w:val="single" w:sz="4" w:space="1" w:color="auto"/>
          <w:left w:val="single" w:sz="4" w:space="4" w:color="auto"/>
          <w:bottom w:val="single" w:sz="4" w:space="1" w:color="auto"/>
          <w:right w:val="single" w:sz="4" w:space="4" w:color="auto"/>
        </w:pBdr>
        <w:rPr>
          <w:rStyle w:val="pokyny"/>
          <w:color w:val="000000" w:themeColor="text1"/>
        </w:rPr>
      </w:pPr>
      <w:r w:rsidRPr="004C0E9A">
        <w:rPr>
          <w:rStyle w:val="pokyny"/>
          <w:color w:val="000000" w:themeColor="text1"/>
        </w:rPr>
        <w:t xml:space="preserve">Index vychází z výzkumů ochránce ve vztahu k zaměstnavatelům ve veřejném sektoru (I. a II.). </w:t>
      </w:r>
      <w:r>
        <w:rPr>
          <w:rStyle w:val="pokyny"/>
          <w:color w:val="000000" w:themeColor="text1"/>
        </w:rPr>
        <w:t xml:space="preserve"> </w:t>
      </w:r>
      <w:r w:rsidRPr="004C0E9A">
        <w:rPr>
          <w:rStyle w:val="pokyny"/>
          <w:color w:val="000000" w:themeColor="text1"/>
        </w:rPr>
        <w:t xml:space="preserve">Je třeba, aby byly výzkumy, nebo jejich specifické části, realizovány opakovaně (každoročně) a současně je potřeba prezentovat výsledky ve formě indexu (sčítání jednotlivých položek). </w:t>
      </w:r>
    </w:p>
    <w:p w14:paraId="1F1AE4B0" w14:textId="77777777" w:rsidR="00992426" w:rsidRPr="004C0E9A" w:rsidRDefault="00992426" w:rsidP="00992426">
      <w:pPr>
        <w:rPr>
          <w:rStyle w:val="pokyny"/>
          <w:b/>
          <w:bCs/>
          <w:color w:val="000000" w:themeColor="text1"/>
        </w:rPr>
      </w:pPr>
    </w:p>
    <w:p w14:paraId="65C3E6DA" w14:textId="77777777" w:rsidR="00992426" w:rsidRDefault="00992426" w:rsidP="00992426">
      <w:pPr>
        <w:rPr>
          <w:rStyle w:val="pokyny"/>
          <w:b/>
          <w:bCs/>
          <w:color w:val="000000" w:themeColor="text1"/>
        </w:rPr>
      </w:pPr>
    </w:p>
    <w:p w14:paraId="277C2728" w14:textId="77777777" w:rsidR="00992426" w:rsidRDefault="00992426" w:rsidP="00992426">
      <w:pPr>
        <w:rPr>
          <w:rStyle w:val="pokyny"/>
          <w:b/>
          <w:bCs/>
          <w:color w:val="000000" w:themeColor="text1"/>
        </w:rPr>
      </w:pPr>
    </w:p>
    <w:p w14:paraId="60F6DF2E" w14:textId="77777777" w:rsidR="00992426" w:rsidRDefault="00992426" w:rsidP="00992426">
      <w:pPr>
        <w:rPr>
          <w:rStyle w:val="pokyny"/>
          <w:b/>
          <w:bCs/>
          <w:color w:val="000000" w:themeColor="text1"/>
        </w:rPr>
      </w:pPr>
    </w:p>
    <w:p w14:paraId="79DCC3A5" w14:textId="77777777" w:rsidR="00992426" w:rsidRDefault="00992426" w:rsidP="00992426">
      <w:pPr>
        <w:rPr>
          <w:rStyle w:val="pokyny"/>
          <w:b/>
          <w:bCs/>
          <w:color w:val="000000" w:themeColor="text1"/>
        </w:rPr>
      </w:pPr>
    </w:p>
    <w:p w14:paraId="254A8C46" w14:textId="77777777" w:rsidR="00992426" w:rsidRDefault="00992426" w:rsidP="00992426">
      <w:pPr>
        <w:rPr>
          <w:rStyle w:val="pokyny"/>
          <w:b/>
          <w:bCs/>
          <w:color w:val="000000" w:themeColor="text1"/>
        </w:rPr>
      </w:pPr>
    </w:p>
    <w:p w14:paraId="37F432AC" w14:textId="77777777" w:rsidR="00992426" w:rsidRDefault="00992426" w:rsidP="00992426">
      <w:pPr>
        <w:rPr>
          <w:rStyle w:val="pokyny"/>
          <w:b/>
          <w:bCs/>
          <w:color w:val="000000" w:themeColor="text1"/>
        </w:rPr>
      </w:pPr>
    </w:p>
    <w:p w14:paraId="2E48B0C6" w14:textId="77777777" w:rsidR="00992426" w:rsidRDefault="00992426" w:rsidP="00992426">
      <w:pPr>
        <w:rPr>
          <w:rStyle w:val="pokyny"/>
          <w:b/>
          <w:bCs/>
          <w:color w:val="000000" w:themeColor="text1"/>
        </w:rPr>
      </w:pPr>
    </w:p>
    <w:p w14:paraId="35B26FED" w14:textId="77777777" w:rsidR="00992426" w:rsidRDefault="00992426" w:rsidP="00992426">
      <w:pPr>
        <w:rPr>
          <w:rStyle w:val="pokyny"/>
          <w:b/>
          <w:bCs/>
          <w:color w:val="000000" w:themeColor="text1"/>
        </w:rPr>
      </w:pPr>
    </w:p>
    <w:p w14:paraId="197CA254" w14:textId="77777777" w:rsidR="00992426" w:rsidRDefault="00992426" w:rsidP="00992426">
      <w:pPr>
        <w:rPr>
          <w:rStyle w:val="pokyny"/>
          <w:b/>
          <w:bCs/>
          <w:color w:val="000000" w:themeColor="text1"/>
        </w:rPr>
      </w:pPr>
    </w:p>
    <w:p w14:paraId="5D6C3214" w14:textId="77777777" w:rsidR="00992426" w:rsidRPr="008060DD" w:rsidRDefault="00992426" w:rsidP="00992426">
      <w:pPr>
        <w:rPr>
          <w:rStyle w:val="pokyny"/>
          <w:b/>
          <w:bCs/>
          <w:color w:val="000000" w:themeColor="text1"/>
        </w:rPr>
      </w:pPr>
      <w:r w:rsidRPr="004C0E9A">
        <w:rPr>
          <w:rStyle w:val="pokyny"/>
          <w:b/>
          <w:bCs/>
          <w:color w:val="000000" w:themeColor="text1"/>
        </w:rPr>
        <w:lastRenderedPageBreak/>
        <w:t>Rozšířená varianta indikátoru</w:t>
      </w:r>
    </w:p>
    <w:p w14:paraId="1ACA00A2" w14:textId="77777777" w:rsidR="00992426" w:rsidRPr="008060DD" w:rsidRDefault="00992426" w:rsidP="00992426">
      <w:pPr>
        <w:rPr>
          <w:rStyle w:val="pokyny"/>
          <w:color w:val="000000" w:themeColor="text1"/>
        </w:rPr>
      </w:pPr>
    </w:p>
    <w:p w14:paraId="528718BF" w14:textId="77777777" w:rsidR="00992426" w:rsidRPr="00992426" w:rsidRDefault="00992426" w:rsidP="00BB41CA">
      <w:pPr>
        <w:jc w:val="both"/>
        <w:rPr>
          <w:rStyle w:val="pokyny"/>
          <w:i/>
          <w:iCs/>
          <w:color w:val="000000" w:themeColor="text1"/>
        </w:rPr>
      </w:pPr>
      <w:r w:rsidRPr="00992426">
        <w:rPr>
          <w:rStyle w:val="pokyny"/>
          <w:i/>
          <w:color w:val="000000" w:themeColor="text1"/>
        </w:rPr>
        <w:t>I. Podíl pracujících lidí s postižením, kteří měli určité či velké potíže s hledáním současného zaměstnání</w:t>
      </w:r>
    </w:p>
    <w:p w14:paraId="23CD45AF" w14:textId="77777777" w:rsidR="00992426" w:rsidRPr="008060DD" w:rsidRDefault="00992426" w:rsidP="00992426">
      <w:pPr>
        <w:rPr>
          <w:rStyle w:val="pokyny"/>
          <w:color w:val="000000" w:themeColor="text1"/>
        </w:rPr>
      </w:pPr>
    </w:p>
    <w:p w14:paraId="14F70C70" w14:textId="77777777" w:rsidR="00992426" w:rsidRPr="008060DD" w:rsidRDefault="00992426" w:rsidP="00992426">
      <w:pPr>
        <w:rPr>
          <w:rStyle w:val="pokyny"/>
          <w:color w:val="000000" w:themeColor="text1"/>
        </w:rPr>
      </w:pPr>
      <w:r w:rsidRPr="008060DD">
        <w:rPr>
          <w:rStyle w:val="pokyny"/>
          <w:color w:val="000000" w:themeColor="text1"/>
        </w:rPr>
        <w:t>40 %</w:t>
      </w:r>
    </w:p>
    <w:p w14:paraId="64A4F190" w14:textId="77777777" w:rsidR="00992426" w:rsidRPr="008060DD" w:rsidRDefault="00992426" w:rsidP="00992426">
      <w:pPr>
        <w:rPr>
          <w:rStyle w:val="pokyny"/>
          <w:color w:val="000000" w:themeColor="text1"/>
        </w:rPr>
      </w:pPr>
    </w:p>
    <w:p w14:paraId="26D40917" w14:textId="77777777" w:rsidR="00992426" w:rsidRPr="00992426" w:rsidRDefault="00992426" w:rsidP="00BB41CA">
      <w:pPr>
        <w:jc w:val="both"/>
        <w:rPr>
          <w:rStyle w:val="pokyny"/>
          <w:i/>
          <w:iCs/>
          <w:color w:val="000000" w:themeColor="text1"/>
        </w:rPr>
      </w:pPr>
      <w:r w:rsidRPr="00992426">
        <w:rPr>
          <w:rStyle w:val="pokyny"/>
          <w:i/>
          <w:color w:val="000000" w:themeColor="text1"/>
        </w:rPr>
        <w:t>II. Podíl pracujících žen s postižením, které měly určité či velké potíže s hledáním současného zaměstnání</w:t>
      </w:r>
    </w:p>
    <w:p w14:paraId="2F6D80C9" w14:textId="77777777" w:rsidR="00992426" w:rsidRPr="008060DD" w:rsidRDefault="00992426" w:rsidP="00992426">
      <w:pPr>
        <w:rPr>
          <w:rStyle w:val="pokyny"/>
          <w:color w:val="000000" w:themeColor="text1"/>
        </w:rPr>
      </w:pPr>
    </w:p>
    <w:p w14:paraId="16F27929" w14:textId="77777777" w:rsidR="00992426" w:rsidRPr="008060DD" w:rsidRDefault="00992426" w:rsidP="00992426">
      <w:pPr>
        <w:rPr>
          <w:rStyle w:val="pokyny"/>
          <w:color w:val="000000" w:themeColor="text1"/>
        </w:rPr>
      </w:pPr>
      <w:r w:rsidRPr="008060DD">
        <w:rPr>
          <w:rStyle w:val="pokyny"/>
          <w:color w:val="000000" w:themeColor="text1"/>
        </w:rPr>
        <w:t>Muži 38,2 %</w:t>
      </w:r>
    </w:p>
    <w:p w14:paraId="6F1EE113" w14:textId="77777777" w:rsidR="00992426" w:rsidRPr="008060DD" w:rsidRDefault="00992426" w:rsidP="00992426">
      <w:pPr>
        <w:rPr>
          <w:rStyle w:val="pokyny"/>
          <w:color w:val="000000" w:themeColor="text1"/>
        </w:rPr>
      </w:pPr>
      <w:r w:rsidRPr="008060DD">
        <w:rPr>
          <w:rStyle w:val="pokyny"/>
          <w:color w:val="000000" w:themeColor="text1"/>
        </w:rPr>
        <w:t>Ženy 43,1 %</w:t>
      </w:r>
    </w:p>
    <w:p w14:paraId="0EAD852D" w14:textId="77777777" w:rsidR="00992426" w:rsidRDefault="00992426" w:rsidP="00992426">
      <w:pPr>
        <w:rPr>
          <w:rStyle w:val="pokyny"/>
          <w:color w:val="000000" w:themeColor="text1"/>
        </w:rPr>
      </w:pPr>
    </w:p>
    <w:p w14:paraId="31DAB8C9" w14:textId="77777777" w:rsidR="00992426" w:rsidRPr="008060DD" w:rsidRDefault="00992426" w:rsidP="00992426">
      <w:pPr>
        <w:rPr>
          <w:rStyle w:val="pokyny"/>
          <w:color w:val="000000" w:themeColor="text1"/>
        </w:rPr>
      </w:pPr>
    </w:p>
    <w:p w14:paraId="2EEFBBA8" w14:textId="77777777" w:rsidR="00992426" w:rsidRPr="00992426" w:rsidRDefault="00992426" w:rsidP="00992426">
      <w:pPr>
        <w:rPr>
          <w:rStyle w:val="Siln"/>
          <w:b w:val="0"/>
        </w:rPr>
      </w:pPr>
      <w:r w:rsidRPr="00992426">
        <w:rPr>
          <w:rStyle w:val="Siln"/>
          <w:b w:val="0"/>
        </w:rPr>
        <w:t>Progres v implementaci čl. 27 Úmluvy</w:t>
      </w:r>
    </w:p>
    <w:p w14:paraId="3DFEDE32" w14:textId="77777777" w:rsidR="00992426" w:rsidRPr="008060DD" w:rsidRDefault="00992426" w:rsidP="00992426">
      <w:pPr>
        <w:pStyle w:val="Seznam"/>
        <w:rPr>
          <w:rStyle w:val="pokyny"/>
          <w:color w:val="000000" w:themeColor="text1"/>
        </w:rPr>
      </w:pPr>
      <w:r w:rsidRPr="008060DD">
        <w:rPr>
          <w:rStyle w:val="pokyny"/>
          <w:color w:val="000000" w:themeColor="text1"/>
        </w:rPr>
        <w:t>Snižuje se podíl pracujících lidí s postižením, kteří měli určité či velké potíže s hledáním současného zaměstnání.</w:t>
      </w:r>
    </w:p>
    <w:p w14:paraId="759EE68C" w14:textId="77777777" w:rsidR="00992426" w:rsidRPr="008060DD" w:rsidRDefault="00992426" w:rsidP="00992426">
      <w:pPr>
        <w:pStyle w:val="Seznam"/>
        <w:rPr>
          <w:rStyle w:val="pokyny"/>
          <w:color w:val="000000" w:themeColor="text1"/>
        </w:rPr>
      </w:pPr>
      <w:r w:rsidRPr="008060DD">
        <w:rPr>
          <w:rStyle w:val="pokyny"/>
          <w:color w:val="000000" w:themeColor="text1"/>
        </w:rPr>
        <w:t xml:space="preserve">Snižuje se podíl pracujících žen s postižením, které měly určité či velké potíže s hledáním současného zaměstnání. </w:t>
      </w:r>
    </w:p>
    <w:p w14:paraId="6BFF8683" w14:textId="77777777" w:rsidR="00992426" w:rsidRPr="008060DD" w:rsidRDefault="00992426" w:rsidP="00992426">
      <w:pPr>
        <w:pStyle w:val="Seznam"/>
        <w:numPr>
          <w:ilvl w:val="0"/>
          <w:numId w:val="0"/>
        </w:numPr>
        <w:rPr>
          <w:rStyle w:val="pokyny"/>
          <w:color w:val="000000" w:themeColor="text1"/>
        </w:rPr>
      </w:pPr>
    </w:p>
    <w:p w14:paraId="44D840F5" w14:textId="77777777" w:rsidR="00992426" w:rsidRPr="008060DD"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spacing w:before="0" w:after="0"/>
        <w:ind w:left="567" w:hanging="567"/>
        <w:rPr>
          <w:rStyle w:val="pokyny"/>
          <w:color w:val="000000" w:themeColor="text1"/>
        </w:rPr>
      </w:pPr>
      <w:r w:rsidRPr="008060DD">
        <w:rPr>
          <w:rStyle w:val="pokyny"/>
          <w:color w:val="000000" w:themeColor="text1"/>
        </w:rPr>
        <w:t>Komentář</w:t>
      </w:r>
    </w:p>
    <w:p w14:paraId="3740CA1A"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 xml:space="preserve">Data jsou z výběrového šetření ČSÚ, 2018. Jedná se o subjektivní perspektivu, kterou nelze objektivně ověřit. Podobně jako v předchozím případě je nutno zjistit, zda se šetření bude opakovat a v jaké periodicitě. Tyto údaje jsou děleny dle pohlaví, ale nikoliv podle (produktivního) věku – viz tabulka 5.2, str. 65. </w:t>
      </w:r>
      <w:r>
        <w:rPr>
          <w:rStyle w:val="pokyny"/>
          <w:color w:val="000000" w:themeColor="text1"/>
        </w:rPr>
        <w:t xml:space="preserve">Bylo by </w:t>
      </w:r>
      <w:r w:rsidRPr="008060DD">
        <w:rPr>
          <w:rStyle w:val="pokyny"/>
          <w:color w:val="000000" w:themeColor="text1"/>
        </w:rPr>
        <w:t>vhodné zjistit u ČSÚ, zda obdobné údaje existují ve vztahu k lidem bez postižení.</w:t>
      </w:r>
    </w:p>
    <w:p w14:paraId="4B960BC8" w14:textId="77777777" w:rsidR="00992426" w:rsidRPr="008060DD" w:rsidRDefault="00992426" w:rsidP="00992426">
      <w:pPr>
        <w:rPr>
          <w:rStyle w:val="Siln"/>
        </w:rPr>
      </w:pPr>
      <w:r w:rsidRPr="008060DD">
        <w:rPr>
          <w:rStyle w:val="Siln"/>
        </w:rPr>
        <w:br w:type="page"/>
      </w:r>
    </w:p>
    <w:p w14:paraId="564EC44F" w14:textId="77777777" w:rsidR="00992426" w:rsidRPr="00992426" w:rsidRDefault="00992426" w:rsidP="00992426">
      <w:pPr>
        <w:pStyle w:val="Nadpis3"/>
        <w:rPr>
          <w:rStyle w:val="Siln"/>
          <w:rFonts w:eastAsiaTheme="minorEastAsia"/>
          <w:b w:val="0"/>
          <w:bCs w:val="0"/>
        </w:rPr>
      </w:pPr>
      <w:bookmarkStart w:id="51" w:name="_Toc81417446"/>
      <w:r w:rsidRPr="00992426">
        <w:rPr>
          <w:rStyle w:val="Siln"/>
          <w:rFonts w:eastAsiaTheme="minorEastAsia"/>
          <w:b w:val="0"/>
          <w:bCs w:val="0"/>
        </w:rPr>
        <w:lastRenderedPageBreak/>
        <w:t>Diskriminace v práci z důvodu postižení</w:t>
      </w:r>
      <w:bookmarkEnd w:id="51"/>
    </w:p>
    <w:p w14:paraId="26CDDD92" w14:textId="77777777" w:rsidR="00992426" w:rsidRPr="008060DD" w:rsidRDefault="00992426" w:rsidP="00992426">
      <w:pPr>
        <w:rPr>
          <w:rStyle w:val="pokyny"/>
          <w:color w:val="000000" w:themeColor="text1"/>
        </w:rPr>
      </w:pPr>
    </w:p>
    <w:p w14:paraId="42B9FFD5" w14:textId="77777777" w:rsidR="00992426" w:rsidRPr="008060DD" w:rsidRDefault="00992426" w:rsidP="00992426">
      <w:pPr>
        <w:rPr>
          <w:rStyle w:val="pokyny"/>
          <w:b/>
          <w:bCs/>
          <w:color w:val="000000" w:themeColor="text1"/>
        </w:rPr>
      </w:pPr>
      <w:r w:rsidRPr="008060DD">
        <w:rPr>
          <w:rStyle w:val="pokyny"/>
          <w:b/>
          <w:bCs/>
          <w:color w:val="000000" w:themeColor="text1"/>
        </w:rPr>
        <w:t>Základní varianta indikátoru</w:t>
      </w:r>
    </w:p>
    <w:p w14:paraId="74986764" w14:textId="77777777" w:rsidR="00992426" w:rsidRPr="008060DD" w:rsidRDefault="00992426" w:rsidP="00992426">
      <w:pPr>
        <w:rPr>
          <w:rStyle w:val="pokyny"/>
          <w:color w:val="000000" w:themeColor="text1"/>
        </w:rPr>
      </w:pPr>
    </w:p>
    <w:p w14:paraId="15C35F71" w14:textId="77777777" w:rsidR="00992426" w:rsidRPr="008060DD" w:rsidRDefault="00992426" w:rsidP="00992426">
      <w:pPr>
        <w:rPr>
          <w:rStyle w:val="pokyny"/>
          <w:color w:val="000000" w:themeColor="text1"/>
        </w:rPr>
      </w:pPr>
      <w:r w:rsidRPr="008060DD">
        <w:rPr>
          <w:rStyle w:val="pokyny"/>
          <w:color w:val="000000" w:themeColor="text1"/>
        </w:rPr>
        <w:t>Podíl pracujících lidí s postižením, kteří se někdy setkali s diskriminací v práci nebo na pracovním trhu</w:t>
      </w:r>
    </w:p>
    <w:p w14:paraId="03312C20" w14:textId="77777777" w:rsidR="00992426" w:rsidRPr="008060DD" w:rsidRDefault="00992426" w:rsidP="00992426">
      <w:pPr>
        <w:pStyle w:val="Zkladntext"/>
        <w:rPr>
          <w:rStyle w:val="pokyny"/>
          <w:color w:val="000000" w:themeColor="text1"/>
        </w:rPr>
      </w:pPr>
      <w:r w:rsidRPr="008060DD">
        <w:rPr>
          <w:rStyle w:val="pokyny"/>
          <w:color w:val="000000" w:themeColor="text1"/>
        </w:rPr>
        <w:t xml:space="preserve">10 </w:t>
      </w:r>
      <w:r w:rsidRPr="008060DD">
        <w:rPr>
          <w:rStyle w:val="Siln"/>
        </w:rPr>
        <w:t>%</w:t>
      </w:r>
      <w:r w:rsidRPr="008060DD">
        <w:rPr>
          <w:rStyle w:val="pokyny"/>
          <w:color w:val="000000" w:themeColor="text1"/>
        </w:rPr>
        <w:t xml:space="preserve"> </w:t>
      </w:r>
    </w:p>
    <w:p w14:paraId="10767256"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t>Muži XX</w:t>
      </w:r>
    </w:p>
    <w:p w14:paraId="2B0D1541"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t>Ženy XX</w:t>
      </w:r>
    </w:p>
    <w:p w14:paraId="2FF51816" w14:textId="77777777" w:rsidR="00992426" w:rsidRPr="008060DD" w:rsidRDefault="00992426" w:rsidP="00992426">
      <w:pPr>
        <w:pStyle w:val="Zkladntext"/>
        <w:rPr>
          <w:rStyle w:val="Siln"/>
        </w:rPr>
      </w:pPr>
      <w:r w:rsidRPr="008060DD">
        <w:rPr>
          <w:rStyle w:val="Siln"/>
        </w:rPr>
        <w:t>Progres v implementaci čl. 27 Úmluvy</w:t>
      </w:r>
    </w:p>
    <w:p w14:paraId="68A9C3AE"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t>Snižuje se podíl pracujících lidí s postižením, kteří tvrdí, že se někdy setkali s diskriminací v práci nebo na pracovním trhu.</w:t>
      </w:r>
    </w:p>
    <w:p w14:paraId="53C4D32F" w14:textId="77777777" w:rsidR="00992426" w:rsidRPr="008060DD" w:rsidRDefault="00992426" w:rsidP="00992426">
      <w:pPr>
        <w:pStyle w:val="Zkladntext"/>
        <w:spacing w:before="0" w:after="0" w:line="240" w:lineRule="auto"/>
        <w:rPr>
          <w:rStyle w:val="pokyny"/>
          <w:color w:val="000000" w:themeColor="text1"/>
        </w:rPr>
      </w:pPr>
    </w:p>
    <w:p w14:paraId="40E69E45"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8060DD">
        <w:rPr>
          <w:rStyle w:val="pokyny"/>
          <w:color w:val="000000" w:themeColor="text1"/>
        </w:rPr>
        <w:t xml:space="preserve">Komentář </w:t>
      </w:r>
    </w:p>
    <w:p w14:paraId="6A52A1FE"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7F1D80CF" w14:textId="13A3B95B"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8060DD">
        <w:rPr>
          <w:rStyle w:val="pokyny"/>
          <w:color w:val="000000" w:themeColor="text1"/>
        </w:rPr>
        <w:t xml:space="preserve">Data jsou opět z výběrového šetření ČSÚ, 2018. Platí tedy znovu již jednou napsané. Nelze zjistit, zda se vztahují k produktivnímu věku a dělení podle pohlaví. Jedná se o subjektivní perspektivu. Bylo by vhodné, aby číslo ideálně klesalo. Zároveň je ale nutné zvyšovat povědomí lidí s postižením o diskriminaci a možnostech obrany. Proto bude-li se číslo v budoucnu zvyšovat, může to být dáno větší informovaností lidí s postižením, nikoliv nutně větším </w:t>
      </w:r>
      <w:r w:rsidR="009D7D58">
        <w:rPr>
          <w:rStyle w:val="pokyny"/>
          <w:color w:val="000000" w:themeColor="text1"/>
        </w:rPr>
        <w:t xml:space="preserve">výskytem </w:t>
      </w:r>
      <w:bookmarkStart w:id="52" w:name="_GoBack"/>
      <w:bookmarkEnd w:id="52"/>
      <w:r w:rsidRPr="008060DD">
        <w:rPr>
          <w:rStyle w:val="pokyny"/>
          <w:color w:val="000000" w:themeColor="text1"/>
        </w:rPr>
        <w:t>diskriminace v sektoru zaměstnání.</w:t>
      </w:r>
    </w:p>
    <w:p w14:paraId="29E388DA" w14:textId="77777777" w:rsidR="00992426" w:rsidRPr="008060DD" w:rsidRDefault="00992426" w:rsidP="00992426">
      <w:pPr>
        <w:pStyle w:val="Zkladntext"/>
        <w:spacing w:before="0" w:after="0" w:line="240" w:lineRule="auto"/>
        <w:rPr>
          <w:rStyle w:val="pokyny"/>
          <w:color w:val="000000" w:themeColor="text1"/>
        </w:rPr>
      </w:pPr>
    </w:p>
    <w:p w14:paraId="1905CC38" w14:textId="77777777" w:rsidR="00992426" w:rsidRPr="008060DD" w:rsidRDefault="00992426" w:rsidP="00992426">
      <w:pPr>
        <w:pStyle w:val="Zkladntext"/>
        <w:spacing w:before="0" w:after="0" w:line="240" w:lineRule="auto"/>
        <w:rPr>
          <w:rStyle w:val="pokyny"/>
          <w:b/>
          <w:bCs/>
          <w:color w:val="000000" w:themeColor="text1"/>
        </w:rPr>
      </w:pPr>
      <w:r w:rsidRPr="008060DD">
        <w:rPr>
          <w:rStyle w:val="pokyny"/>
          <w:b/>
          <w:bCs/>
          <w:color w:val="000000" w:themeColor="text1"/>
        </w:rPr>
        <w:t>Rozšířená varianta indikátoru</w:t>
      </w:r>
    </w:p>
    <w:p w14:paraId="0E783C97" w14:textId="77777777" w:rsidR="00992426" w:rsidRPr="008060DD" w:rsidRDefault="00992426" w:rsidP="00992426">
      <w:pPr>
        <w:pStyle w:val="Zkladntext"/>
        <w:spacing w:before="0" w:after="0" w:line="240" w:lineRule="auto"/>
        <w:rPr>
          <w:rStyle w:val="pokyny"/>
          <w:color w:val="000000" w:themeColor="text1"/>
        </w:rPr>
      </w:pPr>
    </w:p>
    <w:p w14:paraId="35B921D5" w14:textId="77777777" w:rsidR="00992426" w:rsidRPr="00992426" w:rsidRDefault="00992426" w:rsidP="00992426">
      <w:pPr>
        <w:pStyle w:val="Zkladntext"/>
        <w:spacing w:before="0" w:after="0" w:line="240" w:lineRule="auto"/>
        <w:rPr>
          <w:rStyle w:val="pokyny"/>
          <w:i/>
          <w:iCs/>
          <w:color w:val="000000" w:themeColor="text1"/>
        </w:rPr>
      </w:pPr>
      <w:r w:rsidRPr="00992426">
        <w:rPr>
          <w:rStyle w:val="pokyny"/>
          <w:i/>
          <w:color w:val="000000" w:themeColor="text1"/>
        </w:rPr>
        <w:t>I. Podíl lidí, kterým nevadí, že by jeden z kolegů v práci, s nímž jsou v každodenním kontaktu, měl zdravotní postižení</w:t>
      </w:r>
    </w:p>
    <w:p w14:paraId="1A53ABF8" w14:textId="77777777" w:rsidR="00992426" w:rsidRPr="008060DD" w:rsidRDefault="00992426" w:rsidP="00992426">
      <w:pPr>
        <w:pStyle w:val="Zkladntext"/>
        <w:spacing w:before="0" w:after="0" w:line="240" w:lineRule="auto"/>
        <w:rPr>
          <w:rStyle w:val="pokyny"/>
          <w:color w:val="000000" w:themeColor="text1"/>
        </w:rPr>
      </w:pPr>
    </w:p>
    <w:p w14:paraId="16F8F66E"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t>84 %</w:t>
      </w:r>
    </w:p>
    <w:p w14:paraId="68128950" w14:textId="77777777" w:rsidR="00992426" w:rsidRPr="008060DD" w:rsidRDefault="00992426" w:rsidP="00992426">
      <w:pPr>
        <w:pStyle w:val="Zkladntext"/>
        <w:spacing w:before="0" w:after="0" w:line="240" w:lineRule="auto"/>
        <w:rPr>
          <w:rStyle w:val="pokyny"/>
          <w:color w:val="000000" w:themeColor="text1"/>
        </w:rPr>
      </w:pPr>
    </w:p>
    <w:p w14:paraId="2A2ABA79"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8060DD">
        <w:rPr>
          <w:rStyle w:val="pokyny"/>
          <w:color w:val="000000" w:themeColor="text1"/>
        </w:rPr>
        <w:t>Komentář</w:t>
      </w:r>
    </w:p>
    <w:p w14:paraId="444089D3"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p>
    <w:p w14:paraId="7AF443A2"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8060DD">
        <w:rPr>
          <w:rStyle w:val="pokyny"/>
          <w:color w:val="000000" w:themeColor="text1"/>
        </w:rPr>
        <w:t>Údaj pochází z pravidelného šetření Evropské komise (Eurobarometr „Diskriminace“, květen 2019). Eurobarometr dělá komise pravidelně co 3 – 4 roky. Otázky jsou identické. Výsledky Eurobarometru z roku 2015 ale nelze zrovna použít, protože na přítomnost kolegy ze zranitelné skupiny na pracovišti se Komise ptala jinak (nikoliv zda by to nevadilo, ale zda by to bylo respondentovi příjemné, což jsou velmi odlišné otázky). Zvyšující se podíl lidí v této kategorii indikuje větší respekt a toleranci vůči lidem s postižením v oblasti práce.</w:t>
      </w:r>
    </w:p>
    <w:p w14:paraId="07D391D8" w14:textId="77777777" w:rsidR="00992426" w:rsidRDefault="00992426" w:rsidP="00992426">
      <w:pPr>
        <w:pStyle w:val="Zkladntext"/>
        <w:spacing w:before="0" w:after="0" w:line="240" w:lineRule="auto"/>
        <w:rPr>
          <w:rStyle w:val="pokyny"/>
          <w:color w:val="000000" w:themeColor="text1"/>
        </w:rPr>
      </w:pPr>
    </w:p>
    <w:p w14:paraId="5A8EC5D6" w14:textId="77777777" w:rsidR="00992426" w:rsidRPr="00992426" w:rsidRDefault="00992426" w:rsidP="00992426">
      <w:pPr>
        <w:pStyle w:val="Zkladntext"/>
        <w:spacing w:before="0" w:after="0" w:line="240" w:lineRule="auto"/>
        <w:rPr>
          <w:rStyle w:val="pokyny"/>
          <w:i/>
          <w:iCs/>
          <w:color w:val="000000" w:themeColor="text1"/>
        </w:rPr>
      </w:pPr>
      <w:r w:rsidRPr="00992426">
        <w:rPr>
          <w:rStyle w:val="pokyny"/>
          <w:i/>
          <w:color w:val="000000" w:themeColor="text1"/>
        </w:rPr>
        <w:t xml:space="preserve">II. Podíl lidí, kteří se domnívají, že zdravotní postižení (tělesné či mentální) znevýhodňuje uchazeče/uchazečky o zaměstnání v přístupu k zaměstnání v situaci, kdy si zaměstnavatele může vybrat mezi dvěma kandidáty </w:t>
      </w:r>
    </w:p>
    <w:p w14:paraId="32488FB0" w14:textId="77777777" w:rsidR="00992426" w:rsidRPr="008060DD" w:rsidRDefault="00992426" w:rsidP="00992426">
      <w:pPr>
        <w:pStyle w:val="Zkladntext"/>
        <w:spacing w:before="0" w:after="0" w:line="240" w:lineRule="auto"/>
        <w:rPr>
          <w:rStyle w:val="pokyny"/>
          <w:color w:val="000000" w:themeColor="text1"/>
        </w:rPr>
      </w:pPr>
    </w:p>
    <w:p w14:paraId="24BD30D3"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t>50 % – 2012</w:t>
      </w:r>
    </w:p>
    <w:p w14:paraId="0906D8FC"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t>57 % – 2015</w:t>
      </w:r>
    </w:p>
    <w:p w14:paraId="66BEF637" w14:textId="77777777" w:rsidR="00992426" w:rsidRPr="008060DD" w:rsidRDefault="00992426" w:rsidP="00992426">
      <w:pPr>
        <w:pStyle w:val="Zkladntext"/>
        <w:spacing w:before="0" w:after="0" w:line="240" w:lineRule="auto"/>
        <w:rPr>
          <w:rStyle w:val="pokyny"/>
          <w:color w:val="000000" w:themeColor="text1"/>
        </w:rPr>
      </w:pPr>
      <w:r w:rsidRPr="008060DD">
        <w:rPr>
          <w:rStyle w:val="pokyny"/>
          <w:color w:val="000000" w:themeColor="text1"/>
        </w:rPr>
        <w:lastRenderedPageBreak/>
        <w:t xml:space="preserve">48 % – 2019 </w:t>
      </w:r>
    </w:p>
    <w:p w14:paraId="46F87E70" w14:textId="77777777" w:rsidR="00992426" w:rsidRPr="008060DD" w:rsidRDefault="00992426" w:rsidP="00992426">
      <w:pPr>
        <w:pStyle w:val="Zkladntext"/>
        <w:spacing w:before="0" w:after="0" w:line="240" w:lineRule="auto"/>
        <w:rPr>
          <w:rStyle w:val="pokyny"/>
          <w:color w:val="000000" w:themeColor="text1"/>
        </w:rPr>
      </w:pPr>
    </w:p>
    <w:p w14:paraId="46175C17"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8060DD">
        <w:rPr>
          <w:rStyle w:val="pokyny"/>
          <w:color w:val="000000" w:themeColor="text1"/>
        </w:rPr>
        <w:t>Komentář</w:t>
      </w:r>
    </w:p>
    <w:p w14:paraId="0934AA30"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spacing w:before="0" w:after="0" w:line="240" w:lineRule="auto"/>
        <w:rPr>
          <w:rStyle w:val="pokyny"/>
          <w:color w:val="000000" w:themeColor="text1"/>
        </w:rPr>
      </w:pPr>
      <w:r w:rsidRPr="008060DD">
        <w:rPr>
          <w:rStyle w:val="pokyny"/>
          <w:color w:val="000000" w:themeColor="text1"/>
        </w:rPr>
        <w:t xml:space="preserve">Jedná se o údaj, který pravidelně měří Evropské komise v rámci šetření Eurobarometr. Dnes tak můžeme porovnat údaje ze tří šetření. Otázka se od roku 2012 nezměnila, podíl lidí však vykazoval velké rozdíly. Údaj nelze interpretovat izolovaně ale v souvislosti s dalšími údaji z oblasti diskriminace (zkušenost lidí s postižením s diskriminací klesá, inkluzivita pracovního prostředí v postojích roste) a s ohledem na hospodářskou situaci v dané zemi. Vysoký údaj z roku 2015 může být dokladem doznívající světové hospodářské recese z let 2008 - 2013. </w:t>
      </w:r>
    </w:p>
    <w:p w14:paraId="4471A005" w14:textId="77777777" w:rsidR="00992426" w:rsidRPr="008060DD" w:rsidRDefault="00992426" w:rsidP="00992426">
      <w:pPr>
        <w:pStyle w:val="Zkladntext"/>
        <w:spacing w:before="0" w:after="0" w:line="240" w:lineRule="auto"/>
        <w:rPr>
          <w:rStyle w:val="pokyny"/>
          <w:color w:val="000000" w:themeColor="text1"/>
        </w:rPr>
      </w:pPr>
    </w:p>
    <w:p w14:paraId="5614BC94" w14:textId="77777777" w:rsidR="00992426" w:rsidRPr="00992426" w:rsidRDefault="00992426" w:rsidP="00992426">
      <w:pPr>
        <w:pStyle w:val="Zkladntext"/>
        <w:spacing w:before="0" w:after="0" w:line="240" w:lineRule="auto"/>
        <w:rPr>
          <w:rStyle w:val="pokyny"/>
          <w:i/>
          <w:iCs/>
          <w:color w:val="000000" w:themeColor="text1"/>
        </w:rPr>
      </w:pPr>
      <w:r w:rsidRPr="00992426">
        <w:rPr>
          <w:rStyle w:val="pokyny"/>
          <w:i/>
          <w:color w:val="000000" w:themeColor="text1"/>
        </w:rPr>
        <w:t>III. Podíl stížností na diskriminaci z důvodu postižení v zaměstnání oproti ostatním diskriminačním důvodům v oblasti zaměstnání (veřejný ochránce práv, Státní úřad inspekce práce)</w:t>
      </w:r>
    </w:p>
    <w:p w14:paraId="74934EA8" w14:textId="77777777" w:rsidR="00992426" w:rsidRPr="008060DD" w:rsidRDefault="00992426" w:rsidP="00992426">
      <w:pPr>
        <w:pStyle w:val="Zkladntext"/>
        <w:spacing w:before="0" w:after="0" w:line="240" w:lineRule="auto"/>
        <w:rPr>
          <w:rStyle w:val="pokyny"/>
          <w:i/>
          <w:iCs/>
          <w:color w:val="000000" w:themeColor="text1"/>
        </w:rPr>
      </w:pPr>
    </w:p>
    <w:p w14:paraId="523D7B84" w14:textId="77777777" w:rsidR="00992426" w:rsidRDefault="00992426" w:rsidP="00992426">
      <w:pPr>
        <w:pStyle w:val="Zkladntext"/>
        <w:spacing w:before="0" w:after="0" w:line="240" w:lineRule="auto"/>
        <w:rPr>
          <w:rStyle w:val="pokyny"/>
          <w:color w:val="000000" w:themeColor="text1"/>
        </w:rPr>
      </w:pPr>
      <w:r>
        <w:rPr>
          <w:rStyle w:val="pokyny"/>
          <w:color w:val="000000" w:themeColor="text1"/>
        </w:rPr>
        <w:t xml:space="preserve">SÚIP - XX </w:t>
      </w:r>
      <w:r w:rsidRPr="0056495E">
        <w:rPr>
          <w:rStyle w:val="pokyny"/>
          <w:color w:val="000000" w:themeColor="text1"/>
        </w:rPr>
        <w:t>%</w:t>
      </w:r>
    </w:p>
    <w:p w14:paraId="1BB853CB" w14:textId="77777777" w:rsidR="00992426" w:rsidRPr="008060DD" w:rsidRDefault="00992426" w:rsidP="00992426">
      <w:pPr>
        <w:pStyle w:val="Zkladntext"/>
        <w:spacing w:before="0" w:after="0" w:line="240" w:lineRule="auto"/>
        <w:rPr>
          <w:rStyle w:val="pokyny"/>
          <w:color w:val="000000" w:themeColor="text1"/>
        </w:rPr>
      </w:pPr>
      <w:r>
        <w:rPr>
          <w:rStyle w:val="pokyny"/>
          <w:color w:val="000000" w:themeColor="text1"/>
        </w:rPr>
        <w:t xml:space="preserve">VOP - </w:t>
      </w:r>
      <w:r w:rsidRPr="008060DD">
        <w:rPr>
          <w:rStyle w:val="pokyny"/>
          <w:color w:val="000000" w:themeColor="text1"/>
        </w:rPr>
        <w:t>XX %</w:t>
      </w:r>
    </w:p>
    <w:p w14:paraId="09734840" w14:textId="77777777" w:rsidR="00992426" w:rsidRPr="008060DD" w:rsidRDefault="00992426" w:rsidP="00992426">
      <w:pPr>
        <w:pStyle w:val="Zkladntext"/>
        <w:spacing w:before="0" w:after="0" w:line="240" w:lineRule="auto"/>
        <w:rPr>
          <w:rStyle w:val="pokyny"/>
          <w:color w:val="000000" w:themeColor="text1"/>
        </w:rPr>
      </w:pPr>
    </w:p>
    <w:p w14:paraId="26A766E4"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Komentář</w:t>
      </w:r>
    </w:p>
    <w:p w14:paraId="7F22EFAC" w14:textId="77777777" w:rsidR="00992426" w:rsidRPr="008060DD" w:rsidRDefault="00992426" w:rsidP="00992426">
      <w:pPr>
        <w:pStyle w:val="Zkladntext"/>
        <w:pBdr>
          <w:top w:val="single" w:sz="4" w:space="1" w:color="auto"/>
          <w:left w:val="single" w:sz="4" w:space="4" w:color="auto"/>
          <w:bottom w:val="single" w:sz="4" w:space="1" w:color="auto"/>
          <w:right w:val="single" w:sz="4" w:space="4" w:color="auto"/>
        </w:pBdr>
        <w:rPr>
          <w:rStyle w:val="pokyny"/>
          <w:color w:val="000000" w:themeColor="text1"/>
        </w:rPr>
      </w:pPr>
      <w:r w:rsidRPr="008060DD">
        <w:rPr>
          <w:rStyle w:val="pokyny"/>
          <w:color w:val="000000" w:themeColor="text1"/>
        </w:rPr>
        <w:t>Počet stížností na diskriminaci z důvodu postižení v oblasti zaměstnání dlouhodobě sleduje ochránce a Státní úřad inspekce práce (zřejmě včetně důvodu „zdravotní stav“). Podobně ale platí, že vysoký počet stížností či podnětů nemusí znamenat nutně diskriminaci ve společnosti – pouze indikovat informovanost určité skupiny, co je diskriminace a kde mohu podat stížnost. Meziroční srovnání stížností tak nemusí být vypovídající o naplňování čl. 27 Úmluvy. Navrhujeme přesto sledovat podíl stížností z důvodu postižení v oblasti zaměstnání ve srovnání s ostatními diskriminační důvody – srovnání s ostatními zranitelnými skupinami může vypovídat o emancipovanosti komunity lidí s postižením (nebo naopak). Vnímáme zvyšující se podíl stížností k institucím jako pozitivní změnu (souvisí i s naplněním čl. 5 a 13 Úmluvy). Zároveň nenavrhuji sledovat počet či podíl soudních případů diskriminace</w:t>
      </w:r>
      <w:r>
        <w:rPr>
          <w:rStyle w:val="pokyny"/>
          <w:color w:val="000000" w:themeColor="text1"/>
        </w:rPr>
        <w:t xml:space="preserve"> v zaměstnávání z důvodu postižení</w:t>
      </w:r>
      <w:r w:rsidRPr="008060DD">
        <w:rPr>
          <w:rStyle w:val="pokyny"/>
          <w:color w:val="000000" w:themeColor="text1"/>
        </w:rPr>
        <w:t xml:space="preserve"> ze všech případů diskriminace, jelikož se jedná o jednotky případů (2010 – 2014 – 2 případy, 2015 – 2019 – 6 případů).</w:t>
      </w:r>
    </w:p>
    <w:p w14:paraId="7A51982F" w14:textId="77777777" w:rsidR="00992426" w:rsidRPr="008060DD" w:rsidRDefault="00992426" w:rsidP="00992426">
      <w:pPr>
        <w:pStyle w:val="Zkladntext"/>
        <w:spacing w:before="0" w:after="0" w:line="240" w:lineRule="auto"/>
        <w:rPr>
          <w:rStyle w:val="pokyny"/>
          <w:color w:val="000000" w:themeColor="text1"/>
        </w:rPr>
      </w:pPr>
    </w:p>
    <w:p w14:paraId="27484946" w14:textId="77777777" w:rsidR="00992426" w:rsidRPr="008060DD" w:rsidRDefault="00992426" w:rsidP="00992426">
      <w:pPr>
        <w:pStyle w:val="Zkladntext"/>
        <w:spacing w:before="0" w:after="0" w:line="240" w:lineRule="auto"/>
        <w:rPr>
          <w:rStyle w:val="pokyny"/>
          <w:b/>
          <w:bCs/>
          <w:color w:val="000000" w:themeColor="text1"/>
        </w:rPr>
      </w:pPr>
      <w:r w:rsidRPr="008060DD">
        <w:rPr>
          <w:rStyle w:val="pokyny"/>
          <w:b/>
          <w:bCs/>
          <w:color w:val="000000" w:themeColor="text1"/>
        </w:rPr>
        <w:t>Progres v implementaci čl. 27 Úmluvy</w:t>
      </w:r>
    </w:p>
    <w:p w14:paraId="1B2FC232" w14:textId="77777777" w:rsidR="00992426" w:rsidRPr="008060DD" w:rsidRDefault="00992426" w:rsidP="00992426">
      <w:pPr>
        <w:pStyle w:val="Seznam"/>
        <w:rPr>
          <w:rStyle w:val="pokyny"/>
          <w:color w:val="000000" w:themeColor="text1"/>
        </w:rPr>
      </w:pPr>
      <w:r w:rsidRPr="008060DD">
        <w:rPr>
          <w:rStyle w:val="pokyny"/>
          <w:color w:val="000000" w:themeColor="text1"/>
        </w:rPr>
        <w:t>Zvyšuje se podíl lidí</w:t>
      </w:r>
      <w:r w:rsidRPr="008060DD">
        <w:t xml:space="preserve">, </w:t>
      </w:r>
      <w:r w:rsidRPr="008060DD">
        <w:rPr>
          <w:rStyle w:val="pokyny"/>
          <w:color w:val="000000" w:themeColor="text1"/>
        </w:rPr>
        <w:t>kterým nevadí, že by jeden z kolegů v práci, s nímž jsou v každodenním kontaktu, měl zdravotní postižení.</w:t>
      </w:r>
    </w:p>
    <w:p w14:paraId="1239C1BF" w14:textId="77777777" w:rsidR="00992426" w:rsidRPr="008060DD" w:rsidRDefault="00992426" w:rsidP="00992426">
      <w:pPr>
        <w:pStyle w:val="Seznam"/>
        <w:rPr>
          <w:rStyle w:val="pokyny"/>
          <w:color w:val="000000" w:themeColor="text1"/>
        </w:rPr>
      </w:pPr>
      <w:r w:rsidRPr="008060DD">
        <w:rPr>
          <w:rStyle w:val="pokyny"/>
          <w:color w:val="000000" w:themeColor="text1"/>
        </w:rPr>
        <w:t>Snižuje se podíl lidí, kteří se domnívají, že zdravotní postižení (tělesné či mentální) znevýhodňuje uchazeče/uchazečky o zaměstnání v přístupu k zaměstnání.</w:t>
      </w:r>
    </w:p>
    <w:p w14:paraId="4CCA7E19" w14:textId="77777777" w:rsidR="00992426" w:rsidRPr="008060DD" w:rsidRDefault="00992426" w:rsidP="00992426">
      <w:pPr>
        <w:pStyle w:val="Seznam"/>
        <w:rPr>
          <w:rStyle w:val="pokyny"/>
          <w:color w:val="000000" w:themeColor="text1"/>
        </w:rPr>
      </w:pPr>
      <w:r w:rsidRPr="008060DD">
        <w:rPr>
          <w:rStyle w:val="pokyny"/>
          <w:color w:val="000000" w:themeColor="text1"/>
        </w:rPr>
        <w:t>Zvyšuje se podíl stížností na diskriminaci z důvodu postižení oproti ostatním diskriminačním důvodům v oblasti zaměstnání (veřejný ochránce práv, Státní úřad inspekce práce).</w:t>
      </w:r>
    </w:p>
    <w:p w14:paraId="0F546A63" w14:textId="77777777" w:rsidR="00992426" w:rsidRPr="008060DD" w:rsidRDefault="00992426" w:rsidP="00992426">
      <w:pPr>
        <w:pStyle w:val="Seznam"/>
        <w:numPr>
          <w:ilvl w:val="0"/>
          <w:numId w:val="0"/>
        </w:numPr>
        <w:ind w:left="567"/>
        <w:rPr>
          <w:rStyle w:val="pokyny"/>
          <w:color w:val="000000" w:themeColor="text1"/>
        </w:rPr>
      </w:pPr>
    </w:p>
    <w:p w14:paraId="3482219F" w14:textId="77777777" w:rsidR="00992426" w:rsidRPr="008060DD" w:rsidRDefault="00992426" w:rsidP="00992426">
      <w:pPr>
        <w:rPr>
          <w:rStyle w:val="Siln"/>
          <w:b w:val="0"/>
          <w:bCs w:val="0"/>
          <w:color w:val="000000" w:themeColor="text1"/>
        </w:rPr>
      </w:pPr>
      <w:r w:rsidRPr="008060DD">
        <w:rPr>
          <w:rStyle w:val="Siln"/>
        </w:rPr>
        <w:br w:type="page"/>
      </w:r>
    </w:p>
    <w:p w14:paraId="7F509970" w14:textId="77777777" w:rsidR="00992426" w:rsidRPr="00992426" w:rsidRDefault="00992426" w:rsidP="00992426">
      <w:pPr>
        <w:pStyle w:val="Nadpis3"/>
        <w:rPr>
          <w:rStyle w:val="Siln"/>
          <w:rFonts w:eastAsiaTheme="minorEastAsia"/>
          <w:b w:val="0"/>
          <w:bCs w:val="0"/>
        </w:rPr>
      </w:pPr>
      <w:bookmarkStart w:id="53" w:name="_Toc81417447"/>
      <w:r w:rsidRPr="00992426">
        <w:rPr>
          <w:rStyle w:val="Siln"/>
          <w:rFonts w:eastAsiaTheme="minorEastAsia"/>
          <w:b w:val="0"/>
          <w:bCs w:val="0"/>
        </w:rPr>
        <w:lastRenderedPageBreak/>
        <w:t>Systém státní podpory zaměstnávání lidí s postižením</w:t>
      </w:r>
      <w:bookmarkEnd w:id="53"/>
    </w:p>
    <w:p w14:paraId="521B653B" w14:textId="77777777" w:rsidR="00992426" w:rsidRPr="00992426" w:rsidRDefault="00992426" w:rsidP="00992426">
      <w:pPr>
        <w:pStyle w:val="Seznam"/>
        <w:numPr>
          <w:ilvl w:val="0"/>
          <w:numId w:val="0"/>
        </w:numPr>
        <w:ind w:left="567" w:hanging="567"/>
        <w:rPr>
          <w:rStyle w:val="Siln"/>
        </w:rPr>
      </w:pPr>
      <w:r w:rsidRPr="00992426">
        <w:rPr>
          <w:rStyle w:val="Siln"/>
        </w:rPr>
        <w:t>Základní varianta indikátoru</w:t>
      </w:r>
    </w:p>
    <w:p w14:paraId="000778E8" w14:textId="77777777" w:rsidR="00992426" w:rsidRPr="00992426" w:rsidRDefault="00992426" w:rsidP="00992426">
      <w:pPr>
        <w:pStyle w:val="Zkladntext"/>
        <w:rPr>
          <w:rStyle w:val="Siln"/>
          <w:b w:val="0"/>
        </w:rPr>
      </w:pPr>
      <w:r w:rsidRPr="00992426">
        <w:rPr>
          <w:rStyle w:val="Siln"/>
          <w:b w:val="0"/>
        </w:rPr>
        <w:t>Podíl nezaměstnaných osob v populaci lidí bez postižení ve srovnání s podílem nezaměstnaných osob s postižením v populaci lidí s postižením.</w:t>
      </w:r>
    </w:p>
    <w:p w14:paraId="39B6020C" w14:textId="77777777" w:rsidR="00992426" w:rsidRPr="00992426" w:rsidRDefault="00992426" w:rsidP="00992426">
      <w:pPr>
        <w:pStyle w:val="Zkladntext"/>
        <w:rPr>
          <w:rStyle w:val="Siln"/>
          <w:b w:val="0"/>
        </w:rPr>
      </w:pPr>
      <w:r w:rsidRPr="00992426">
        <w:rPr>
          <w:rStyle w:val="Siln"/>
          <w:b w:val="0"/>
        </w:rPr>
        <w:t>Progres v implementaci čl. 27 Úmluvy</w:t>
      </w:r>
    </w:p>
    <w:p w14:paraId="16794ED2" w14:textId="77777777" w:rsidR="00992426" w:rsidRPr="00992426" w:rsidRDefault="00992426" w:rsidP="00992426">
      <w:pPr>
        <w:pStyle w:val="Seznam"/>
        <w:numPr>
          <w:ilvl w:val="0"/>
          <w:numId w:val="0"/>
        </w:numPr>
        <w:rPr>
          <w:rStyle w:val="Siln"/>
          <w:b w:val="0"/>
        </w:rPr>
      </w:pPr>
      <w:r w:rsidRPr="00992426">
        <w:rPr>
          <w:rStyle w:val="Siln"/>
          <w:b w:val="0"/>
        </w:rPr>
        <w:t>Podíl lidí s postižením v produktivním věku mezi uchazeči o zaměstnání z celkové populace lidí s postižením je srovnatelný s podílem lidí bez postižení v produktivním věku mezi uchazeči o zaměstnání z celkové populace lidí bez postižení.</w:t>
      </w:r>
    </w:p>
    <w:p w14:paraId="46D181D7" w14:textId="77777777" w:rsidR="00992426" w:rsidRPr="00992426" w:rsidRDefault="00992426" w:rsidP="00992426">
      <w:pPr>
        <w:pStyle w:val="Seznam"/>
        <w:numPr>
          <w:ilvl w:val="0"/>
          <w:numId w:val="0"/>
        </w:numPr>
        <w:pBdr>
          <w:top w:val="single" w:sz="4" w:space="1" w:color="auto"/>
          <w:left w:val="single" w:sz="4" w:space="4" w:color="auto"/>
          <w:bottom w:val="single" w:sz="4" w:space="1" w:color="auto"/>
          <w:right w:val="single" w:sz="4" w:space="4" w:color="auto"/>
        </w:pBdr>
        <w:ind w:left="567" w:hanging="567"/>
        <w:rPr>
          <w:rStyle w:val="Siln"/>
          <w:b w:val="0"/>
        </w:rPr>
      </w:pPr>
      <w:r w:rsidRPr="00992426">
        <w:rPr>
          <w:rStyle w:val="Siln"/>
          <w:b w:val="0"/>
        </w:rPr>
        <w:t>Komentář</w:t>
      </w:r>
    </w:p>
    <w:p w14:paraId="6E6EEDBE" w14:textId="77777777" w:rsidR="00992426" w:rsidRPr="00992426" w:rsidRDefault="00992426" w:rsidP="00992426">
      <w:pPr>
        <w:pStyle w:val="Zkladntext"/>
        <w:pBdr>
          <w:top w:val="single" w:sz="4" w:space="1" w:color="auto"/>
          <w:left w:val="single" w:sz="4" w:space="4" w:color="auto"/>
          <w:bottom w:val="single" w:sz="4" w:space="1" w:color="auto"/>
          <w:right w:val="single" w:sz="4" w:space="4" w:color="auto"/>
        </w:pBdr>
        <w:rPr>
          <w:rStyle w:val="Siln"/>
          <w:b w:val="0"/>
        </w:rPr>
      </w:pPr>
      <w:r w:rsidRPr="00992426">
        <w:rPr>
          <w:rStyle w:val="Siln"/>
          <w:b w:val="0"/>
        </w:rPr>
        <w:t xml:space="preserve">Pro získání dat bude nutné kontaktovat GŘ ÚP a kombinovat s daty z ČSÚ. Výsledkový indikátor bude možné získat následovně: populace lidí bez postižení v produktivním věku a podíl nezaměstnaných v ní (bez lidí s postižením), kvalifikovaný odhad populace lidí s postižením v produktivním věku a nezaměstnanost lidí s postižením v ní (nutno využít data o OZP). </w:t>
      </w:r>
    </w:p>
    <w:p w14:paraId="30A38DA8" w14:textId="77777777" w:rsidR="00992426" w:rsidRPr="00992426" w:rsidRDefault="00992426" w:rsidP="00992426">
      <w:pPr>
        <w:pStyle w:val="Seznam"/>
        <w:numPr>
          <w:ilvl w:val="0"/>
          <w:numId w:val="0"/>
        </w:numPr>
        <w:ind w:left="567" w:hanging="567"/>
        <w:rPr>
          <w:rStyle w:val="Siln"/>
          <w:b w:val="0"/>
        </w:rPr>
      </w:pPr>
    </w:p>
    <w:p w14:paraId="0D7E34C9" w14:textId="77777777" w:rsidR="00992426" w:rsidRPr="00992426" w:rsidRDefault="00992426" w:rsidP="00992426">
      <w:pPr>
        <w:pStyle w:val="Seznam"/>
        <w:numPr>
          <w:ilvl w:val="0"/>
          <w:numId w:val="0"/>
        </w:numPr>
        <w:ind w:left="567" w:hanging="567"/>
        <w:rPr>
          <w:rStyle w:val="Siln"/>
        </w:rPr>
      </w:pPr>
      <w:r w:rsidRPr="00992426">
        <w:rPr>
          <w:rStyle w:val="Siln"/>
        </w:rPr>
        <w:t>Rozšířená varianta indikátoru</w:t>
      </w:r>
    </w:p>
    <w:p w14:paraId="3DBBB2D3" w14:textId="77777777" w:rsidR="00992426" w:rsidRPr="00992426" w:rsidRDefault="00992426" w:rsidP="00992426">
      <w:pPr>
        <w:pStyle w:val="Zkladntext"/>
        <w:rPr>
          <w:rStyle w:val="Siln"/>
          <w:b w:val="0"/>
          <w:i/>
          <w:iCs/>
        </w:rPr>
      </w:pPr>
      <w:r w:rsidRPr="00992426">
        <w:rPr>
          <w:rStyle w:val="Siln"/>
          <w:b w:val="0"/>
          <w:i/>
          <w:iCs/>
        </w:rPr>
        <w:t>I. Počet uchazečů na jedno volné pracovní ve srovnání s počtem uchazečů na volné pracovní místo vhodné pro osobu s postižením</w:t>
      </w:r>
    </w:p>
    <w:p w14:paraId="64C81E25" w14:textId="77777777" w:rsidR="00992426" w:rsidRPr="00992426" w:rsidRDefault="00992426" w:rsidP="00992426">
      <w:pPr>
        <w:pStyle w:val="Zkladntext"/>
        <w:rPr>
          <w:rStyle w:val="Siln"/>
          <w:b w:val="0"/>
        </w:rPr>
      </w:pPr>
      <w:r w:rsidRPr="00992426">
        <w:rPr>
          <w:rStyle w:val="Siln"/>
          <w:b w:val="0"/>
        </w:rPr>
        <w:t>9/2020</w:t>
      </w:r>
    </w:p>
    <w:p w14:paraId="6C3954F2" w14:textId="77777777" w:rsidR="00992426" w:rsidRPr="00992426" w:rsidRDefault="00992426" w:rsidP="00992426">
      <w:pPr>
        <w:pStyle w:val="Zkladntext"/>
        <w:rPr>
          <w:rStyle w:val="Siln"/>
          <w:b w:val="0"/>
        </w:rPr>
      </w:pPr>
      <w:r w:rsidRPr="00992426">
        <w:rPr>
          <w:rStyle w:val="Siln"/>
          <w:b w:val="0"/>
        </w:rPr>
        <w:t>1 volné pracovní místo – 0,9 uchazeče o zaměstnání</w:t>
      </w:r>
    </w:p>
    <w:p w14:paraId="6E7CAA24" w14:textId="77777777" w:rsidR="00992426" w:rsidRPr="00992426" w:rsidRDefault="00992426" w:rsidP="00992426">
      <w:pPr>
        <w:pStyle w:val="Zkladntext"/>
        <w:rPr>
          <w:rStyle w:val="Siln"/>
          <w:b w:val="0"/>
        </w:rPr>
      </w:pPr>
      <w:r w:rsidRPr="00992426">
        <w:rPr>
          <w:rStyle w:val="Siln"/>
          <w:b w:val="0"/>
        </w:rPr>
        <w:t>1 volné pracovní místo vhodné pro osobu s postižením – 3,2 uchazeče o zaměstnání s postižením</w:t>
      </w:r>
    </w:p>
    <w:p w14:paraId="3F982C60" w14:textId="77777777" w:rsidR="00992426" w:rsidRPr="00992426" w:rsidRDefault="00992426" w:rsidP="00992426">
      <w:pPr>
        <w:pStyle w:val="Zkladntext"/>
        <w:rPr>
          <w:rStyle w:val="Siln"/>
          <w:b w:val="0"/>
        </w:rPr>
      </w:pPr>
      <w:r w:rsidRPr="00992426">
        <w:rPr>
          <w:rStyle w:val="Siln"/>
          <w:b w:val="0"/>
        </w:rPr>
        <w:t>Sledujeme počet uchazečů o zaměstnání na jedno volné pracovní místo ve srovnání s počty uchazečů o zaměstnání s postižením na jedno volné pracovní místo vhodné pro osobu s postižením.</w:t>
      </w:r>
    </w:p>
    <w:p w14:paraId="4BEB3E1C" w14:textId="77777777" w:rsidR="00992426" w:rsidRPr="00992426" w:rsidRDefault="00992426" w:rsidP="00992426">
      <w:pPr>
        <w:pStyle w:val="Zkladntext"/>
        <w:rPr>
          <w:rStyle w:val="Siln"/>
          <w:b w:val="0"/>
          <w:i/>
          <w:iCs/>
        </w:rPr>
      </w:pPr>
      <w:r w:rsidRPr="00992426">
        <w:rPr>
          <w:rStyle w:val="Siln"/>
          <w:b w:val="0"/>
          <w:i/>
          <w:iCs/>
        </w:rPr>
        <w:t>II. Délka evidence uchazečů s postižením oproti délce evidence uchazečů bez postižení za určité období</w:t>
      </w:r>
    </w:p>
    <w:p w14:paraId="1ABA8CD8" w14:textId="77777777" w:rsidR="00992426" w:rsidRPr="00992426" w:rsidRDefault="00992426" w:rsidP="00992426">
      <w:pPr>
        <w:pStyle w:val="Zkladntext"/>
        <w:rPr>
          <w:rStyle w:val="Siln"/>
          <w:b w:val="0"/>
        </w:rPr>
      </w:pPr>
      <w:r w:rsidRPr="00992426">
        <w:rPr>
          <w:rStyle w:val="Siln"/>
          <w:b w:val="0"/>
        </w:rPr>
        <w:t>Sledujeme dobu, po kterou je uchazeč s postižením v evidenci ÚP v porovnání s uchazečem bez postižení za určité období - a tím zkrácení nebo prodloužení doby, po kterou uchazeč s postižením „visí v systému“ a nemá práci.</w:t>
      </w:r>
    </w:p>
    <w:p w14:paraId="01B9F7B0" w14:textId="77777777" w:rsidR="00992426" w:rsidRPr="00992426" w:rsidRDefault="00992426" w:rsidP="00992426">
      <w:pPr>
        <w:pStyle w:val="Zkladntext"/>
        <w:rPr>
          <w:i/>
          <w:iCs/>
        </w:rPr>
      </w:pPr>
      <w:r w:rsidRPr="00992426">
        <w:rPr>
          <w:rStyle w:val="Siln"/>
          <w:b w:val="0"/>
          <w:i/>
          <w:iCs/>
        </w:rPr>
        <w:t xml:space="preserve">III. </w:t>
      </w:r>
      <w:r w:rsidRPr="00992426">
        <w:rPr>
          <w:i/>
          <w:iCs/>
        </w:rPr>
        <w:t>Podíl nově nezaměstnaných lidí s postižením oproti podílu nově nezaměstnaných bez postižení za určité období</w:t>
      </w:r>
    </w:p>
    <w:p w14:paraId="565FDDC6" w14:textId="77777777" w:rsidR="00992426" w:rsidRPr="00992426" w:rsidRDefault="00992426" w:rsidP="00992426">
      <w:pPr>
        <w:pStyle w:val="Zkladntext"/>
        <w:rPr>
          <w:rStyle w:val="Siln"/>
          <w:b w:val="0"/>
        </w:rPr>
      </w:pPr>
      <w:r w:rsidRPr="00992426">
        <w:rPr>
          <w:rStyle w:val="Siln"/>
          <w:b w:val="0"/>
        </w:rPr>
        <w:lastRenderedPageBreak/>
        <w:t>Sledujeme počet nově nezaměstnaných lidí s postižením v evidenci ÚP v porovnání s nově nezaměstnanými lidmi bez postižení v určitém období - a tím nárůst x pokles nezaměstnanosti lidí s postižením.</w:t>
      </w:r>
    </w:p>
    <w:p w14:paraId="36CBCFAC" w14:textId="77777777" w:rsidR="00992426" w:rsidRPr="00992426" w:rsidRDefault="00992426" w:rsidP="00992426">
      <w:pPr>
        <w:pStyle w:val="Seznam"/>
        <w:numPr>
          <w:ilvl w:val="0"/>
          <w:numId w:val="0"/>
        </w:numPr>
        <w:ind w:left="567" w:hanging="567"/>
        <w:rPr>
          <w:rStyle w:val="Siln"/>
          <w:b w:val="0"/>
        </w:rPr>
      </w:pPr>
      <w:r w:rsidRPr="00992426">
        <w:rPr>
          <w:rStyle w:val="Siln"/>
          <w:b w:val="0"/>
        </w:rPr>
        <w:t>Progres v implementaci čl. 27 Úmluvy</w:t>
      </w:r>
    </w:p>
    <w:p w14:paraId="43EAC2B0" w14:textId="77777777" w:rsidR="00992426" w:rsidRPr="00992426" w:rsidRDefault="00992426" w:rsidP="00992426">
      <w:pPr>
        <w:pStyle w:val="Seznam"/>
        <w:rPr>
          <w:rStyle w:val="Siln"/>
          <w:b w:val="0"/>
        </w:rPr>
      </w:pPr>
      <w:r w:rsidRPr="00992426">
        <w:rPr>
          <w:rStyle w:val="Siln"/>
          <w:b w:val="0"/>
        </w:rPr>
        <w:t>Počet uchazečů na jedno volné pracovní místo je v obou skupinách srovnatelný.</w:t>
      </w:r>
    </w:p>
    <w:p w14:paraId="203BC589" w14:textId="77777777" w:rsidR="00992426" w:rsidRPr="00992426" w:rsidRDefault="00992426" w:rsidP="00992426">
      <w:pPr>
        <w:pStyle w:val="Seznam"/>
        <w:rPr>
          <w:rStyle w:val="Siln"/>
          <w:b w:val="0"/>
        </w:rPr>
      </w:pPr>
      <w:r w:rsidRPr="00992426">
        <w:rPr>
          <w:rStyle w:val="Siln"/>
          <w:b w:val="0"/>
        </w:rPr>
        <w:t>Délka evidence obou skupin uchazečů o zaměstnání je srovnatelná.</w:t>
      </w:r>
    </w:p>
    <w:p w14:paraId="3015EC51" w14:textId="77777777" w:rsidR="00992426" w:rsidRPr="00992426" w:rsidRDefault="00992426" w:rsidP="00992426">
      <w:pPr>
        <w:pStyle w:val="Seznam"/>
        <w:rPr>
          <w:rStyle w:val="Siln"/>
          <w:b w:val="0"/>
        </w:rPr>
      </w:pPr>
      <w:r w:rsidRPr="00992426">
        <w:rPr>
          <w:rStyle w:val="Siln"/>
          <w:b w:val="0"/>
        </w:rPr>
        <w:t>Podíl nově nezaměstnaných lidí s postižením je srovnatelný s podílem nově nezaměstnaných bez postižení.</w:t>
      </w:r>
    </w:p>
    <w:p w14:paraId="5417A735" w14:textId="77777777" w:rsidR="00992426" w:rsidRPr="00992426" w:rsidRDefault="00992426" w:rsidP="00992426">
      <w:pPr>
        <w:pStyle w:val="Zkladntext"/>
        <w:pBdr>
          <w:top w:val="single" w:sz="4" w:space="1" w:color="auto"/>
          <w:left w:val="single" w:sz="4" w:space="4" w:color="auto"/>
          <w:bottom w:val="single" w:sz="4" w:space="1" w:color="auto"/>
          <w:right w:val="single" w:sz="4" w:space="4" w:color="auto"/>
        </w:pBdr>
        <w:rPr>
          <w:rStyle w:val="Siln"/>
          <w:b w:val="0"/>
        </w:rPr>
      </w:pPr>
      <w:r w:rsidRPr="00992426">
        <w:rPr>
          <w:rStyle w:val="Siln"/>
          <w:b w:val="0"/>
        </w:rPr>
        <w:t>Komentář</w:t>
      </w:r>
    </w:p>
    <w:p w14:paraId="2A76768B" w14:textId="77777777" w:rsidR="00992426" w:rsidRPr="00992426" w:rsidRDefault="00992426" w:rsidP="00992426">
      <w:pPr>
        <w:pStyle w:val="Zkladntext"/>
        <w:pBdr>
          <w:top w:val="single" w:sz="4" w:space="1" w:color="auto"/>
          <w:left w:val="single" w:sz="4" w:space="4" w:color="auto"/>
          <w:bottom w:val="single" w:sz="4" w:space="1" w:color="auto"/>
          <w:right w:val="single" w:sz="4" w:space="4" w:color="auto"/>
        </w:pBdr>
        <w:rPr>
          <w:rStyle w:val="Siln"/>
          <w:b w:val="0"/>
        </w:rPr>
      </w:pPr>
      <w:r w:rsidRPr="00992426">
        <w:rPr>
          <w:rStyle w:val="Siln"/>
          <w:b w:val="0"/>
        </w:rPr>
        <w:t xml:space="preserve">Počet uchazečů na jedno volné pracovní místo a délka evidence uchazečů o zaměstnání by </w:t>
      </w:r>
      <w:r>
        <w:rPr>
          <w:rStyle w:val="Siln"/>
          <w:b w:val="0"/>
        </w:rPr>
        <w:t xml:space="preserve">ideálně </w:t>
      </w:r>
      <w:r w:rsidRPr="00992426">
        <w:rPr>
          <w:rStyle w:val="Siln"/>
          <w:b w:val="0"/>
        </w:rPr>
        <w:t xml:space="preserve">měly být srovnatelné s počtem či délkou u uchazečů s postižením. Podobně je tomu v případě nově nezaměstnaných – i zde by měla být data srovnatelná. Pokud jsou vychýlena v neprospěch lidí bez postižení, pak lze hovořit o nedodržení </w:t>
      </w:r>
      <w:r>
        <w:rPr>
          <w:rStyle w:val="Siln"/>
          <w:b w:val="0"/>
        </w:rPr>
        <w:t xml:space="preserve">práv vyplývajících z </w:t>
      </w:r>
      <w:r w:rsidRPr="00992426">
        <w:rPr>
          <w:rStyle w:val="Siln"/>
          <w:b w:val="0"/>
        </w:rPr>
        <w:t>Úmluvy. Tato data je potřeba získat ve spolupráci s GŘ ÚP/MPSV.</w:t>
      </w:r>
    </w:p>
    <w:p w14:paraId="1DAE879E" w14:textId="77777777" w:rsidR="00A05285" w:rsidRPr="00992426" w:rsidRDefault="00A05285" w:rsidP="00C67B5A">
      <w:pPr>
        <w:pStyle w:val="Zkladntext"/>
      </w:pPr>
    </w:p>
    <w:sectPr w:rsidR="00A05285" w:rsidRPr="00992426" w:rsidSect="00D732B4">
      <w:footerReference w:type="default" r:id="rId46"/>
      <w:type w:val="continuous"/>
      <w:pgSz w:w="11907" w:h="16839" w:code="9"/>
      <w:pgMar w:top="1159" w:right="1701" w:bottom="1440" w:left="1701" w:header="794" w:footer="720"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4ADBE" w14:textId="77777777" w:rsidR="006B125D" w:rsidRDefault="006B125D" w:rsidP="00143330">
      <w:r>
        <w:separator/>
      </w:r>
    </w:p>
    <w:p w14:paraId="242A1BD4" w14:textId="77777777" w:rsidR="006B125D" w:rsidRDefault="006B125D"/>
    <w:p w14:paraId="7E7A6AA1" w14:textId="77777777" w:rsidR="006B125D" w:rsidRDefault="006B125D"/>
  </w:endnote>
  <w:endnote w:type="continuationSeparator" w:id="0">
    <w:p w14:paraId="3959A1CB" w14:textId="77777777" w:rsidR="006B125D" w:rsidRDefault="006B125D" w:rsidP="00143330">
      <w:r>
        <w:continuationSeparator/>
      </w:r>
    </w:p>
    <w:p w14:paraId="3EA0B39A" w14:textId="77777777" w:rsidR="006B125D" w:rsidRDefault="006B125D"/>
    <w:p w14:paraId="3616E008" w14:textId="77777777" w:rsidR="006B125D" w:rsidRDefault="006B1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015530"/>
      <w:docPartObj>
        <w:docPartGallery w:val="Page Numbers (Bottom of Page)"/>
        <w:docPartUnique/>
      </w:docPartObj>
    </w:sdtPr>
    <w:sdtEndPr/>
    <w:sdtContent>
      <w:p w14:paraId="405AAB71" w14:textId="72DA7C7D" w:rsidR="002F741F" w:rsidRDefault="002F741F" w:rsidP="00235864">
        <w:pPr>
          <w:pStyle w:val="Zpat"/>
          <w:jc w:val="center"/>
        </w:pPr>
        <w:r>
          <w:fldChar w:fldCharType="begin"/>
        </w:r>
        <w:r>
          <w:instrText>PAGE   \* MERGEFORMAT</w:instrText>
        </w:r>
        <w:r>
          <w:fldChar w:fldCharType="separate"/>
        </w:r>
        <w:r w:rsidR="009D7D58">
          <w:rPr>
            <w:noProof/>
          </w:rPr>
          <w:t>11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8504"/>
    </w:tblGrid>
    <w:tr w:rsidR="002F741F" w:rsidRPr="00764DF9" w14:paraId="638EBD43" w14:textId="77777777" w:rsidTr="00D853A9">
      <w:tc>
        <w:tcPr>
          <w:tcW w:w="8504" w:type="dxa"/>
          <w:shd w:val="clear" w:color="auto" w:fill="auto"/>
        </w:tcPr>
        <w:p w14:paraId="3863B11F" w14:textId="77777777" w:rsidR="002F741F" w:rsidRPr="00764DF9" w:rsidRDefault="002F741F" w:rsidP="00867518">
          <w:pPr>
            <w:pStyle w:val="kontakt"/>
          </w:pPr>
          <w:r>
            <w:t>V</w:t>
          </w:r>
          <w:r w:rsidRPr="00764DF9">
            <w:t>eřejn</w:t>
          </w:r>
          <w:r>
            <w:t>ý</w:t>
          </w:r>
          <w:r w:rsidRPr="00764DF9">
            <w:t xml:space="preserve"> ochránce práv, Údolní 39, 602 00 Brno</w:t>
          </w:r>
        </w:p>
      </w:tc>
    </w:tr>
    <w:tr w:rsidR="002F741F" w:rsidRPr="00764DF9" w14:paraId="6C9218EF" w14:textId="77777777" w:rsidTr="00D853A9">
      <w:tc>
        <w:tcPr>
          <w:tcW w:w="8504" w:type="dxa"/>
          <w:shd w:val="clear" w:color="auto" w:fill="auto"/>
        </w:tcPr>
        <w:p w14:paraId="75FFACB9" w14:textId="77777777" w:rsidR="002F741F" w:rsidRPr="00764DF9" w:rsidRDefault="009D7D58" w:rsidP="005821EA">
          <w:pPr>
            <w:pStyle w:val="kontakt"/>
          </w:pPr>
          <w:hyperlink r:id="rId1" w:history="1">
            <w:r w:rsidR="002F741F" w:rsidRPr="00A42AFF">
              <w:rPr>
                <w:rStyle w:val="Hypertextovodkaz"/>
              </w:rPr>
              <w:t>www.ochrance.cz</w:t>
            </w:r>
          </w:hyperlink>
          <w:r w:rsidR="002F741F" w:rsidRPr="00764DF9">
            <w:t xml:space="preserve"> | </w:t>
          </w:r>
          <w:hyperlink r:id="rId2" w:history="1">
            <w:r w:rsidR="002F741F" w:rsidRPr="00A42AFF">
              <w:rPr>
                <w:rStyle w:val="Hypertextovodkaz"/>
              </w:rPr>
              <w:t>podatelna@ochrance.cz</w:t>
            </w:r>
          </w:hyperlink>
          <w:r w:rsidR="002F741F" w:rsidRPr="00764DF9">
            <w:t xml:space="preserve"> | (+420) 542 542 888 </w:t>
          </w:r>
          <w:r w:rsidR="002F741F">
            <w:t>–</w:t>
          </w:r>
          <w:r w:rsidR="002F741F" w:rsidRPr="00764DF9">
            <w:t xml:space="preserve"> info</w:t>
          </w:r>
          <w:r w:rsidR="002F741F">
            <w:t>linka</w:t>
          </w:r>
          <w:r w:rsidR="002F741F" w:rsidRPr="00764DF9">
            <w:t xml:space="preserve"> </w:t>
          </w:r>
          <w:r w:rsidR="002F741F">
            <w:t>každý pracovní den</w:t>
          </w:r>
          <w:r w:rsidR="002F741F" w:rsidRPr="00764DF9">
            <w:t xml:space="preserve"> 8</w:t>
          </w:r>
          <w:r w:rsidR="002F741F">
            <w:t>:00–16:00 hodin</w:t>
          </w:r>
        </w:p>
      </w:tc>
    </w:tr>
  </w:tbl>
  <w:p w14:paraId="3BD38009" w14:textId="77777777" w:rsidR="002F741F" w:rsidRDefault="002F741F" w:rsidP="005821EA">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46043"/>
      <w:docPartObj>
        <w:docPartGallery w:val="Page Numbers (Bottom of Page)"/>
        <w:docPartUnique/>
      </w:docPartObj>
    </w:sdtPr>
    <w:sdtEndPr/>
    <w:sdtContent>
      <w:p w14:paraId="40522B49" w14:textId="2F828076" w:rsidR="002F741F" w:rsidRDefault="002F741F" w:rsidP="00235864">
        <w:pPr>
          <w:pStyle w:val="Zpat"/>
          <w:jc w:val="center"/>
        </w:pPr>
        <w:r>
          <w:fldChar w:fldCharType="begin"/>
        </w:r>
        <w:r>
          <w:instrText>PAGE   \* MERGEFORMAT</w:instrText>
        </w:r>
        <w:r>
          <w:fldChar w:fldCharType="separate"/>
        </w:r>
        <w:r w:rsidR="009D7D58">
          <w:rPr>
            <w:noProof/>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36C82" w14:textId="77777777" w:rsidR="006B125D" w:rsidRDefault="006B125D">
      <w:r>
        <w:separator/>
      </w:r>
    </w:p>
  </w:footnote>
  <w:footnote w:type="continuationSeparator" w:id="0">
    <w:p w14:paraId="3A767AAA" w14:textId="77777777" w:rsidR="006B125D" w:rsidRDefault="006B125D" w:rsidP="00143330">
      <w:r>
        <w:continuationSeparator/>
      </w:r>
    </w:p>
  </w:footnote>
  <w:footnote w:type="continuationNotice" w:id="1">
    <w:p w14:paraId="1EB4AC75" w14:textId="77777777" w:rsidR="006B125D" w:rsidRPr="00322865" w:rsidRDefault="006B125D" w:rsidP="00322865">
      <w:pPr>
        <w:pStyle w:val="Zpat"/>
      </w:pPr>
    </w:p>
  </w:footnote>
  <w:footnote w:id="2">
    <w:p w14:paraId="1448C8FE" w14:textId="77777777" w:rsidR="002F741F" w:rsidRPr="00F179C4" w:rsidRDefault="002F741F" w:rsidP="00407C50">
      <w:pPr>
        <w:pStyle w:val="Textpoznpodarou"/>
      </w:pPr>
      <w:r>
        <w:rPr>
          <w:rStyle w:val="Znakapoznpodarou"/>
        </w:rPr>
        <w:footnoteRef/>
      </w:r>
      <w:r>
        <w:t xml:space="preserve"> Národní plán podpory a integrace občanů se zdravotním postižením na období 2006 – 2009, Národní plán vytváření rovných příležitostí pro osoby se zdravotním postižením na období 2010 – 2014, Národní plán podpory rovných příležitostí pro osoby se zdravotním postižením na období 2015 – 2020, Národní plán podpory rovných příležitostí pro osoby se zdravotním postižením 2021 – 2025.</w:t>
      </w:r>
    </w:p>
  </w:footnote>
  <w:footnote w:id="3">
    <w:p w14:paraId="47536C80" w14:textId="77777777" w:rsidR="002F741F" w:rsidRPr="00637CD5" w:rsidRDefault="002F741F" w:rsidP="00407C50">
      <w:pPr>
        <w:pStyle w:val="Textpoznpodarou"/>
      </w:pPr>
      <w:r>
        <w:rPr>
          <w:rStyle w:val="Znakapoznpodarou"/>
        </w:rPr>
        <w:footnoteRef/>
      </w:r>
      <w:r>
        <w:t xml:space="preserve"> V Eurobarometru z roku 2019 byly uvedeny tyto důvody: romská etnicita, etnický původ (obecně), barva kůže, sexuální orientace, genderová identita, náboženství či víra, postižení, věk (příliš starý či příliš mladý), intersexualita a na posledním místě pohlaví.</w:t>
      </w:r>
    </w:p>
  </w:footnote>
  <w:footnote w:id="4">
    <w:p w14:paraId="66763520" w14:textId="77777777" w:rsidR="002F741F" w:rsidRPr="000701BF" w:rsidRDefault="002F741F" w:rsidP="00407C50">
      <w:pPr>
        <w:pStyle w:val="Textpoznpodarou"/>
      </w:pPr>
      <w:r>
        <w:rPr>
          <w:rStyle w:val="Znakapoznpodarou"/>
        </w:rPr>
        <w:footnoteRef/>
      </w:r>
      <w:r>
        <w:t xml:space="preserve"> Ve veřejných zprávách SÚIP nejsou tyto údaje dostupné. Bude potřeba učinit písemnou výzvu k zaslání údajů. </w:t>
      </w:r>
    </w:p>
  </w:footnote>
  <w:footnote w:id="5">
    <w:p w14:paraId="5FE10987" w14:textId="77777777" w:rsidR="002F741F" w:rsidRPr="003D13B7" w:rsidRDefault="002F741F" w:rsidP="00407C50">
      <w:pPr>
        <w:pStyle w:val="Textpoznpodarou"/>
      </w:pPr>
      <w:r>
        <w:rPr>
          <w:rStyle w:val="Znakapoznpodarou"/>
        </w:rPr>
        <w:footnoteRef/>
      </w:r>
      <w:r>
        <w:t xml:space="preserve"> Z veřejných zpráv plyne, že ČOI zveřejňuje důvody diskriminace jen u případů, v nichž zjistí diskriminaci.</w:t>
      </w:r>
    </w:p>
  </w:footnote>
  <w:footnote w:id="6">
    <w:p w14:paraId="57377860" w14:textId="77777777" w:rsidR="002F741F" w:rsidRPr="0052267A" w:rsidRDefault="002F741F" w:rsidP="00407C50">
      <w:pPr>
        <w:pStyle w:val="Textpoznpodarou"/>
      </w:pPr>
      <w:r>
        <w:rPr>
          <w:rStyle w:val="Znakapoznpodarou"/>
        </w:rPr>
        <w:footnoteRef/>
      </w:r>
      <w:r>
        <w:t xml:space="preserve"> ČŠI uvádí údaje o počtu stížností na diskriminaci bez vazby na důvod. </w:t>
      </w:r>
    </w:p>
  </w:footnote>
  <w:footnote w:id="7">
    <w:p w14:paraId="0611F024" w14:textId="77777777" w:rsidR="002F741F" w:rsidRPr="005640F0" w:rsidRDefault="002F741F" w:rsidP="00407C50">
      <w:pPr>
        <w:pStyle w:val="Textpoznpodarou"/>
      </w:pPr>
      <w:r>
        <w:rPr>
          <w:rStyle w:val="Znakapoznpodarou"/>
        </w:rPr>
        <w:footnoteRef/>
      </w:r>
      <w:r>
        <w:t xml:space="preserve"> Zahrnuje i rozhodnutí správních soudů týkající se zdravotního postižení. Výzkum z roku 2020 sledoval rozhodování soudů v občanském soudním řízení.</w:t>
      </w:r>
    </w:p>
  </w:footnote>
  <w:footnote w:id="8">
    <w:p w14:paraId="793652D1" w14:textId="77777777" w:rsidR="002F741F" w:rsidRPr="007F1AD2" w:rsidRDefault="002F741F" w:rsidP="00354882">
      <w:pPr>
        <w:pStyle w:val="Textpoznpodarou"/>
      </w:pPr>
      <w:r>
        <w:rPr>
          <w:rStyle w:val="Znakapoznpodarou"/>
        </w:rPr>
        <w:footnoteRef/>
      </w:r>
      <w:r>
        <w:t xml:space="preserve"> Všeobecný komentář k článku 12 Úmluvy o právech</w:t>
      </w:r>
    </w:p>
  </w:footnote>
  <w:footnote w:id="9">
    <w:p w14:paraId="34140F8B" w14:textId="77777777" w:rsidR="002F741F" w:rsidRPr="00BF50C1" w:rsidRDefault="002F741F" w:rsidP="004D4535">
      <w:pPr>
        <w:pStyle w:val="Textpoznpodarou"/>
      </w:pPr>
      <w:r>
        <w:rPr>
          <w:rStyle w:val="Znakapoznpodarou"/>
        </w:rPr>
        <w:footnoteRef/>
      </w:r>
      <w:r>
        <w:t xml:space="preserve"> Dle definice pod bodem 1 </w:t>
      </w:r>
    </w:p>
  </w:footnote>
  <w:footnote w:id="10">
    <w:p w14:paraId="00A50577" w14:textId="77777777" w:rsidR="002F741F" w:rsidRPr="00DA03B9" w:rsidRDefault="002F741F" w:rsidP="004D4535">
      <w:pPr>
        <w:pStyle w:val="Textpoznpodarou"/>
      </w:pPr>
      <w:r>
        <w:rPr>
          <w:rStyle w:val="Znakapoznpodarou"/>
        </w:rPr>
        <w:footnoteRef/>
      </w:r>
      <w:r>
        <w:t xml:space="preserve"> Kritéria sociálních služeb komunitního charakteru, s. 15 – 18. </w:t>
      </w:r>
    </w:p>
  </w:footnote>
  <w:footnote w:id="11">
    <w:p w14:paraId="55CF6206" w14:textId="77777777" w:rsidR="002F741F" w:rsidRPr="00391124" w:rsidRDefault="002F741F" w:rsidP="004D4535">
      <w:pPr>
        <w:pStyle w:val="Textpoznpodarou"/>
      </w:pPr>
      <w:r>
        <w:rPr>
          <w:rStyle w:val="Znakapoznpodarou"/>
        </w:rPr>
        <w:footnoteRef/>
      </w:r>
      <w:r>
        <w:t xml:space="preserve"> Výzkum veřejného ochránce práv </w:t>
      </w:r>
      <w:hyperlink r:id="rId1" w:history="1">
        <w:r w:rsidRPr="003438C0">
          <w:rPr>
            <w:rStyle w:val="Hypertextovodkaz"/>
          </w:rPr>
          <w:t>Život klientů a klientek v domovech pro osoby se zdravotním postižením</w:t>
        </w:r>
      </w:hyperlink>
      <w:r>
        <w:t>, str. 38.</w:t>
      </w:r>
    </w:p>
  </w:footnote>
  <w:footnote w:id="12">
    <w:p w14:paraId="0FF05813" w14:textId="77777777" w:rsidR="002F741F" w:rsidRPr="006C0F10" w:rsidRDefault="002F741F" w:rsidP="004D4535">
      <w:pPr>
        <w:pStyle w:val="Textpoznpodarou"/>
      </w:pPr>
      <w:r>
        <w:rPr>
          <w:rStyle w:val="Znakapoznpodarou"/>
        </w:rPr>
        <w:footnoteRef/>
      </w:r>
      <w:r>
        <w:t xml:space="preserve"> Viz například </w:t>
      </w:r>
      <w:r w:rsidRPr="006C0F10">
        <w:t xml:space="preserve">Burianová, V. </w:t>
      </w:r>
      <w:hyperlink r:id="rId2" w:history="1">
        <w:r w:rsidRPr="006C0F10">
          <w:rPr>
            <w:rStyle w:val="Hypertextovodkaz"/>
          </w:rPr>
          <w:t>Vybrané výzkumy a poznatky o vlivu rané institucionální výchovy na vývoj dítěte</w:t>
        </w:r>
      </w:hyperlink>
      <w:r w:rsidRPr="006C0F10">
        <w:t xml:space="preserve">. Praha: </w:t>
      </w:r>
      <w:r>
        <w:t xml:space="preserve">2017. </w:t>
      </w:r>
      <w:r w:rsidRPr="006C0F10">
        <w:t>Středisko náhradní rodinné péč</w:t>
      </w:r>
      <w:r>
        <w:t xml:space="preserve">e. </w:t>
      </w:r>
    </w:p>
  </w:footnote>
  <w:footnote w:id="13">
    <w:p w14:paraId="126F9251" w14:textId="77777777" w:rsidR="002F741F" w:rsidRPr="00076D40" w:rsidRDefault="002F741F" w:rsidP="004D4535">
      <w:pPr>
        <w:pStyle w:val="Textpoznpodarou"/>
      </w:pPr>
      <w:r>
        <w:rPr>
          <w:rStyle w:val="Znakapoznpodarou"/>
        </w:rPr>
        <w:footnoteRef/>
      </w:r>
      <w:r>
        <w:t xml:space="preserve"> Ust. § 452 odst. 2 a § 466 písm. m) zákona č. 292/2013 Sb., o zvláštních řízeních soudních ve spojení s § 971 zákona č. 89/2012 Sb., občanského zákoníku. Jak vyplývá z výzkumu veřejného ochránce práv z roku 2020 </w:t>
      </w:r>
      <w:hyperlink r:id="rId3" w:history="1">
        <w:r w:rsidRPr="003438C0">
          <w:rPr>
            <w:rStyle w:val="Hypertextovodkaz"/>
          </w:rPr>
          <w:t>Život klientů a klientek v domovech pro osoby se zdravotním postižením</w:t>
        </w:r>
      </w:hyperlink>
      <w:r>
        <w:t>, až 41% dětí je umístěno v DOZP na základě smlouvy.</w:t>
      </w:r>
    </w:p>
  </w:footnote>
  <w:footnote w:id="14">
    <w:p w14:paraId="5D4CF6DB" w14:textId="77777777" w:rsidR="002F741F" w:rsidRPr="003438C0" w:rsidRDefault="002F741F" w:rsidP="004D4535">
      <w:pPr>
        <w:pStyle w:val="Textpoznpodarou"/>
      </w:pPr>
      <w:r>
        <w:rPr>
          <w:rStyle w:val="Znakapoznpodarou"/>
        </w:rPr>
        <w:footnoteRef/>
      </w:r>
      <w:r>
        <w:t xml:space="preserve"> Dle výzkumu veřejného ochránce práv </w:t>
      </w:r>
      <w:hyperlink r:id="rId4" w:history="1">
        <w:r w:rsidRPr="003438C0">
          <w:rPr>
            <w:rStyle w:val="Hypertextovodkaz"/>
          </w:rPr>
          <w:t>Život klientů a klientek v domovech pro osoby se zdravotním postižením</w:t>
        </w:r>
      </w:hyperlink>
      <w:r>
        <w:t>, má více než 80 % domovů pro osoby se zdravotním postižením kapacitu vyšší než 20 klientů.</w:t>
      </w:r>
    </w:p>
  </w:footnote>
  <w:footnote w:id="15">
    <w:p w14:paraId="6CA709B2" w14:textId="77777777" w:rsidR="002F741F" w:rsidRPr="000E7BCB" w:rsidRDefault="002F741F" w:rsidP="004D4535">
      <w:pPr>
        <w:pStyle w:val="Textpoznpodarou"/>
      </w:pPr>
      <w:r>
        <w:rPr>
          <w:rStyle w:val="Znakapoznpodarou"/>
        </w:rPr>
        <w:footnoteRef/>
      </w:r>
      <w:r>
        <w:t xml:space="preserve"> </w:t>
      </w:r>
      <w:r w:rsidRPr="00211651">
        <w:t>Jako první cíl vymezuje strategie Strategický cíl A: Zajistit přechod od institucionálního modelu péče o osoby se ZP k podpoře osob v přirozeném prostředí a Specifický cíl A.1: Vytvořit a realizovat plán přechodu od ústavní péče k podpoře v komunitě s pomocí terénních, ambulantních a pobytových sociálních služeb komunitního typu. Tyto cíle jsou však nastaveny příliš obecně a nesměřují k úplnému dokončení procesu transformace.</w:t>
      </w:r>
    </w:p>
  </w:footnote>
  <w:footnote w:id="16">
    <w:p w14:paraId="5F2BDF35" w14:textId="77777777" w:rsidR="002F741F" w:rsidRPr="00004936" w:rsidRDefault="002F741F" w:rsidP="004D4535">
      <w:pPr>
        <w:pStyle w:val="Textpoznpodarou"/>
      </w:pPr>
      <w:r>
        <w:rPr>
          <w:rStyle w:val="Znakapoznpodarou"/>
        </w:rPr>
        <w:footnoteRef/>
      </w:r>
      <w:r>
        <w:t xml:space="preserve"> Ve výčtu úkolů Odboru sociálních služeb a sociální práce MPSV uvedených na webových stránkách vůbec není uvedena transformace sociálních služeb.  MPSV také své aktivity související s transformací soustředí do projektů financovaných z fondů EU (např. „Život jako každý jiný“, který byl ukončen k 30. 6. 2020 a „Rozvoj systému sociálních služeb,“ který na něj navázal, ale který zatím nezveřejnil žádné výstupy z aktivit věnujících se deinstitucionalizaci). To však znamená, že transformace je pouze jakýsi projekt financovaný externími zdroji, nikoliv řádná součást aktivit MPSV. Jak také vyplývá z výzkumu VOP o transformaci sociálních služeb, transformace není koordinována a kraji; kraje se pak v přístupu k transformaci velmi liší.</w:t>
      </w:r>
    </w:p>
  </w:footnote>
  <w:footnote w:id="17">
    <w:p w14:paraId="311EE3AC" w14:textId="77777777" w:rsidR="002F741F" w:rsidRPr="00461984" w:rsidRDefault="002F741F" w:rsidP="007153E5">
      <w:pPr>
        <w:pStyle w:val="Textpoznpodarou"/>
      </w:pPr>
      <w:r>
        <w:rPr>
          <w:rStyle w:val="Znakapoznpodarou"/>
        </w:rPr>
        <w:footnoteRef/>
      </w:r>
      <w:r>
        <w:t xml:space="preserve"> Ministerstvo zdravotnictví i Ústav zdravotnických informací a statistiky používají termín „dlouhodobá hospitalizace“ pro hospitalizaci delší 6 měsíců </w:t>
      </w:r>
    </w:p>
  </w:footnote>
  <w:footnote w:id="18">
    <w:p w14:paraId="09111B26" w14:textId="77777777" w:rsidR="002F741F" w:rsidRPr="000F6314" w:rsidRDefault="002F741F" w:rsidP="007153E5">
      <w:pPr>
        <w:pStyle w:val="Textpoznpodarou"/>
      </w:pPr>
      <w:r>
        <w:rPr>
          <w:rStyle w:val="Znakapoznpodarou"/>
        </w:rPr>
        <w:footnoteRef/>
      </w:r>
      <w:r>
        <w:t xml:space="preserve"> Pro účely tohoto indikátoru budeme sledovat pouze dva typy pobytových sociálních služeb, v kterých  žijí pouze lidé s postižením, a to domovy pro osoby se zdravotním postižením (DOZP) a domovy se zvláštním režimem (DZR). </w:t>
      </w:r>
    </w:p>
  </w:footnote>
  <w:footnote w:id="19">
    <w:p w14:paraId="704B363A" w14:textId="77777777" w:rsidR="002F741F" w:rsidRPr="000F6314" w:rsidRDefault="002F741F" w:rsidP="007153E5">
      <w:pPr>
        <w:pStyle w:val="Textpoznpodarou"/>
      </w:pPr>
      <w:r>
        <w:rPr>
          <w:rStyle w:val="Znakapoznpodarou"/>
        </w:rPr>
        <w:footnoteRef/>
      </w:r>
      <w:r>
        <w:t xml:space="preserve"> Dle přiznaného příspěvku na péči.</w:t>
      </w:r>
    </w:p>
  </w:footnote>
  <w:footnote w:id="20">
    <w:p w14:paraId="106C3C78" w14:textId="77777777" w:rsidR="002F741F" w:rsidRPr="007E48CA" w:rsidRDefault="002F741F" w:rsidP="007153E5">
      <w:pPr>
        <w:pStyle w:val="Textpoznpodarou"/>
      </w:pPr>
      <w:r>
        <w:rPr>
          <w:rStyle w:val="Znakapoznpodarou"/>
        </w:rPr>
        <w:footnoteRef/>
      </w:r>
      <w:r>
        <w:t xml:space="preserve"> </w:t>
      </w:r>
      <w:r w:rsidRPr="007E48CA">
        <w:t xml:space="preserve">Odst. 98 písm. m). </w:t>
      </w:r>
      <w:r w:rsidRPr="00DA7663">
        <w:rPr>
          <w:rStyle w:val="pokyny"/>
          <w:rFonts w:eastAsiaTheme="minorEastAsia"/>
          <w:color w:val="auto"/>
        </w:rPr>
        <w:t>Všeobecného komentáře Výboru k čl. 19</w:t>
      </w:r>
      <w:r w:rsidRPr="00DA7663">
        <w:t xml:space="preserve"> CRPD</w:t>
      </w:r>
    </w:p>
  </w:footnote>
  <w:footnote w:id="21">
    <w:p w14:paraId="23588290" w14:textId="77777777" w:rsidR="002F741F" w:rsidRPr="00DA7663" w:rsidRDefault="002F741F" w:rsidP="007153E5">
      <w:pPr>
        <w:pStyle w:val="Textpoznpodarou"/>
      </w:pPr>
      <w:r>
        <w:rPr>
          <w:rStyle w:val="Znakapoznpodarou"/>
        </w:rPr>
        <w:footnoteRef/>
      </w:r>
      <w:r>
        <w:t xml:space="preserve"> </w:t>
      </w:r>
      <w:r w:rsidRPr="00DA7663">
        <w:rPr>
          <w:rStyle w:val="pokyny"/>
          <w:rFonts w:eastAsiaTheme="minorEastAsia"/>
          <w:color w:val="auto"/>
        </w:rPr>
        <w:t xml:space="preserve">Dle informací zveřejněných na stránkách individuálního projektu MPSV – Rozvoj systému sociálních služeb má být z jednou aktivit projektu monitoring transformace sociálních služeb s výstupem „Vyhodnocení průběhu transformace za období červenec 2020 až prosinec 2021“. Tato analýza zatím nebyla zveřejněna.  Poslední dostupná </w:t>
      </w:r>
      <w:hyperlink r:id="rId5" w:history="1">
        <w:r w:rsidRPr="00DA7663">
          <w:rPr>
            <w:rStyle w:val="Hypertextovodkaz"/>
            <w:color w:val="auto"/>
          </w:rPr>
          <w:t>komplexní zpráva o stavu transformace v ČR</w:t>
        </w:r>
      </w:hyperlink>
      <w:r w:rsidRPr="00DA7663">
        <w:rPr>
          <w:rStyle w:val="pokyny"/>
          <w:rFonts w:eastAsiaTheme="minorEastAsia"/>
          <w:color w:val="auto"/>
        </w:rPr>
        <w:t xml:space="preserve"> je z roku 2013.</w:t>
      </w:r>
    </w:p>
  </w:footnote>
  <w:footnote w:id="22">
    <w:p w14:paraId="1595A648" w14:textId="77777777" w:rsidR="002F741F" w:rsidRPr="000B44E1" w:rsidRDefault="002F741F" w:rsidP="007153E5">
      <w:pPr>
        <w:pStyle w:val="Textpoznpodarou"/>
      </w:pPr>
      <w:r>
        <w:rPr>
          <w:rStyle w:val="Znakapoznpodarou"/>
        </w:rPr>
        <w:footnoteRef/>
      </w:r>
      <w:r>
        <w:t xml:space="preserve"> Viz například Vybrané údaje o sociálním zabezpečení za rok 2019, dostupné z: </w:t>
      </w:r>
      <w:hyperlink r:id="rId6" w:history="1">
        <w:r w:rsidRPr="000D1F4B">
          <w:rPr>
            <w:rStyle w:val="Hypertextovodkaz"/>
          </w:rPr>
          <w:t>https://www.czso.cz/csu/czso/vybrane-udaje-o-socialnim-zabezpeceni-2019</w:t>
        </w:r>
      </w:hyperlink>
      <w:r>
        <w:t xml:space="preserve"> </w:t>
      </w:r>
    </w:p>
  </w:footnote>
  <w:footnote w:id="23">
    <w:p w14:paraId="2918D513" w14:textId="77777777" w:rsidR="002F741F" w:rsidRPr="003D6FB6" w:rsidRDefault="002F741F" w:rsidP="007153E5">
      <w:pPr>
        <w:pStyle w:val="Textpoznpodarou"/>
      </w:pPr>
      <w:r>
        <w:rPr>
          <w:rStyle w:val="Znakapoznpodarou"/>
        </w:rPr>
        <w:footnoteRef/>
      </w:r>
      <w:r>
        <w:t xml:space="preserve"> Za rok 2019 uvádí statistická ročenka 11 589 klientů DOZP a 18 795 klientů DZR, ČSÚ uvádí 11 472 klientů DOZP a 19 833 klientů DZR.</w:t>
      </w:r>
    </w:p>
  </w:footnote>
  <w:footnote w:id="24">
    <w:p w14:paraId="38B3073B" w14:textId="77777777" w:rsidR="002F741F" w:rsidRPr="00BC3CE2" w:rsidRDefault="002F741F" w:rsidP="006B2280">
      <w:pPr>
        <w:pStyle w:val="Textpoznpodarou"/>
      </w:pPr>
      <w:r>
        <w:rPr>
          <w:rStyle w:val="Znakapoznpodarou"/>
        </w:rPr>
        <w:footnoteRef/>
      </w:r>
      <w:r>
        <w:t xml:space="preserve"> Ust. § 91a odst. 1 zákona o sociálních službách</w:t>
      </w:r>
    </w:p>
  </w:footnote>
  <w:footnote w:id="25">
    <w:p w14:paraId="4729274B" w14:textId="77777777" w:rsidR="002F741F" w:rsidRPr="00BC3CE2" w:rsidRDefault="002F741F" w:rsidP="006B2280">
      <w:pPr>
        <w:pStyle w:val="Textpoznpodarou"/>
      </w:pPr>
      <w:r>
        <w:rPr>
          <w:rStyle w:val="Znakapoznpodarou"/>
        </w:rPr>
        <w:footnoteRef/>
      </w:r>
      <w:r>
        <w:t xml:space="preserve"> Ust. § 38 odst. 1 zákona č. 372/2011 Sb., o zdravotních službách</w:t>
      </w:r>
    </w:p>
  </w:footnote>
  <w:footnote w:id="26">
    <w:p w14:paraId="10D53F51" w14:textId="77777777" w:rsidR="002F741F" w:rsidRPr="00BC3CE2" w:rsidRDefault="002F741F" w:rsidP="006B2280">
      <w:pPr>
        <w:pStyle w:val="Textpoznpodarou"/>
      </w:pPr>
      <w:r>
        <w:rPr>
          <w:rStyle w:val="Znakapoznpodarou"/>
        </w:rPr>
        <w:footnoteRef/>
      </w:r>
      <w:r>
        <w:t xml:space="preserve"> Ust. § 81 odst. 3 zákona o zvláštních řízeních soudních, § 353 odst. 1 zákona č. 141/1961 Sb., trestního řádu</w:t>
      </w:r>
    </w:p>
  </w:footnote>
  <w:footnote w:id="27">
    <w:p w14:paraId="5FEABC73" w14:textId="77777777" w:rsidR="002F741F" w:rsidRPr="00665E84" w:rsidRDefault="002F741F" w:rsidP="006B2280">
      <w:pPr>
        <w:pStyle w:val="Textpoznpodarou"/>
      </w:pPr>
      <w:r>
        <w:rPr>
          <w:rStyle w:val="Znakapoznpodarou"/>
        </w:rPr>
        <w:footnoteRef/>
      </w:r>
      <w:r>
        <w:t xml:space="preserve"> Ust. § 84b zákona o zvláštních řízeních soudních</w:t>
      </w:r>
    </w:p>
  </w:footnote>
  <w:footnote w:id="28">
    <w:p w14:paraId="4B4C6031" w14:textId="77777777" w:rsidR="002F741F" w:rsidRPr="00B229DE" w:rsidRDefault="002F741F" w:rsidP="00AD33E4">
      <w:pPr>
        <w:pStyle w:val="Textpoznpodarou"/>
      </w:pPr>
      <w:r>
        <w:rPr>
          <w:rStyle w:val="Znakapoznpodarou"/>
        </w:rPr>
        <w:footnoteRef/>
      </w:r>
      <w:r>
        <w:t xml:space="preserve"> Veřejný ochránce práv. </w:t>
      </w:r>
      <w:hyperlink r:id="rId7" w:history="1">
        <w:r w:rsidRPr="00B229DE">
          <w:rPr>
            <w:rStyle w:val="Hypertextovodkaz"/>
          </w:rPr>
          <w:t>Obecní bydlení z pohledu práva na rovné zacházení a role obcí při řešení bytové nouze</w:t>
        </w:r>
      </w:hyperlink>
      <w:r>
        <w:t>. str. 24- 27.</w:t>
      </w:r>
    </w:p>
  </w:footnote>
  <w:footnote w:id="29">
    <w:p w14:paraId="4C131E87" w14:textId="77777777" w:rsidR="002F741F" w:rsidRPr="00E87F8F" w:rsidRDefault="002F741F" w:rsidP="00AD33E4">
      <w:pPr>
        <w:pStyle w:val="Textpoznpodarou"/>
      </w:pPr>
      <w:r>
        <w:rPr>
          <w:rStyle w:val="Znakapoznpodarou"/>
        </w:rPr>
        <w:footnoteRef/>
      </w:r>
      <w:r>
        <w:t xml:space="preserve"> Ibid., str. 109 – 110.</w:t>
      </w:r>
    </w:p>
  </w:footnote>
  <w:footnote w:id="30">
    <w:p w14:paraId="1486FC02" w14:textId="77777777" w:rsidR="002F741F" w:rsidRPr="00E87F8F" w:rsidRDefault="002F741F" w:rsidP="00AD33E4">
      <w:pPr>
        <w:pStyle w:val="Textpoznpodarou"/>
      </w:pPr>
      <w:r>
        <w:rPr>
          <w:rStyle w:val="Znakapoznpodarou"/>
        </w:rPr>
        <w:footnoteRef/>
      </w:r>
      <w:r>
        <w:t xml:space="preserve"> Ibid., str. 111.</w:t>
      </w:r>
    </w:p>
  </w:footnote>
  <w:footnote w:id="31">
    <w:p w14:paraId="197E9FD6" w14:textId="77777777" w:rsidR="002F741F" w:rsidRPr="00945787" w:rsidRDefault="002F741F" w:rsidP="00AD33E4">
      <w:pPr>
        <w:pStyle w:val="Textpoznpodarou"/>
      </w:pPr>
      <w:r>
        <w:rPr>
          <w:rStyle w:val="Znakapoznpodarou"/>
        </w:rPr>
        <w:footnoteRef/>
      </w:r>
      <w:r>
        <w:t xml:space="preserve"> Ust. § 36 písm. c) vyhlášky č. 505/2006 Sb. ve spojení s § 91 odst. 3 zákona o sociálních službách.</w:t>
      </w:r>
    </w:p>
  </w:footnote>
  <w:footnote w:id="32">
    <w:p w14:paraId="29C696AE" w14:textId="77777777" w:rsidR="002F741F" w:rsidRPr="006A7809" w:rsidRDefault="002F741F" w:rsidP="00AD33E4">
      <w:pPr>
        <w:pStyle w:val="Textpoznpodarou"/>
      </w:pPr>
      <w:r>
        <w:rPr>
          <w:rStyle w:val="Znakapoznpodarou"/>
        </w:rPr>
        <w:footnoteRef/>
      </w:r>
      <w:r>
        <w:t xml:space="preserve"> Veřejný ochránce práv. </w:t>
      </w:r>
      <w:hyperlink r:id="rId8" w:history="1">
        <w:r w:rsidRPr="006A7809">
          <w:rPr>
            <w:rStyle w:val="Hypertextovodkaz"/>
          </w:rPr>
          <w:t>Přístup k sociální službě domov pro seniory. Obsahová analýza</w:t>
        </w:r>
      </w:hyperlink>
      <w:r>
        <w:t>. 2013, str. 27.</w:t>
      </w:r>
    </w:p>
  </w:footnote>
  <w:footnote w:id="33">
    <w:p w14:paraId="428F650E" w14:textId="77777777" w:rsidR="002F741F" w:rsidRPr="00BD456E" w:rsidRDefault="002F741F" w:rsidP="00AD33E4">
      <w:pPr>
        <w:pStyle w:val="Textpoznpodarou"/>
      </w:pPr>
      <w:r>
        <w:rPr>
          <w:rStyle w:val="Znakapoznpodarou"/>
        </w:rPr>
        <w:footnoteRef/>
      </w:r>
      <w:r>
        <w:t xml:space="preserve"> Veřejný ochránce práv. </w:t>
      </w:r>
      <w:hyperlink r:id="rId9" w:history="1">
        <w:r w:rsidRPr="00BD456E">
          <w:rPr>
            <w:rStyle w:val="Hypertextovodkaz"/>
          </w:rPr>
          <w:t>Přístupnost sociálních služeb azylové domy a noclehárny pro lidi s postižením</w:t>
        </w:r>
      </w:hyperlink>
      <w:r>
        <w:t>. 2020, str. 29 – 31.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BFC52" w14:textId="77777777" w:rsidR="002F741F" w:rsidRPr="003943A1" w:rsidRDefault="002F741F" w:rsidP="003943A1">
    <w:pPr>
      <w:pStyle w:val="Zhlav"/>
      <w:spacing w:after="600"/>
      <w:ind w:left="5954"/>
      <w:jc w:val="right"/>
      <w:rPr>
        <w:sz w:val="20"/>
        <w:szCs w:val="20"/>
      </w:rPr>
    </w:pPr>
    <w:r w:rsidRPr="003943A1">
      <w:rPr>
        <w:rFonts w:eastAsia="Times New Roman" w:cs="Segoe UI"/>
        <w:noProof/>
        <w:sz w:val="20"/>
        <w:szCs w:val="20"/>
        <w:lang w:eastAsia="cs-CZ"/>
      </w:rPr>
      <w:drawing>
        <wp:anchor distT="0" distB="0" distL="114300" distR="114300" simplePos="0" relativeHeight="251665408" behindDoc="0" locked="0" layoutInCell="1" allowOverlap="0" wp14:anchorId="1147E175" wp14:editId="42D2A927">
          <wp:simplePos x="0" y="0"/>
          <wp:positionH relativeFrom="page">
            <wp:posOffset>417830</wp:posOffset>
          </wp:positionH>
          <wp:positionV relativeFrom="page">
            <wp:posOffset>417830</wp:posOffset>
          </wp:positionV>
          <wp:extent cx="2095200" cy="522000"/>
          <wp:effectExtent l="0" t="0" r="635"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ochrance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5200" cy="52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3B5B9" w14:textId="77777777" w:rsidR="002F741F" w:rsidRPr="009345B3" w:rsidRDefault="002F741F" w:rsidP="005821EA">
    <w:pPr>
      <w:ind w:left="5670"/>
      <w:rPr>
        <w:sz w:val="20"/>
        <w:szCs w:val="20"/>
      </w:rPr>
    </w:pPr>
    <w:r w:rsidRPr="009345B3">
      <w:rPr>
        <w:rFonts w:eastAsia="Times New Roman" w:cs="Segoe UI"/>
        <w:noProof/>
        <w:sz w:val="20"/>
        <w:szCs w:val="20"/>
        <w:lang w:eastAsia="cs-CZ"/>
      </w:rPr>
      <w:drawing>
        <wp:anchor distT="0" distB="0" distL="114300" distR="114300" simplePos="0" relativeHeight="251663360" behindDoc="0" locked="0" layoutInCell="1" allowOverlap="0" wp14:anchorId="33FC4F67" wp14:editId="184CAFE3">
          <wp:simplePos x="0" y="0"/>
          <wp:positionH relativeFrom="page">
            <wp:posOffset>1080135</wp:posOffset>
          </wp:positionH>
          <wp:positionV relativeFrom="page">
            <wp:posOffset>683895</wp:posOffset>
          </wp:positionV>
          <wp:extent cx="2217600" cy="554400"/>
          <wp:effectExtent l="0" t="0" r="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ochrance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17600" cy="554400"/>
                  </a:xfrm>
                  <a:prstGeom prst="rect">
                    <a:avLst/>
                  </a:prstGeom>
                  <a:noFill/>
                </pic:spPr>
              </pic:pic>
            </a:graphicData>
          </a:graphic>
          <wp14:sizeRelH relativeFrom="page">
            <wp14:pctWidth>0</wp14:pctWidth>
          </wp14:sizeRelH>
          <wp14:sizeRelV relativeFrom="page">
            <wp14:pctHeight>0</wp14:pctHeight>
          </wp14:sizeRelV>
        </wp:anchor>
      </w:drawing>
    </w:r>
  </w:p>
  <w:p w14:paraId="19BF72EB" w14:textId="77777777" w:rsidR="002F741F" w:rsidRPr="005821EA" w:rsidRDefault="002F741F" w:rsidP="005821E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00BD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DA35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B879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CAA5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A86F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E99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0D5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AEA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467F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0C5E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E6C71"/>
    <w:multiLevelType w:val="hybridMultilevel"/>
    <w:tmpl w:val="99106B1E"/>
    <w:lvl w:ilvl="0" w:tplc="D2A6C13A">
      <w:start w:val="2"/>
      <w:numFmt w:val="bullet"/>
      <w:lvlText w:val="-"/>
      <w:lvlJc w:val="left"/>
      <w:pPr>
        <w:ind w:left="720" w:hanging="360"/>
      </w:pPr>
      <w:rPr>
        <w:rFonts w:ascii="Segoe UI" w:eastAsia="Times New Roman" w:hAnsi="Segoe UI" w:cs="Segoe U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5BD5590"/>
    <w:multiLevelType w:val="hybridMultilevel"/>
    <w:tmpl w:val="796C941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6D24637"/>
    <w:multiLevelType w:val="hybridMultilevel"/>
    <w:tmpl w:val="C46870E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08C77206"/>
    <w:multiLevelType w:val="hybridMultilevel"/>
    <w:tmpl w:val="3184028E"/>
    <w:lvl w:ilvl="0" w:tplc="474824BA">
      <w:start w:val="1"/>
      <w:numFmt w:val="decimal"/>
      <w:pStyle w:val="slovanseznam"/>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3D208EE"/>
    <w:multiLevelType w:val="hybridMultilevel"/>
    <w:tmpl w:val="71509FF8"/>
    <w:lvl w:ilvl="0" w:tplc="9CC25DE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9895A19"/>
    <w:multiLevelType w:val="hybridMultilevel"/>
    <w:tmpl w:val="7F3202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D8A677B"/>
    <w:multiLevelType w:val="hybridMultilevel"/>
    <w:tmpl w:val="2D34AD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7" w15:restartNumberingAfterBreak="0">
    <w:nsid w:val="1E9026BE"/>
    <w:multiLevelType w:val="hybridMultilevel"/>
    <w:tmpl w:val="F8FEE26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247E1E5A"/>
    <w:multiLevelType w:val="hybridMultilevel"/>
    <w:tmpl w:val="92E4E0AA"/>
    <w:lvl w:ilvl="0" w:tplc="5C88203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4D7041E"/>
    <w:multiLevelType w:val="hybridMultilevel"/>
    <w:tmpl w:val="63123E30"/>
    <w:lvl w:ilvl="0" w:tplc="A54E4CF2">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F076DBE"/>
    <w:multiLevelType w:val="hybridMultilevel"/>
    <w:tmpl w:val="647087F6"/>
    <w:lvl w:ilvl="0" w:tplc="A37EC5D6">
      <w:start w:val="1"/>
      <w:numFmt w:val="decimal"/>
      <w:lvlText w:val="%1."/>
      <w:lvlJc w:val="left"/>
      <w:pPr>
        <w:ind w:left="720" w:hanging="360"/>
      </w:pPr>
    </w:lvl>
    <w:lvl w:ilvl="1" w:tplc="9368A4A8">
      <w:start w:val="1"/>
      <w:numFmt w:val="decimal"/>
      <w:pStyle w:val="textdoporuen"/>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3253620E"/>
    <w:multiLevelType w:val="hybridMultilevel"/>
    <w:tmpl w:val="E5FA61E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34875C38"/>
    <w:multiLevelType w:val="hybridMultilevel"/>
    <w:tmpl w:val="B788535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7631A56"/>
    <w:multiLevelType w:val="hybridMultilevel"/>
    <w:tmpl w:val="1C3A38D8"/>
    <w:lvl w:ilvl="0" w:tplc="04050005">
      <w:start w:val="1"/>
      <w:numFmt w:val="bullet"/>
      <w:lvlText w:val=""/>
      <w:lvlJc w:val="left"/>
      <w:pPr>
        <w:ind w:left="720" w:hanging="360"/>
      </w:pPr>
      <w:rPr>
        <w:rFonts w:ascii="Wingdings" w:hAnsi="Wingding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39D00F75"/>
    <w:multiLevelType w:val="hybridMultilevel"/>
    <w:tmpl w:val="20CA5738"/>
    <w:lvl w:ilvl="0" w:tplc="76842CCC">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3D8A2761"/>
    <w:multiLevelType w:val="hybridMultilevel"/>
    <w:tmpl w:val="DD967BEE"/>
    <w:lvl w:ilvl="0" w:tplc="5C88203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0651DE6"/>
    <w:multiLevelType w:val="hybridMultilevel"/>
    <w:tmpl w:val="956CBFE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48031FD"/>
    <w:multiLevelType w:val="hybridMultilevel"/>
    <w:tmpl w:val="CA3258A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19C19AB"/>
    <w:multiLevelType w:val="multilevel"/>
    <w:tmpl w:val="2404269A"/>
    <w:lvl w:ilvl="0">
      <w:start w:val="1"/>
      <w:numFmt w:val="decimal"/>
      <w:lvlText w:val="%1."/>
      <w:lvlJc w:val="left"/>
      <w:pPr>
        <w:ind w:left="432" w:hanging="432"/>
      </w:pPr>
      <w:rPr>
        <w:rFonts w:hint="default"/>
      </w:rPr>
    </w:lvl>
    <w:lvl w:ilvl="1">
      <w:start w:val="1"/>
      <w:numFmt w:val="decimal"/>
      <w:pStyle w:val="Nadpis2"/>
      <w:lvlText w:val="%2."/>
      <w:lvlJc w:val="left"/>
      <w:pPr>
        <w:ind w:left="567" w:hanging="567"/>
      </w:pPr>
      <w:rPr>
        <w:rFonts w:hint="default"/>
      </w:rPr>
    </w:lvl>
    <w:lvl w:ilvl="2">
      <w:start w:val="1"/>
      <w:numFmt w:val="decimal"/>
      <w:pStyle w:val="Nadpis3"/>
      <w:lvlText w:val="%2.%3"/>
      <w:lvlJc w:val="left"/>
      <w:pPr>
        <w:ind w:left="567" w:hanging="567"/>
      </w:pPr>
      <w:rPr>
        <w:rFonts w:hint="default"/>
      </w:rPr>
    </w:lvl>
    <w:lvl w:ilvl="3">
      <w:start w:val="1"/>
      <w:numFmt w:val="decimal"/>
      <w:pStyle w:val="Nadpis4"/>
      <w:lvlText w:val="%2.%3.%4"/>
      <w:lvlJc w:val="left"/>
      <w:pPr>
        <w:ind w:left="851" w:hanging="851"/>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9" w15:restartNumberingAfterBreak="0">
    <w:nsid w:val="56EB4D31"/>
    <w:multiLevelType w:val="hybridMultilevel"/>
    <w:tmpl w:val="23641F30"/>
    <w:lvl w:ilvl="0" w:tplc="C8AE6350">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CE62893"/>
    <w:multiLevelType w:val="hybridMultilevel"/>
    <w:tmpl w:val="90ACAC44"/>
    <w:lvl w:ilvl="0" w:tplc="025491B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02945FE"/>
    <w:multiLevelType w:val="hybridMultilevel"/>
    <w:tmpl w:val="B1083498"/>
    <w:lvl w:ilvl="0" w:tplc="04050017">
      <w:start w:val="1"/>
      <w:numFmt w:val="low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62445AB"/>
    <w:multiLevelType w:val="hybridMultilevel"/>
    <w:tmpl w:val="055863E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71B38A7"/>
    <w:multiLevelType w:val="hybridMultilevel"/>
    <w:tmpl w:val="43E2C6C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00E0E92"/>
    <w:multiLevelType w:val="hybridMultilevel"/>
    <w:tmpl w:val="9B42C350"/>
    <w:lvl w:ilvl="0" w:tplc="04050017">
      <w:start w:val="1"/>
      <w:numFmt w:val="lowerLetter"/>
      <w:lvlText w:val="%1)"/>
      <w:lvlJc w:val="left"/>
      <w:pPr>
        <w:ind w:left="720" w:hanging="360"/>
      </w:pPr>
    </w:lvl>
    <w:lvl w:ilvl="1" w:tplc="04050017">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63E79A2"/>
    <w:multiLevelType w:val="hybridMultilevel"/>
    <w:tmpl w:val="D5BC1AEA"/>
    <w:lvl w:ilvl="0" w:tplc="028031CC">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6"/>
  </w:num>
  <w:num w:numId="2">
    <w:abstractNumId w:val="17"/>
  </w:num>
  <w:num w:numId="3">
    <w:abstractNumId w:val="12"/>
  </w:num>
  <w:num w:numId="4">
    <w:abstractNumId w:val="28"/>
  </w:num>
  <w:num w:numId="5">
    <w:abstractNumId w:val="10"/>
  </w:num>
  <w:num w:numId="6">
    <w:abstractNumId w:val="20"/>
  </w:num>
  <w:num w:numId="7">
    <w:abstractNumId w:val="24"/>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13"/>
  </w:num>
  <w:num w:numId="13">
    <w:abstractNumId w:val="1"/>
  </w:num>
  <w:num w:numId="14">
    <w:abstractNumId w:val="14"/>
  </w:num>
  <w:num w:numId="15">
    <w:abstractNumId w:val="15"/>
  </w:num>
  <w:num w:numId="16">
    <w:abstractNumId w:val="28"/>
  </w:num>
  <w:num w:numId="17">
    <w:abstractNumId w:val="30"/>
  </w:num>
  <w:num w:numId="18">
    <w:abstractNumId w:val="8"/>
  </w:num>
  <w:num w:numId="19">
    <w:abstractNumId w:val="3"/>
  </w:num>
  <w:num w:numId="20">
    <w:abstractNumId w:val="2"/>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9"/>
  </w:num>
  <w:num w:numId="28">
    <w:abstractNumId w:val="29"/>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18"/>
  </w:num>
  <w:num w:numId="32">
    <w:abstractNumId w:val="22"/>
  </w:num>
  <w:num w:numId="33">
    <w:abstractNumId w:val="25"/>
  </w:num>
  <w:num w:numId="34">
    <w:abstractNumId w:val="35"/>
  </w:num>
  <w:num w:numId="35">
    <w:abstractNumId w:val="31"/>
  </w:num>
  <w:num w:numId="36">
    <w:abstractNumId w:val="26"/>
  </w:num>
  <w:num w:numId="37">
    <w:abstractNumId w:val="23"/>
  </w:num>
  <w:num w:numId="38">
    <w:abstractNumId w:val="34"/>
  </w:num>
  <w:num w:numId="39">
    <w:abstractNumId w:val="32"/>
  </w:num>
  <w:num w:numId="40">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sTA0NDEyMbQwsTBT0lEKTi0uzszPAykwrQUAXtqRKCwAAAA="/>
  </w:docVars>
  <w:rsids>
    <w:rsidRoot w:val="00F5720D"/>
    <w:rsid w:val="00001C7A"/>
    <w:rsid w:val="00005077"/>
    <w:rsid w:val="00007EA1"/>
    <w:rsid w:val="00013733"/>
    <w:rsid w:val="00014892"/>
    <w:rsid w:val="00014D9E"/>
    <w:rsid w:val="00014F16"/>
    <w:rsid w:val="00016F9D"/>
    <w:rsid w:val="00017379"/>
    <w:rsid w:val="00020ED5"/>
    <w:rsid w:val="0002153D"/>
    <w:rsid w:val="00021987"/>
    <w:rsid w:val="00021A17"/>
    <w:rsid w:val="0002317C"/>
    <w:rsid w:val="000249AC"/>
    <w:rsid w:val="000277CB"/>
    <w:rsid w:val="000309DD"/>
    <w:rsid w:val="0003356D"/>
    <w:rsid w:val="00033A56"/>
    <w:rsid w:val="00033A72"/>
    <w:rsid w:val="00035614"/>
    <w:rsid w:val="00035E3D"/>
    <w:rsid w:val="00036885"/>
    <w:rsid w:val="0004173E"/>
    <w:rsid w:val="00042650"/>
    <w:rsid w:val="000456AF"/>
    <w:rsid w:val="0004668F"/>
    <w:rsid w:val="000516C7"/>
    <w:rsid w:val="00053CE6"/>
    <w:rsid w:val="0005781C"/>
    <w:rsid w:val="00057DA0"/>
    <w:rsid w:val="00064421"/>
    <w:rsid w:val="00064EDB"/>
    <w:rsid w:val="0006634A"/>
    <w:rsid w:val="00066591"/>
    <w:rsid w:val="00070CD1"/>
    <w:rsid w:val="00071A5C"/>
    <w:rsid w:val="00071F74"/>
    <w:rsid w:val="00072AE8"/>
    <w:rsid w:val="000735D8"/>
    <w:rsid w:val="00073D2C"/>
    <w:rsid w:val="00073F7F"/>
    <w:rsid w:val="00074BB4"/>
    <w:rsid w:val="00075F53"/>
    <w:rsid w:val="00080566"/>
    <w:rsid w:val="0008516C"/>
    <w:rsid w:val="00085FB7"/>
    <w:rsid w:val="00087089"/>
    <w:rsid w:val="0008720D"/>
    <w:rsid w:val="0009298C"/>
    <w:rsid w:val="00092EB8"/>
    <w:rsid w:val="00093C2A"/>
    <w:rsid w:val="00096E99"/>
    <w:rsid w:val="000A1F9A"/>
    <w:rsid w:val="000A3A41"/>
    <w:rsid w:val="000A40F3"/>
    <w:rsid w:val="000A5510"/>
    <w:rsid w:val="000A6114"/>
    <w:rsid w:val="000A68EB"/>
    <w:rsid w:val="000A7DD7"/>
    <w:rsid w:val="000A7FED"/>
    <w:rsid w:val="000B23C3"/>
    <w:rsid w:val="000B26D1"/>
    <w:rsid w:val="000B3A62"/>
    <w:rsid w:val="000B443F"/>
    <w:rsid w:val="000C45A4"/>
    <w:rsid w:val="000C58BF"/>
    <w:rsid w:val="000C5BC9"/>
    <w:rsid w:val="000C62DE"/>
    <w:rsid w:val="000D2155"/>
    <w:rsid w:val="000D7654"/>
    <w:rsid w:val="000E06B7"/>
    <w:rsid w:val="000E2D68"/>
    <w:rsid w:val="000E6F20"/>
    <w:rsid w:val="000E7F05"/>
    <w:rsid w:val="000F18E6"/>
    <w:rsid w:val="000F19A9"/>
    <w:rsid w:val="000F2938"/>
    <w:rsid w:val="000F5176"/>
    <w:rsid w:val="00103483"/>
    <w:rsid w:val="00107F9C"/>
    <w:rsid w:val="0011093D"/>
    <w:rsid w:val="00111E43"/>
    <w:rsid w:val="00111E98"/>
    <w:rsid w:val="00112E05"/>
    <w:rsid w:val="0011340F"/>
    <w:rsid w:val="00123BC9"/>
    <w:rsid w:val="0013237A"/>
    <w:rsid w:val="00133BFF"/>
    <w:rsid w:val="001406E6"/>
    <w:rsid w:val="001420AB"/>
    <w:rsid w:val="00143330"/>
    <w:rsid w:val="0014389E"/>
    <w:rsid w:val="0015223B"/>
    <w:rsid w:val="0015261C"/>
    <w:rsid w:val="00163A88"/>
    <w:rsid w:val="00164230"/>
    <w:rsid w:val="001652A9"/>
    <w:rsid w:val="00165CEC"/>
    <w:rsid w:val="00166C33"/>
    <w:rsid w:val="00166D05"/>
    <w:rsid w:val="00167B79"/>
    <w:rsid w:val="001700B3"/>
    <w:rsid w:val="00171726"/>
    <w:rsid w:val="001737A6"/>
    <w:rsid w:val="001747DE"/>
    <w:rsid w:val="001776EC"/>
    <w:rsid w:val="001824D4"/>
    <w:rsid w:val="00184284"/>
    <w:rsid w:val="00185B23"/>
    <w:rsid w:val="00185EB0"/>
    <w:rsid w:val="001A0453"/>
    <w:rsid w:val="001A0D07"/>
    <w:rsid w:val="001A1DA1"/>
    <w:rsid w:val="001A26C7"/>
    <w:rsid w:val="001A381E"/>
    <w:rsid w:val="001A3A1E"/>
    <w:rsid w:val="001B0592"/>
    <w:rsid w:val="001B38EA"/>
    <w:rsid w:val="001B4A47"/>
    <w:rsid w:val="001B649A"/>
    <w:rsid w:val="001C1F78"/>
    <w:rsid w:val="001C3DAF"/>
    <w:rsid w:val="001D07E6"/>
    <w:rsid w:val="001D18B1"/>
    <w:rsid w:val="001D20E5"/>
    <w:rsid w:val="001D2C02"/>
    <w:rsid w:val="001D3B4C"/>
    <w:rsid w:val="001D4058"/>
    <w:rsid w:val="001D4DFA"/>
    <w:rsid w:val="001D6AD3"/>
    <w:rsid w:val="001E16A1"/>
    <w:rsid w:val="001E2BB0"/>
    <w:rsid w:val="001F5B00"/>
    <w:rsid w:val="001F7326"/>
    <w:rsid w:val="001F78BB"/>
    <w:rsid w:val="00200237"/>
    <w:rsid w:val="00202658"/>
    <w:rsid w:val="002032D2"/>
    <w:rsid w:val="0020330D"/>
    <w:rsid w:val="002055A9"/>
    <w:rsid w:val="002065EF"/>
    <w:rsid w:val="002109CA"/>
    <w:rsid w:val="00211139"/>
    <w:rsid w:val="00212752"/>
    <w:rsid w:val="00213386"/>
    <w:rsid w:val="002140E2"/>
    <w:rsid w:val="00215646"/>
    <w:rsid w:val="00217179"/>
    <w:rsid w:val="002171D8"/>
    <w:rsid w:val="002176D6"/>
    <w:rsid w:val="0021770D"/>
    <w:rsid w:val="00220283"/>
    <w:rsid w:val="00221723"/>
    <w:rsid w:val="00221FC5"/>
    <w:rsid w:val="00223D91"/>
    <w:rsid w:val="00226603"/>
    <w:rsid w:val="0023419A"/>
    <w:rsid w:val="00235864"/>
    <w:rsid w:val="00237DAC"/>
    <w:rsid w:val="00243954"/>
    <w:rsid w:val="002452F1"/>
    <w:rsid w:val="0024561E"/>
    <w:rsid w:val="00245CD7"/>
    <w:rsid w:val="0025101E"/>
    <w:rsid w:val="00252781"/>
    <w:rsid w:val="00254D84"/>
    <w:rsid w:val="0025544A"/>
    <w:rsid w:val="00256099"/>
    <w:rsid w:val="0026158F"/>
    <w:rsid w:val="002622BE"/>
    <w:rsid w:val="00265D6E"/>
    <w:rsid w:val="0026774A"/>
    <w:rsid w:val="002700B2"/>
    <w:rsid w:val="002769D8"/>
    <w:rsid w:val="00277388"/>
    <w:rsid w:val="00280791"/>
    <w:rsid w:val="00282376"/>
    <w:rsid w:val="0028341D"/>
    <w:rsid w:val="0028385C"/>
    <w:rsid w:val="00284749"/>
    <w:rsid w:val="0028742F"/>
    <w:rsid w:val="00290B65"/>
    <w:rsid w:val="00291178"/>
    <w:rsid w:val="0029153A"/>
    <w:rsid w:val="002940E5"/>
    <w:rsid w:val="00294441"/>
    <w:rsid w:val="00296365"/>
    <w:rsid w:val="002A7011"/>
    <w:rsid w:val="002A75AF"/>
    <w:rsid w:val="002B526B"/>
    <w:rsid w:val="002B7788"/>
    <w:rsid w:val="002C0EEE"/>
    <w:rsid w:val="002C1BD6"/>
    <w:rsid w:val="002C2DBB"/>
    <w:rsid w:val="002C3127"/>
    <w:rsid w:val="002C40C3"/>
    <w:rsid w:val="002C66AB"/>
    <w:rsid w:val="002C7AF9"/>
    <w:rsid w:val="002D0F90"/>
    <w:rsid w:val="002D3B15"/>
    <w:rsid w:val="002D50EE"/>
    <w:rsid w:val="002D70DD"/>
    <w:rsid w:val="002D7EB0"/>
    <w:rsid w:val="002E168E"/>
    <w:rsid w:val="002E5BC1"/>
    <w:rsid w:val="002E7371"/>
    <w:rsid w:val="002F504D"/>
    <w:rsid w:val="002F741F"/>
    <w:rsid w:val="003019F6"/>
    <w:rsid w:val="00302409"/>
    <w:rsid w:val="00302B30"/>
    <w:rsid w:val="00305227"/>
    <w:rsid w:val="00306CD0"/>
    <w:rsid w:val="00306DAB"/>
    <w:rsid w:val="0031164C"/>
    <w:rsid w:val="0031188C"/>
    <w:rsid w:val="00314455"/>
    <w:rsid w:val="003158D7"/>
    <w:rsid w:val="00315D2E"/>
    <w:rsid w:val="00316846"/>
    <w:rsid w:val="00317D25"/>
    <w:rsid w:val="00317EB6"/>
    <w:rsid w:val="00321E54"/>
    <w:rsid w:val="00322865"/>
    <w:rsid w:val="003238DF"/>
    <w:rsid w:val="00323F09"/>
    <w:rsid w:val="0032663B"/>
    <w:rsid w:val="00327F65"/>
    <w:rsid w:val="003309F5"/>
    <w:rsid w:val="00330C10"/>
    <w:rsid w:val="00336AE3"/>
    <w:rsid w:val="00343B1D"/>
    <w:rsid w:val="00343B68"/>
    <w:rsid w:val="0034608B"/>
    <w:rsid w:val="00346CA3"/>
    <w:rsid w:val="00346CAC"/>
    <w:rsid w:val="0035468A"/>
    <w:rsid w:val="00354882"/>
    <w:rsid w:val="00354D88"/>
    <w:rsid w:val="00355C70"/>
    <w:rsid w:val="00357460"/>
    <w:rsid w:val="0035750C"/>
    <w:rsid w:val="003634D8"/>
    <w:rsid w:val="00367C34"/>
    <w:rsid w:val="00374362"/>
    <w:rsid w:val="003842B9"/>
    <w:rsid w:val="00384A35"/>
    <w:rsid w:val="0038582A"/>
    <w:rsid w:val="0038603F"/>
    <w:rsid w:val="0038637C"/>
    <w:rsid w:val="00387836"/>
    <w:rsid w:val="003943A1"/>
    <w:rsid w:val="003A082A"/>
    <w:rsid w:val="003A1325"/>
    <w:rsid w:val="003A151E"/>
    <w:rsid w:val="003A3131"/>
    <w:rsid w:val="003A4D6D"/>
    <w:rsid w:val="003B3FBE"/>
    <w:rsid w:val="003B490B"/>
    <w:rsid w:val="003B4DC4"/>
    <w:rsid w:val="003B63C6"/>
    <w:rsid w:val="003C126B"/>
    <w:rsid w:val="003C2DC5"/>
    <w:rsid w:val="003C3ABF"/>
    <w:rsid w:val="003C44B8"/>
    <w:rsid w:val="003D02EA"/>
    <w:rsid w:val="003D1577"/>
    <w:rsid w:val="003D2EF8"/>
    <w:rsid w:val="003D41E6"/>
    <w:rsid w:val="003D658D"/>
    <w:rsid w:val="003E080C"/>
    <w:rsid w:val="003E347E"/>
    <w:rsid w:val="003E5A65"/>
    <w:rsid w:val="003F0D37"/>
    <w:rsid w:val="003F2E2D"/>
    <w:rsid w:val="003F4004"/>
    <w:rsid w:val="003F7769"/>
    <w:rsid w:val="00403C6E"/>
    <w:rsid w:val="00403D35"/>
    <w:rsid w:val="00405B07"/>
    <w:rsid w:val="00405DE0"/>
    <w:rsid w:val="00407C50"/>
    <w:rsid w:val="00410542"/>
    <w:rsid w:val="0041448E"/>
    <w:rsid w:val="00416237"/>
    <w:rsid w:val="004163DC"/>
    <w:rsid w:val="0042168A"/>
    <w:rsid w:val="0042403C"/>
    <w:rsid w:val="00424F1B"/>
    <w:rsid w:val="004259EF"/>
    <w:rsid w:val="00426EA6"/>
    <w:rsid w:val="00431742"/>
    <w:rsid w:val="00432359"/>
    <w:rsid w:val="00434422"/>
    <w:rsid w:val="00435474"/>
    <w:rsid w:val="00436D87"/>
    <w:rsid w:val="00441444"/>
    <w:rsid w:val="0044274F"/>
    <w:rsid w:val="00444B8C"/>
    <w:rsid w:val="00445B1E"/>
    <w:rsid w:val="004460C8"/>
    <w:rsid w:val="00451310"/>
    <w:rsid w:val="00452BEC"/>
    <w:rsid w:val="00454AB8"/>
    <w:rsid w:val="00455F4A"/>
    <w:rsid w:val="00457E4B"/>
    <w:rsid w:val="00461146"/>
    <w:rsid w:val="00463B0D"/>
    <w:rsid w:val="004640A6"/>
    <w:rsid w:val="00464A33"/>
    <w:rsid w:val="00474487"/>
    <w:rsid w:val="00476A72"/>
    <w:rsid w:val="0048094A"/>
    <w:rsid w:val="00480F0F"/>
    <w:rsid w:val="00481FD9"/>
    <w:rsid w:val="0048660B"/>
    <w:rsid w:val="004869FD"/>
    <w:rsid w:val="00487104"/>
    <w:rsid w:val="00487642"/>
    <w:rsid w:val="00490C0E"/>
    <w:rsid w:val="00490EE9"/>
    <w:rsid w:val="004A0F6D"/>
    <w:rsid w:val="004A2FB5"/>
    <w:rsid w:val="004A3F71"/>
    <w:rsid w:val="004A4D0A"/>
    <w:rsid w:val="004A5BFF"/>
    <w:rsid w:val="004A7797"/>
    <w:rsid w:val="004A7F67"/>
    <w:rsid w:val="004B0095"/>
    <w:rsid w:val="004B36A7"/>
    <w:rsid w:val="004B59CE"/>
    <w:rsid w:val="004B6372"/>
    <w:rsid w:val="004B7659"/>
    <w:rsid w:val="004B7ACD"/>
    <w:rsid w:val="004C030F"/>
    <w:rsid w:val="004C059D"/>
    <w:rsid w:val="004C1FE1"/>
    <w:rsid w:val="004C59B3"/>
    <w:rsid w:val="004C5A6F"/>
    <w:rsid w:val="004C6DD5"/>
    <w:rsid w:val="004D0392"/>
    <w:rsid w:val="004D4535"/>
    <w:rsid w:val="004D6E86"/>
    <w:rsid w:val="004D72DB"/>
    <w:rsid w:val="004E0268"/>
    <w:rsid w:val="004E1427"/>
    <w:rsid w:val="004E7C7D"/>
    <w:rsid w:val="004F0837"/>
    <w:rsid w:val="004F16BB"/>
    <w:rsid w:val="004F582E"/>
    <w:rsid w:val="00501B0B"/>
    <w:rsid w:val="00502DED"/>
    <w:rsid w:val="00503B43"/>
    <w:rsid w:val="00504427"/>
    <w:rsid w:val="00505252"/>
    <w:rsid w:val="0050550B"/>
    <w:rsid w:val="00506569"/>
    <w:rsid w:val="00506576"/>
    <w:rsid w:val="005107BE"/>
    <w:rsid w:val="00520FE5"/>
    <w:rsid w:val="00522885"/>
    <w:rsid w:val="005241EA"/>
    <w:rsid w:val="0052583E"/>
    <w:rsid w:val="00527EA5"/>
    <w:rsid w:val="00527F19"/>
    <w:rsid w:val="005300B9"/>
    <w:rsid w:val="00531AC8"/>
    <w:rsid w:val="0053313B"/>
    <w:rsid w:val="00534B75"/>
    <w:rsid w:val="00535BB0"/>
    <w:rsid w:val="00535C1E"/>
    <w:rsid w:val="005368C7"/>
    <w:rsid w:val="00544865"/>
    <w:rsid w:val="00544E06"/>
    <w:rsid w:val="0054677D"/>
    <w:rsid w:val="00550C15"/>
    <w:rsid w:val="00552FA6"/>
    <w:rsid w:val="0055487B"/>
    <w:rsid w:val="005556EE"/>
    <w:rsid w:val="00557661"/>
    <w:rsid w:val="005600BB"/>
    <w:rsid w:val="00560F65"/>
    <w:rsid w:val="00563065"/>
    <w:rsid w:val="00563AD2"/>
    <w:rsid w:val="00565089"/>
    <w:rsid w:val="005659AC"/>
    <w:rsid w:val="005675A3"/>
    <w:rsid w:val="00571D05"/>
    <w:rsid w:val="00572711"/>
    <w:rsid w:val="005737D4"/>
    <w:rsid w:val="005771F3"/>
    <w:rsid w:val="0057783D"/>
    <w:rsid w:val="00580B9A"/>
    <w:rsid w:val="00581F0E"/>
    <w:rsid w:val="005821EA"/>
    <w:rsid w:val="00582682"/>
    <w:rsid w:val="005833DF"/>
    <w:rsid w:val="00585850"/>
    <w:rsid w:val="00586453"/>
    <w:rsid w:val="005910F7"/>
    <w:rsid w:val="00592012"/>
    <w:rsid w:val="00592C18"/>
    <w:rsid w:val="005960FA"/>
    <w:rsid w:val="00597321"/>
    <w:rsid w:val="005A0080"/>
    <w:rsid w:val="005A1942"/>
    <w:rsid w:val="005A19F3"/>
    <w:rsid w:val="005A23F8"/>
    <w:rsid w:val="005A2E39"/>
    <w:rsid w:val="005A7E15"/>
    <w:rsid w:val="005B0379"/>
    <w:rsid w:val="005B1FB4"/>
    <w:rsid w:val="005B38BC"/>
    <w:rsid w:val="005B4D4C"/>
    <w:rsid w:val="005C2086"/>
    <w:rsid w:val="005C442C"/>
    <w:rsid w:val="005C78C1"/>
    <w:rsid w:val="005D13E6"/>
    <w:rsid w:val="005D3451"/>
    <w:rsid w:val="005D38F2"/>
    <w:rsid w:val="005D6A1B"/>
    <w:rsid w:val="005E1918"/>
    <w:rsid w:val="005E6F3B"/>
    <w:rsid w:val="005F4CDA"/>
    <w:rsid w:val="005F5669"/>
    <w:rsid w:val="005F7B5D"/>
    <w:rsid w:val="00601DBD"/>
    <w:rsid w:val="00602187"/>
    <w:rsid w:val="006029BD"/>
    <w:rsid w:val="00604BAE"/>
    <w:rsid w:val="00604C68"/>
    <w:rsid w:val="00606A59"/>
    <w:rsid w:val="00607065"/>
    <w:rsid w:val="006116C7"/>
    <w:rsid w:val="00612B7E"/>
    <w:rsid w:val="00614A6D"/>
    <w:rsid w:val="00615972"/>
    <w:rsid w:val="00616B6D"/>
    <w:rsid w:val="00617109"/>
    <w:rsid w:val="00621C7A"/>
    <w:rsid w:val="00622431"/>
    <w:rsid w:val="00622E00"/>
    <w:rsid w:val="00623331"/>
    <w:rsid w:val="00624596"/>
    <w:rsid w:val="00631848"/>
    <w:rsid w:val="00632194"/>
    <w:rsid w:val="00632E97"/>
    <w:rsid w:val="00633010"/>
    <w:rsid w:val="006351B0"/>
    <w:rsid w:val="00637872"/>
    <w:rsid w:val="00640738"/>
    <w:rsid w:val="0064168F"/>
    <w:rsid w:val="00642FE2"/>
    <w:rsid w:val="00643340"/>
    <w:rsid w:val="0064419F"/>
    <w:rsid w:val="00645733"/>
    <w:rsid w:val="00645A9B"/>
    <w:rsid w:val="006509D2"/>
    <w:rsid w:val="00650C32"/>
    <w:rsid w:val="006513C7"/>
    <w:rsid w:val="006517E4"/>
    <w:rsid w:val="0065252F"/>
    <w:rsid w:val="006533E0"/>
    <w:rsid w:val="0065404C"/>
    <w:rsid w:val="0065604C"/>
    <w:rsid w:val="00660290"/>
    <w:rsid w:val="0066199E"/>
    <w:rsid w:val="006638ED"/>
    <w:rsid w:val="0066618E"/>
    <w:rsid w:val="00670385"/>
    <w:rsid w:val="0067082A"/>
    <w:rsid w:val="00670E09"/>
    <w:rsid w:val="00671258"/>
    <w:rsid w:val="006736F8"/>
    <w:rsid w:val="00675FF9"/>
    <w:rsid w:val="00676DA6"/>
    <w:rsid w:val="00680981"/>
    <w:rsid w:val="006822E9"/>
    <w:rsid w:val="0068320A"/>
    <w:rsid w:val="00683DCE"/>
    <w:rsid w:val="00684AEB"/>
    <w:rsid w:val="0068523B"/>
    <w:rsid w:val="00687D5F"/>
    <w:rsid w:val="00690EE1"/>
    <w:rsid w:val="00694231"/>
    <w:rsid w:val="006A071D"/>
    <w:rsid w:val="006A0E98"/>
    <w:rsid w:val="006A26EB"/>
    <w:rsid w:val="006A3DEA"/>
    <w:rsid w:val="006A58DA"/>
    <w:rsid w:val="006A6936"/>
    <w:rsid w:val="006B125D"/>
    <w:rsid w:val="006B1382"/>
    <w:rsid w:val="006B1605"/>
    <w:rsid w:val="006B2280"/>
    <w:rsid w:val="006B32B0"/>
    <w:rsid w:val="006B340B"/>
    <w:rsid w:val="006B3F7E"/>
    <w:rsid w:val="006B6D4B"/>
    <w:rsid w:val="006C01B3"/>
    <w:rsid w:val="006C3680"/>
    <w:rsid w:val="006C74E7"/>
    <w:rsid w:val="006D07AC"/>
    <w:rsid w:val="006D09FF"/>
    <w:rsid w:val="006D0BED"/>
    <w:rsid w:val="006D573A"/>
    <w:rsid w:val="006D61D0"/>
    <w:rsid w:val="006E060D"/>
    <w:rsid w:val="006F31B6"/>
    <w:rsid w:val="006F75FB"/>
    <w:rsid w:val="007009C4"/>
    <w:rsid w:val="00702226"/>
    <w:rsid w:val="00704FF3"/>
    <w:rsid w:val="0071071E"/>
    <w:rsid w:val="00712F80"/>
    <w:rsid w:val="00712FE2"/>
    <w:rsid w:val="00714AA5"/>
    <w:rsid w:val="007153E5"/>
    <w:rsid w:val="007168E3"/>
    <w:rsid w:val="007208E3"/>
    <w:rsid w:val="007213C2"/>
    <w:rsid w:val="00723024"/>
    <w:rsid w:val="007239A1"/>
    <w:rsid w:val="00725526"/>
    <w:rsid w:val="007335BB"/>
    <w:rsid w:val="00735CA9"/>
    <w:rsid w:val="00740A8E"/>
    <w:rsid w:val="00740F70"/>
    <w:rsid w:val="00742042"/>
    <w:rsid w:val="0074265E"/>
    <w:rsid w:val="0074422D"/>
    <w:rsid w:val="0074638E"/>
    <w:rsid w:val="00751FEB"/>
    <w:rsid w:val="007607AE"/>
    <w:rsid w:val="00761348"/>
    <w:rsid w:val="00761579"/>
    <w:rsid w:val="00770782"/>
    <w:rsid w:val="007712F7"/>
    <w:rsid w:val="007727F4"/>
    <w:rsid w:val="00775DAC"/>
    <w:rsid w:val="007769BD"/>
    <w:rsid w:val="007779E5"/>
    <w:rsid w:val="0078032B"/>
    <w:rsid w:val="007809EC"/>
    <w:rsid w:val="00780E6F"/>
    <w:rsid w:val="0078331D"/>
    <w:rsid w:val="00783A21"/>
    <w:rsid w:val="00783C4F"/>
    <w:rsid w:val="0078641E"/>
    <w:rsid w:val="00790436"/>
    <w:rsid w:val="00792115"/>
    <w:rsid w:val="00793CF7"/>
    <w:rsid w:val="00795CAF"/>
    <w:rsid w:val="007A1818"/>
    <w:rsid w:val="007A2A0E"/>
    <w:rsid w:val="007A30B4"/>
    <w:rsid w:val="007A465C"/>
    <w:rsid w:val="007A4F4D"/>
    <w:rsid w:val="007B3D3D"/>
    <w:rsid w:val="007B6A16"/>
    <w:rsid w:val="007C0809"/>
    <w:rsid w:val="007C09D7"/>
    <w:rsid w:val="007C29B7"/>
    <w:rsid w:val="007C2E8F"/>
    <w:rsid w:val="007C3DB7"/>
    <w:rsid w:val="007C3F1F"/>
    <w:rsid w:val="007C4FD4"/>
    <w:rsid w:val="007C56BC"/>
    <w:rsid w:val="007C586B"/>
    <w:rsid w:val="007C63AC"/>
    <w:rsid w:val="007D153E"/>
    <w:rsid w:val="007D15C9"/>
    <w:rsid w:val="007D4CD3"/>
    <w:rsid w:val="007D5F2A"/>
    <w:rsid w:val="007E1911"/>
    <w:rsid w:val="007E2B01"/>
    <w:rsid w:val="007E3430"/>
    <w:rsid w:val="007E3849"/>
    <w:rsid w:val="007E3C35"/>
    <w:rsid w:val="007E3D7F"/>
    <w:rsid w:val="007E40D7"/>
    <w:rsid w:val="007E4113"/>
    <w:rsid w:val="007E5729"/>
    <w:rsid w:val="007E595B"/>
    <w:rsid w:val="007E6131"/>
    <w:rsid w:val="007F200D"/>
    <w:rsid w:val="007F47FA"/>
    <w:rsid w:val="007F5816"/>
    <w:rsid w:val="007F63F7"/>
    <w:rsid w:val="007F74AD"/>
    <w:rsid w:val="00800459"/>
    <w:rsid w:val="0080045E"/>
    <w:rsid w:val="00801D94"/>
    <w:rsid w:val="008023AF"/>
    <w:rsid w:val="0080413F"/>
    <w:rsid w:val="00804E97"/>
    <w:rsid w:val="008107B5"/>
    <w:rsid w:val="008121A0"/>
    <w:rsid w:val="00814142"/>
    <w:rsid w:val="00820488"/>
    <w:rsid w:val="008212AE"/>
    <w:rsid w:val="008221B3"/>
    <w:rsid w:val="00822550"/>
    <w:rsid w:val="00822778"/>
    <w:rsid w:val="0082282A"/>
    <w:rsid w:val="008237FE"/>
    <w:rsid w:val="00823AFB"/>
    <w:rsid w:val="00830106"/>
    <w:rsid w:val="00833822"/>
    <w:rsid w:val="0083431A"/>
    <w:rsid w:val="00834CEE"/>
    <w:rsid w:val="00835730"/>
    <w:rsid w:val="00835BB4"/>
    <w:rsid w:val="00835D9F"/>
    <w:rsid w:val="00837131"/>
    <w:rsid w:val="00837E43"/>
    <w:rsid w:val="00837EFF"/>
    <w:rsid w:val="00842115"/>
    <w:rsid w:val="00843851"/>
    <w:rsid w:val="0084419A"/>
    <w:rsid w:val="00845268"/>
    <w:rsid w:val="00855324"/>
    <w:rsid w:val="00862864"/>
    <w:rsid w:val="008656BB"/>
    <w:rsid w:val="00865EEA"/>
    <w:rsid w:val="00867518"/>
    <w:rsid w:val="008702D2"/>
    <w:rsid w:val="008718F5"/>
    <w:rsid w:val="0087461D"/>
    <w:rsid w:val="00875C12"/>
    <w:rsid w:val="00877B8F"/>
    <w:rsid w:val="00880BE5"/>
    <w:rsid w:val="00882982"/>
    <w:rsid w:val="0088391F"/>
    <w:rsid w:val="00885520"/>
    <w:rsid w:val="00886F80"/>
    <w:rsid w:val="00890BBA"/>
    <w:rsid w:val="00890C10"/>
    <w:rsid w:val="00892FEB"/>
    <w:rsid w:val="008933F8"/>
    <w:rsid w:val="00893466"/>
    <w:rsid w:val="008935F9"/>
    <w:rsid w:val="00893953"/>
    <w:rsid w:val="008A0BC3"/>
    <w:rsid w:val="008A1AAA"/>
    <w:rsid w:val="008A2D18"/>
    <w:rsid w:val="008A305D"/>
    <w:rsid w:val="008A4564"/>
    <w:rsid w:val="008A5F90"/>
    <w:rsid w:val="008A7567"/>
    <w:rsid w:val="008A7760"/>
    <w:rsid w:val="008B551D"/>
    <w:rsid w:val="008B7983"/>
    <w:rsid w:val="008B7E3C"/>
    <w:rsid w:val="008C507A"/>
    <w:rsid w:val="008D11FF"/>
    <w:rsid w:val="008D1A6D"/>
    <w:rsid w:val="008D3066"/>
    <w:rsid w:val="008D52DC"/>
    <w:rsid w:val="008E16A9"/>
    <w:rsid w:val="008E3CC6"/>
    <w:rsid w:val="008E6858"/>
    <w:rsid w:val="008E6FD6"/>
    <w:rsid w:val="008E7352"/>
    <w:rsid w:val="008F01E9"/>
    <w:rsid w:val="008F045F"/>
    <w:rsid w:val="008F2D93"/>
    <w:rsid w:val="008F5440"/>
    <w:rsid w:val="009041EF"/>
    <w:rsid w:val="009071B8"/>
    <w:rsid w:val="00907E5B"/>
    <w:rsid w:val="0091056E"/>
    <w:rsid w:val="009134A1"/>
    <w:rsid w:val="009203AF"/>
    <w:rsid w:val="0092081B"/>
    <w:rsid w:val="00920BE6"/>
    <w:rsid w:val="0092286C"/>
    <w:rsid w:val="00925D79"/>
    <w:rsid w:val="00931FE9"/>
    <w:rsid w:val="009325EC"/>
    <w:rsid w:val="00932DC9"/>
    <w:rsid w:val="009345B3"/>
    <w:rsid w:val="00936F4B"/>
    <w:rsid w:val="0094035E"/>
    <w:rsid w:val="00944A04"/>
    <w:rsid w:val="009453E2"/>
    <w:rsid w:val="00945A54"/>
    <w:rsid w:val="009541EF"/>
    <w:rsid w:val="00960B61"/>
    <w:rsid w:val="00960EC2"/>
    <w:rsid w:val="00963048"/>
    <w:rsid w:val="00963B78"/>
    <w:rsid w:val="00965375"/>
    <w:rsid w:val="00970E5B"/>
    <w:rsid w:val="00971F2D"/>
    <w:rsid w:val="00973596"/>
    <w:rsid w:val="009739A0"/>
    <w:rsid w:val="00975E9D"/>
    <w:rsid w:val="00976907"/>
    <w:rsid w:val="00982A2C"/>
    <w:rsid w:val="00983057"/>
    <w:rsid w:val="00984E0E"/>
    <w:rsid w:val="00986F73"/>
    <w:rsid w:val="009915A7"/>
    <w:rsid w:val="00992426"/>
    <w:rsid w:val="00992567"/>
    <w:rsid w:val="00992714"/>
    <w:rsid w:val="0099346C"/>
    <w:rsid w:val="0099713D"/>
    <w:rsid w:val="009A08B4"/>
    <w:rsid w:val="009A243E"/>
    <w:rsid w:val="009A4064"/>
    <w:rsid w:val="009A708E"/>
    <w:rsid w:val="009A756A"/>
    <w:rsid w:val="009B1944"/>
    <w:rsid w:val="009B2D79"/>
    <w:rsid w:val="009B465E"/>
    <w:rsid w:val="009B65D8"/>
    <w:rsid w:val="009B70C0"/>
    <w:rsid w:val="009C09B2"/>
    <w:rsid w:val="009C12B8"/>
    <w:rsid w:val="009C1A33"/>
    <w:rsid w:val="009C60BA"/>
    <w:rsid w:val="009C6C7A"/>
    <w:rsid w:val="009D0641"/>
    <w:rsid w:val="009D27D0"/>
    <w:rsid w:val="009D7D58"/>
    <w:rsid w:val="009E0923"/>
    <w:rsid w:val="009E232C"/>
    <w:rsid w:val="009E3E0D"/>
    <w:rsid w:val="009E4D70"/>
    <w:rsid w:val="009F0E16"/>
    <w:rsid w:val="009F2657"/>
    <w:rsid w:val="009F35D4"/>
    <w:rsid w:val="009F408F"/>
    <w:rsid w:val="009F41C1"/>
    <w:rsid w:val="009F46CA"/>
    <w:rsid w:val="009F4D08"/>
    <w:rsid w:val="009F6A20"/>
    <w:rsid w:val="00A00364"/>
    <w:rsid w:val="00A02E55"/>
    <w:rsid w:val="00A03C32"/>
    <w:rsid w:val="00A046E3"/>
    <w:rsid w:val="00A04868"/>
    <w:rsid w:val="00A05285"/>
    <w:rsid w:val="00A11585"/>
    <w:rsid w:val="00A11964"/>
    <w:rsid w:val="00A11C1F"/>
    <w:rsid w:val="00A12DCB"/>
    <w:rsid w:val="00A12E90"/>
    <w:rsid w:val="00A1785B"/>
    <w:rsid w:val="00A17FD8"/>
    <w:rsid w:val="00A24996"/>
    <w:rsid w:val="00A255D4"/>
    <w:rsid w:val="00A25ABE"/>
    <w:rsid w:val="00A25DAF"/>
    <w:rsid w:val="00A27229"/>
    <w:rsid w:val="00A35972"/>
    <w:rsid w:val="00A36EFB"/>
    <w:rsid w:val="00A40182"/>
    <w:rsid w:val="00A422EE"/>
    <w:rsid w:val="00A42A06"/>
    <w:rsid w:val="00A43B7A"/>
    <w:rsid w:val="00A44B63"/>
    <w:rsid w:val="00A454C4"/>
    <w:rsid w:val="00A50A54"/>
    <w:rsid w:val="00A52776"/>
    <w:rsid w:val="00A5591D"/>
    <w:rsid w:val="00A55EE2"/>
    <w:rsid w:val="00A63F13"/>
    <w:rsid w:val="00A64C1A"/>
    <w:rsid w:val="00A67059"/>
    <w:rsid w:val="00A67CA7"/>
    <w:rsid w:val="00A67FCF"/>
    <w:rsid w:val="00A709D0"/>
    <w:rsid w:val="00A76620"/>
    <w:rsid w:val="00A7709D"/>
    <w:rsid w:val="00A77150"/>
    <w:rsid w:val="00A77F96"/>
    <w:rsid w:val="00A81BE1"/>
    <w:rsid w:val="00A82C9A"/>
    <w:rsid w:val="00A91129"/>
    <w:rsid w:val="00A944FC"/>
    <w:rsid w:val="00A955FF"/>
    <w:rsid w:val="00AA23E2"/>
    <w:rsid w:val="00AB246D"/>
    <w:rsid w:val="00AB2620"/>
    <w:rsid w:val="00AB4642"/>
    <w:rsid w:val="00AB4DAF"/>
    <w:rsid w:val="00AC12C2"/>
    <w:rsid w:val="00AC2FB2"/>
    <w:rsid w:val="00AC4DA2"/>
    <w:rsid w:val="00AC5CD3"/>
    <w:rsid w:val="00AC6DE3"/>
    <w:rsid w:val="00AC722A"/>
    <w:rsid w:val="00AD02FD"/>
    <w:rsid w:val="00AD13CE"/>
    <w:rsid w:val="00AD33E4"/>
    <w:rsid w:val="00AD4989"/>
    <w:rsid w:val="00AE314E"/>
    <w:rsid w:val="00AE54DD"/>
    <w:rsid w:val="00AF06E8"/>
    <w:rsid w:val="00AF3519"/>
    <w:rsid w:val="00AF3DF2"/>
    <w:rsid w:val="00AF4EA9"/>
    <w:rsid w:val="00B048A4"/>
    <w:rsid w:val="00B04AAD"/>
    <w:rsid w:val="00B050DC"/>
    <w:rsid w:val="00B05F0F"/>
    <w:rsid w:val="00B07D8C"/>
    <w:rsid w:val="00B102B0"/>
    <w:rsid w:val="00B10956"/>
    <w:rsid w:val="00B11376"/>
    <w:rsid w:val="00B116AC"/>
    <w:rsid w:val="00B2041F"/>
    <w:rsid w:val="00B210FE"/>
    <w:rsid w:val="00B22103"/>
    <w:rsid w:val="00B23D15"/>
    <w:rsid w:val="00B243AC"/>
    <w:rsid w:val="00B25E90"/>
    <w:rsid w:val="00B26A23"/>
    <w:rsid w:val="00B305F2"/>
    <w:rsid w:val="00B40993"/>
    <w:rsid w:val="00B41228"/>
    <w:rsid w:val="00B4326E"/>
    <w:rsid w:val="00B438DD"/>
    <w:rsid w:val="00B44FA3"/>
    <w:rsid w:val="00B45210"/>
    <w:rsid w:val="00B51D7C"/>
    <w:rsid w:val="00B535C7"/>
    <w:rsid w:val="00B55488"/>
    <w:rsid w:val="00B55C6C"/>
    <w:rsid w:val="00B56268"/>
    <w:rsid w:val="00B57B5D"/>
    <w:rsid w:val="00B600B9"/>
    <w:rsid w:val="00B60B86"/>
    <w:rsid w:val="00B62592"/>
    <w:rsid w:val="00B63501"/>
    <w:rsid w:val="00B64A51"/>
    <w:rsid w:val="00B66DB4"/>
    <w:rsid w:val="00B677A1"/>
    <w:rsid w:val="00B702D2"/>
    <w:rsid w:val="00B709D2"/>
    <w:rsid w:val="00B73443"/>
    <w:rsid w:val="00B777AD"/>
    <w:rsid w:val="00B8045E"/>
    <w:rsid w:val="00B80823"/>
    <w:rsid w:val="00B80DC8"/>
    <w:rsid w:val="00B81574"/>
    <w:rsid w:val="00B84C59"/>
    <w:rsid w:val="00B854A8"/>
    <w:rsid w:val="00B85CCB"/>
    <w:rsid w:val="00B86E64"/>
    <w:rsid w:val="00B90B84"/>
    <w:rsid w:val="00B92680"/>
    <w:rsid w:val="00B93A13"/>
    <w:rsid w:val="00B95054"/>
    <w:rsid w:val="00B96748"/>
    <w:rsid w:val="00B96CFA"/>
    <w:rsid w:val="00BA11FC"/>
    <w:rsid w:val="00BB07D4"/>
    <w:rsid w:val="00BB0E8E"/>
    <w:rsid w:val="00BB0FFC"/>
    <w:rsid w:val="00BB2F55"/>
    <w:rsid w:val="00BB41CA"/>
    <w:rsid w:val="00BB4C26"/>
    <w:rsid w:val="00BB713F"/>
    <w:rsid w:val="00BB72CF"/>
    <w:rsid w:val="00BC3C81"/>
    <w:rsid w:val="00BC3E23"/>
    <w:rsid w:val="00BC523D"/>
    <w:rsid w:val="00BC751B"/>
    <w:rsid w:val="00BC794C"/>
    <w:rsid w:val="00BC7973"/>
    <w:rsid w:val="00BD0326"/>
    <w:rsid w:val="00BD0697"/>
    <w:rsid w:val="00BD19F1"/>
    <w:rsid w:val="00BD2225"/>
    <w:rsid w:val="00BD2768"/>
    <w:rsid w:val="00BD4BA8"/>
    <w:rsid w:val="00BD5AAA"/>
    <w:rsid w:val="00BD5F32"/>
    <w:rsid w:val="00BD6C11"/>
    <w:rsid w:val="00BE1B24"/>
    <w:rsid w:val="00BF0C12"/>
    <w:rsid w:val="00BF246F"/>
    <w:rsid w:val="00BF7002"/>
    <w:rsid w:val="00BF7DFA"/>
    <w:rsid w:val="00C000C8"/>
    <w:rsid w:val="00C0163D"/>
    <w:rsid w:val="00C02D85"/>
    <w:rsid w:val="00C049B0"/>
    <w:rsid w:val="00C05A7F"/>
    <w:rsid w:val="00C07442"/>
    <w:rsid w:val="00C07FDC"/>
    <w:rsid w:val="00C12A56"/>
    <w:rsid w:val="00C16FF0"/>
    <w:rsid w:val="00C22F9E"/>
    <w:rsid w:val="00C23F8C"/>
    <w:rsid w:val="00C240C1"/>
    <w:rsid w:val="00C24100"/>
    <w:rsid w:val="00C40273"/>
    <w:rsid w:val="00C40CEB"/>
    <w:rsid w:val="00C413A6"/>
    <w:rsid w:val="00C431FA"/>
    <w:rsid w:val="00C43B55"/>
    <w:rsid w:val="00C51777"/>
    <w:rsid w:val="00C51D67"/>
    <w:rsid w:val="00C53326"/>
    <w:rsid w:val="00C53812"/>
    <w:rsid w:val="00C55F78"/>
    <w:rsid w:val="00C56C51"/>
    <w:rsid w:val="00C633C5"/>
    <w:rsid w:val="00C6425B"/>
    <w:rsid w:val="00C6520D"/>
    <w:rsid w:val="00C67B5A"/>
    <w:rsid w:val="00C67E9E"/>
    <w:rsid w:val="00C70725"/>
    <w:rsid w:val="00C710F8"/>
    <w:rsid w:val="00C7176F"/>
    <w:rsid w:val="00C741C9"/>
    <w:rsid w:val="00C74F54"/>
    <w:rsid w:val="00C759E4"/>
    <w:rsid w:val="00C76659"/>
    <w:rsid w:val="00C80BC2"/>
    <w:rsid w:val="00C82FF1"/>
    <w:rsid w:val="00C908D0"/>
    <w:rsid w:val="00C92326"/>
    <w:rsid w:val="00C94794"/>
    <w:rsid w:val="00C94E75"/>
    <w:rsid w:val="00C95D61"/>
    <w:rsid w:val="00CA0634"/>
    <w:rsid w:val="00CA15BB"/>
    <w:rsid w:val="00CA2DBD"/>
    <w:rsid w:val="00CB1968"/>
    <w:rsid w:val="00CB1DAE"/>
    <w:rsid w:val="00CB21F4"/>
    <w:rsid w:val="00CB39C1"/>
    <w:rsid w:val="00CB3C30"/>
    <w:rsid w:val="00CB5D20"/>
    <w:rsid w:val="00CC162F"/>
    <w:rsid w:val="00CC1B20"/>
    <w:rsid w:val="00CC2202"/>
    <w:rsid w:val="00CC62D1"/>
    <w:rsid w:val="00CD0F0D"/>
    <w:rsid w:val="00CD1BA3"/>
    <w:rsid w:val="00CD230E"/>
    <w:rsid w:val="00CD3D7D"/>
    <w:rsid w:val="00CD3F86"/>
    <w:rsid w:val="00CD44CE"/>
    <w:rsid w:val="00CD5250"/>
    <w:rsid w:val="00CD5DE1"/>
    <w:rsid w:val="00CD7670"/>
    <w:rsid w:val="00CD79A7"/>
    <w:rsid w:val="00CE0AE5"/>
    <w:rsid w:val="00CE12A9"/>
    <w:rsid w:val="00CE13C8"/>
    <w:rsid w:val="00CE1848"/>
    <w:rsid w:val="00CE4BB9"/>
    <w:rsid w:val="00CF04B3"/>
    <w:rsid w:val="00CF124B"/>
    <w:rsid w:val="00CF1826"/>
    <w:rsid w:val="00CF2820"/>
    <w:rsid w:val="00CF2F44"/>
    <w:rsid w:val="00CF4158"/>
    <w:rsid w:val="00CF452D"/>
    <w:rsid w:val="00CF5151"/>
    <w:rsid w:val="00D008F0"/>
    <w:rsid w:val="00D009CB"/>
    <w:rsid w:val="00D04D8F"/>
    <w:rsid w:val="00D06F36"/>
    <w:rsid w:val="00D07029"/>
    <w:rsid w:val="00D11F66"/>
    <w:rsid w:val="00D134F0"/>
    <w:rsid w:val="00D143A4"/>
    <w:rsid w:val="00D14EBD"/>
    <w:rsid w:val="00D16B47"/>
    <w:rsid w:val="00D20BE9"/>
    <w:rsid w:val="00D24505"/>
    <w:rsid w:val="00D2487C"/>
    <w:rsid w:val="00D32A97"/>
    <w:rsid w:val="00D33A85"/>
    <w:rsid w:val="00D34B84"/>
    <w:rsid w:val="00D47554"/>
    <w:rsid w:val="00D476C0"/>
    <w:rsid w:val="00D536A5"/>
    <w:rsid w:val="00D56A9D"/>
    <w:rsid w:val="00D6044B"/>
    <w:rsid w:val="00D632A6"/>
    <w:rsid w:val="00D64511"/>
    <w:rsid w:val="00D67591"/>
    <w:rsid w:val="00D70D0C"/>
    <w:rsid w:val="00D71395"/>
    <w:rsid w:val="00D732B4"/>
    <w:rsid w:val="00D749CD"/>
    <w:rsid w:val="00D753CF"/>
    <w:rsid w:val="00D756C6"/>
    <w:rsid w:val="00D75E78"/>
    <w:rsid w:val="00D776A2"/>
    <w:rsid w:val="00D77FA3"/>
    <w:rsid w:val="00D808A3"/>
    <w:rsid w:val="00D85254"/>
    <w:rsid w:val="00D853A9"/>
    <w:rsid w:val="00D85A51"/>
    <w:rsid w:val="00D87E1E"/>
    <w:rsid w:val="00D87FA7"/>
    <w:rsid w:val="00D90550"/>
    <w:rsid w:val="00D95740"/>
    <w:rsid w:val="00D9667B"/>
    <w:rsid w:val="00D96FD9"/>
    <w:rsid w:val="00D973E5"/>
    <w:rsid w:val="00DA5777"/>
    <w:rsid w:val="00DA6680"/>
    <w:rsid w:val="00DA69AD"/>
    <w:rsid w:val="00DA7663"/>
    <w:rsid w:val="00DB4103"/>
    <w:rsid w:val="00DB6B70"/>
    <w:rsid w:val="00DC092F"/>
    <w:rsid w:val="00DC19E9"/>
    <w:rsid w:val="00DC241C"/>
    <w:rsid w:val="00DC29EF"/>
    <w:rsid w:val="00DC329F"/>
    <w:rsid w:val="00DC3810"/>
    <w:rsid w:val="00DC5FCA"/>
    <w:rsid w:val="00DC6873"/>
    <w:rsid w:val="00DC7076"/>
    <w:rsid w:val="00DC75B5"/>
    <w:rsid w:val="00DD4ED3"/>
    <w:rsid w:val="00DD575D"/>
    <w:rsid w:val="00DD5C27"/>
    <w:rsid w:val="00DD63F7"/>
    <w:rsid w:val="00DE335A"/>
    <w:rsid w:val="00DE45D9"/>
    <w:rsid w:val="00DE4FA3"/>
    <w:rsid w:val="00DE5DB6"/>
    <w:rsid w:val="00DE6729"/>
    <w:rsid w:val="00DE7A26"/>
    <w:rsid w:val="00DF100C"/>
    <w:rsid w:val="00DF241B"/>
    <w:rsid w:val="00DF4937"/>
    <w:rsid w:val="00DF4FF3"/>
    <w:rsid w:val="00DF5EA3"/>
    <w:rsid w:val="00E007DF"/>
    <w:rsid w:val="00E01E22"/>
    <w:rsid w:val="00E01FBD"/>
    <w:rsid w:val="00E023D1"/>
    <w:rsid w:val="00E03A19"/>
    <w:rsid w:val="00E063E1"/>
    <w:rsid w:val="00E07766"/>
    <w:rsid w:val="00E07C17"/>
    <w:rsid w:val="00E1079D"/>
    <w:rsid w:val="00E12EF3"/>
    <w:rsid w:val="00E14544"/>
    <w:rsid w:val="00E1624F"/>
    <w:rsid w:val="00E17E8D"/>
    <w:rsid w:val="00E20CAF"/>
    <w:rsid w:val="00E2255E"/>
    <w:rsid w:val="00E246EA"/>
    <w:rsid w:val="00E2551A"/>
    <w:rsid w:val="00E326CD"/>
    <w:rsid w:val="00E33028"/>
    <w:rsid w:val="00E35EEC"/>
    <w:rsid w:val="00E41062"/>
    <w:rsid w:val="00E43DD3"/>
    <w:rsid w:val="00E45488"/>
    <w:rsid w:val="00E46855"/>
    <w:rsid w:val="00E5170E"/>
    <w:rsid w:val="00E51B23"/>
    <w:rsid w:val="00E56053"/>
    <w:rsid w:val="00E563CE"/>
    <w:rsid w:val="00E5667E"/>
    <w:rsid w:val="00E571AB"/>
    <w:rsid w:val="00E60ECF"/>
    <w:rsid w:val="00E65E00"/>
    <w:rsid w:val="00E71641"/>
    <w:rsid w:val="00E71F5C"/>
    <w:rsid w:val="00E742A3"/>
    <w:rsid w:val="00E763B5"/>
    <w:rsid w:val="00E765AB"/>
    <w:rsid w:val="00E81401"/>
    <w:rsid w:val="00E83B5E"/>
    <w:rsid w:val="00E841FF"/>
    <w:rsid w:val="00E868BC"/>
    <w:rsid w:val="00E978B6"/>
    <w:rsid w:val="00EA02C5"/>
    <w:rsid w:val="00EA1CFA"/>
    <w:rsid w:val="00EA2B5D"/>
    <w:rsid w:val="00EA42FB"/>
    <w:rsid w:val="00EA4681"/>
    <w:rsid w:val="00EA5D88"/>
    <w:rsid w:val="00EB0595"/>
    <w:rsid w:val="00EB43DD"/>
    <w:rsid w:val="00EC010D"/>
    <w:rsid w:val="00EC0426"/>
    <w:rsid w:val="00EC083D"/>
    <w:rsid w:val="00EC1B4D"/>
    <w:rsid w:val="00EC2F8C"/>
    <w:rsid w:val="00EC35FC"/>
    <w:rsid w:val="00EC40EA"/>
    <w:rsid w:val="00EC784B"/>
    <w:rsid w:val="00ED0075"/>
    <w:rsid w:val="00ED1B4D"/>
    <w:rsid w:val="00ED2F4E"/>
    <w:rsid w:val="00ED3750"/>
    <w:rsid w:val="00ED57A4"/>
    <w:rsid w:val="00ED6366"/>
    <w:rsid w:val="00ED7222"/>
    <w:rsid w:val="00EE0507"/>
    <w:rsid w:val="00EE07D1"/>
    <w:rsid w:val="00EE3E2A"/>
    <w:rsid w:val="00EE4735"/>
    <w:rsid w:val="00EF468B"/>
    <w:rsid w:val="00EF59FC"/>
    <w:rsid w:val="00EF677A"/>
    <w:rsid w:val="00EF682C"/>
    <w:rsid w:val="00EF6B33"/>
    <w:rsid w:val="00EF6D86"/>
    <w:rsid w:val="00EF7C17"/>
    <w:rsid w:val="00F018D7"/>
    <w:rsid w:val="00F06360"/>
    <w:rsid w:val="00F15A8E"/>
    <w:rsid w:val="00F217F4"/>
    <w:rsid w:val="00F237CF"/>
    <w:rsid w:val="00F238EA"/>
    <w:rsid w:val="00F27484"/>
    <w:rsid w:val="00F27AAC"/>
    <w:rsid w:val="00F311AB"/>
    <w:rsid w:val="00F31578"/>
    <w:rsid w:val="00F328B6"/>
    <w:rsid w:val="00F35C71"/>
    <w:rsid w:val="00F36CC1"/>
    <w:rsid w:val="00F400EC"/>
    <w:rsid w:val="00F40A09"/>
    <w:rsid w:val="00F443F5"/>
    <w:rsid w:val="00F444B3"/>
    <w:rsid w:val="00F448CC"/>
    <w:rsid w:val="00F45561"/>
    <w:rsid w:val="00F5293A"/>
    <w:rsid w:val="00F52E07"/>
    <w:rsid w:val="00F55259"/>
    <w:rsid w:val="00F555E9"/>
    <w:rsid w:val="00F55DD8"/>
    <w:rsid w:val="00F5720D"/>
    <w:rsid w:val="00F6155D"/>
    <w:rsid w:val="00F61751"/>
    <w:rsid w:val="00F61D6C"/>
    <w:rsid w:val="00F63AF3"/>
    <w:rsid w:val="00F63D58"/>
    <w:rsid w:val="00F65FDF"/>
    <w:rsid w:val="00F679BF"/>
    <w:rsid w:val="00F71B60"/>
    <w:rsid w:val="00F7760E"/>
    <w:rsid w:val="00F77CA7"/>
    <w:rsid w:val="00F84128"/>
    <w:rsid w:val="00F841CF"/>
    <w:rsid w:val="00F849F5"/>
    <w:rsid w:val="00F85596"/>
    <w:rsid w:val="00F94428"/>
    <w:rsid w:val="00F95066"/>
    <w:rsid w:val="00F95C2A"/>
    <w:rsid w:val="00F965CB"/>
    <w:rsid w:val="00FA368E"/>
    <w:rsid w:val="00FA3ACA"/>
    <w:rsid w:val="00FA4240"/>
    <w:rsid w:val="00FA6D80"/>
    <w:rsid w:val="00FB228E"/>
    <w:rsid w:val="00FB3224"/>
    <w:rsid w:val="00FB41D7"/>
    <w:rsid w:val="00FB54A8"/>
    <w:rsid w:val="00FB560A"/>
    <w:rsid w:val="00FB78C0"/>
    <w:rsid w:val="00FC55EB"/>
    <w:rsid w:val="00FC61BD"/>
    <w:rsid w:val="00FC670C"/>
    <w:rsid w:val="00FD0C8B"/>
    <w:rsid w:val="00FD0F72"/>
    <w:rsid w:val="00FD12C1"/>
    <w:rsid w:val="00FD16B5"/>
    <w:rsid w:val="00FD21F7"/>
    <w:rsid w:val="00FD4657"/>
    <w:rsid w:val="00FD5C9C"/>
    <w:rsid w:val="00FE176F"/>
    <w:rsid w:val="00FE4743"/>
    <w:rsid w:val="00FF0D41"/>
    <w:rsid w:val="00FF4F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B6DCAF"/>
  <w15:docId w15:val="{7096FF2A-C11D-4ED2-84C7-06E4E500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3"/>
        <w:szCs w:val="23"/>
        <w:lang w:val="cs-C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6B70"/>
    <w:pPr>
      <w:spacing w:line="252" w:lineRule="auto"/>
    </w:pPr>
  </w:style>
  <w:style w:type="paragraph" w:styleId="Nadpis1">
    <w:name w:val="heading 1"/>
    <w:basedOn w:val="Normln"/>
    <w:next w:val="Zkladntext"/>
    <w:link w:val="Nadpis1Char"/>
    <w:uiPriority w:val="4"/>
    <w:qFormat/>
    <w:rsid w:val="00D75E78"/>
    <w:pPr>
      <w:keepNext/>
      <w:pageBreakBefore/>
      <w:pBdr>
        <w:bottom w:val="single" w:sz="12" w:space="1" w:color="008576"/>
      </w:pBdr>
      <w:spacing w:before="100" w:beforeAutospacing="1" w:after="100" w:afterAutospacing="1"/>
      <w:outlineLvl w:val="0"/>
    </w:pPr>
    <w:rPr>
      <w:rFonts w:ascii="Calibri Light" w:hAnsi="Calibri Light"/>
      <w:color w:val="008576"/>
      <w:sz w:val="52"/>
    </w:rPr>
  </w:style>
  <w:style w:type="paragraph" w:styleId="Nadpis2">
    <w:name w:val="heading 2"/>
    <w:basedOn w:val="Nadpis1"/>
    <w:next w:val="Zkladntext"/>
    <w:link w:val="Nadpis2Char"/>
    <w:uiPriority w:val="4"/>
    <w:qFormat/>
    <w:rsid w:val="00D75E78"/>
    <w:pPr>
      <w:pageBreakBefore w:val="0"/>
      <w:numPr>
        <w:ilvl w:val="1"/>
        <w:numId w:val="4"/>
      </w:numPr>
      <w:pBdr>
        <w:bottom w:val="none" w:sz="0" w:space="0" w:color="auto"/>
      </w:pBdr>
      <w:spacing w:before="200" w:beforeAutospacing="0" w:after="200" w:afterAutospacing="0"/>
      <w:contextualSpacing/>
      <w:outlineLvl w:val="1"/>
    </w:pPr>
    <w:rPr>
      <w:rFonts w:asciiTheme="minorHAnsi" w:eastAsia="Times New Roman" w:hAnsiTheme="minorHAnsi"/>
      <w:noProof/>
      <w:sz w:val="32"/>
      <w:lang w:eastAsia="cs-CZ"/>
    </w:rPr>
  </w:style>
  <w:style w:type="paragraph" w:styleId="Nadpis3">
    <w:name w:val="heading 3"/>
    <w:basedOn w:val="Normln"/>
    <w:next w:val="Zkladntext"/>
    <w:link w:val="Nadpis3Char"/>
    <w:uiPriority w:val="4"/>
    <w:qFormat/>
    <w:rsid w:val="00D75E78"/>
    <w:pPr>
      <w:keepNext/>
      <w:numPr>
        <w:ilvl w:val="2"/>
        <w:numId w:val="4"/>
      </w:numPr>
      <w:spacing w:before="200" w:after="200"/>
      <w:outlineLvl w:val="2"/>
    </w:pPr>
    <w:rPr>
      <w:rFonts w:eastAsia="Times New Roman" w:cs="Segoe UI Semilight"/>
      <w:color w:val="008080"/>
      <w:sz w:val="24"/>
      <w:szCs w:val="26"/>
    </w:rPr>
  </w:style>
  <w:style w:type="paragraph" w:styleId="Nadpis4">
    <w:name w:val="heading 4"/>
    <w:basedOn w:val="Normln"/>
    <w:next w:val="Zkladntext"/>
    <w:link w:val="Nadpis4Char"/>
    <w:uiPriority w:val="4"/>
    <w:qFormat/>
    <w:rsid w:val="00D75E78"/>
    <w:pPr>
      <w:keepNext/>
      <w:keepLines/>
      <w:numPr>
        <w:ilvl w:val="3"/>
        <w:numId w:val="4"/>
      </w:numPr>
      <w:spacing w:before="200" w:after="200"/>
      <w:outlineLvl w:val="3"/>
    </w:pPr>
    <w:rPr>
      <w:rFonts w:eastAsiaTheme="majorEastAsia" w:cstheme="majorBidi"/>
      <w:bCs/>
      <w:iCs/>
      <w:color w:val="008576"/>
    </w:rPr>
  </w:style>
  <w:style w:type="paragraph" w:styleId="Nadpis5">
    <w:name w:val="heading 5"/>
    <w:basedOn w:val="Normln"/>
    <w:next w:val="Normln"/>
    <w:link w:val="Nadpis5Char"/>
    <w:uiPriority w:val="9"/>
    <w:semiHidden/>
    <w:rsid w:val="00221FC5"/>
    <w:pPr>
      <w:keepNext/>
      <w:keepLines/>
      <w:numPr>
        <w:ilvl w:val="4"/>
        <w:numId w:val="4"/>
      </w:numPr>
      <w:spacing w:before="200"/>
      <w:outlineLvl w:val="4"/>
    </w:pPr>
    <w:rPr>
      <w:rFonts w:ascii="Calibri Light" w:eastAsiaTheme="majorEastAsia" w:hAnsi="Calibri Light" w:cstheme="majorBidi"/>
      <w:color w:val="1F4D78"/>
    </w:rPr>
  </w:style>
  <w:style w:type="paragraph" w:styleId="Nadpis6">
    <w:name w:val="heading 6"/>
    <w:basedOn w:val="Normln"/>
    <w:next w:val="Normln"/>
    <w:link w:val="Nadpis6Char"/>
    <w:uiPriority w:val="9"/>
    <w:semiHidden/>
    <w:rsid w:val="00221FC5"/>
    <w:pPr>
      <w:keepNext/>
      <w:keepLines/>
      <w:numPr>
        <w:ilvl w:val="5"/>
        <w:numId w:val="4"/>
      </w:numPr>
      <w:spacing w:before="200"/>
      <w:outlineLvl w:val="5"/>
    </w:pPr>
    <w:rPr>
      <w:rFonts w:ascii="Calibri Light" w:eastAsiaTheme="majorEastAsia" w:hAnsi="Calibri Light" w:cstheme="majorBidi"/>
      <w:i/>
      <w:iCs/>
      <w:color w:val="1F4D78"/>
    </w:rPr>
  </w:style>
  <w:style w:type="paragraph" w:styleId="Nadpis7">
    <w:name w:val="heading 7"/>
    <w:basedOn w:val="Normln"/>
    <w:next w:val="Normln"/>
    <w:link w:val="Nadpis7Char"/>
    <w:uiPriority w:val="9"/>
    <w:semiHidden/>
    <w:qFormat/>
    <w:rsid w:val="00221FC5"/>
    <w:pPr>
      <w:keepNext/>
      <w:keepLines/>
      <w:numPr>
        <w:ilvl w:val="6"/>
        <w:numId w:val="4"/>
      </w:numPr>
      <w:spacing w:before="200"/>
      <w:outlineLvl w:val="6"/>
    </w:pPr>
    <w:rPr>
      <w:rFonts w:ascii="Calibri Light" w:eastAsiaTheme="majorEastAsia" w:hAnsi="Calibri Light" w:cstheme="majorBidi"/>
      <w:i/>
      <w:iCs/>
      <w:color w:val="404040"/>
    </w:rPr>
  </w:style>
  <w:style w:type="paragraph" w:styleId="Nadpis8">
    <w:name w:val="heading 8"/>
    <w:basedOn w:val="Normln"/>
    <w:next w:val="Normln"/>
    <w:link w:val="Nadpis8Char"/>
    <w:uiPriority w:val="9"/>
    <w:semiHidden/>
    <w:qFormat/>
    <w:rsid w:val="00221FC5"/>
    <w:pPr>
      <w:keepNext/>
      <w:keepLines/>
      <w:numPr>
        <w:ilvl w:val="7"/>
        <w:numId w:val="4"/>
      </w:numPr>
      <w:spacing w:before="200"/>
      <w:outlineLvl w:val="7"/>
    </w:pPr>
    <w:rPr>
      <w:rFonts w:ascii="Calibri Light" w:eastAsiaTheme="majorEastAsia" w:hAnsi="Calibri Light" w:cstheme="majorBidi"/>
      <w:color w:val="404040"/>
      <w:szCs w:val="20"/>
    </w:rPr>
  </w:style>
  <w:style w:type="paragraph" w:styleId="Nadpis9">
    <w:name w:val="heading 9"/>
    <w:basedOn w:val="Normln"/>
    <w:next w:val="Normln"/>
    <w:link w:val="Nadpis9Char"/>
    <w:uiPriority w:val="9"/>
    <w:semiHidden/>
    <w:qFormat/>
    <w:rsid w:val="00221FC5"/>
    <w:pPr>
      <w:keepNext/>
      <w:keepLines/>
      <w:numPr>
        <w:ilvl w:val="8"/>
        <w:numId w:val="4"/>
      </w:numPr>
      <w:spacing w:before="200"/>
      <w:outlineLvl w:val="8"/>
    </w:pPr>
    <w:rPr>
      <w:rFonts w:ascii="Calibri Light" w:eastAsiaTheme="majorEastAsia" w:hAnsi="Calibri Light" w:cstheme="majorBidi"/>
      <w:i/>
      <w:iCs/>
      <w:color w:val="40404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semiHidden/>
    <w:rsid w:val="00221FC5"/>
    <w:pPr>
      <w:pBdr>
        <w:top w:val="nil"/>
        <w:left w:val="nil"/>
        <w:bottom w:val="nil"/>
        <w:right w:val="nil"/>
        <w:between w:val="nil"/>
        <w:bar w:val="nil"/>
      </w:pBdr>
      <w:spacing w:line="240" w:lineRule="auto"/>
    </w:pPr>
    <w:rPr>
      <w:lang w:val="en-US"/>
    </w:rPr>
  </w:style>
  <w:style w:type="character" w:customStyle="1" w:styleId="TextkomenteChar">
    <w:name w:val="Text komentáře Char"/>
    <w:link w:val="Textkomente"/>
    <w:semiHidden/>
    <w:rsid w:val="00E063E1"/>
    <w:rPr>
      <w:rFonts w:ascii="Calibri" w:eastAsiaTheme="minorEastAsia" w:hAnsi="Calibri" w:cs="Arial"/>
      <w:sz w:val="23"/>
      <w:lang w:val="en-US" w:eastAsia="ja-JP"/>
    </w:rPr>
  </w:style>
  <w:style w:type="character" w:styleId="Znakapoznpodarou">
    <w:name w:val="footnote reference"/>
    <w:uiPriority w:val="15"/>
    <w:rsid w:val="00D75E78"/>
    <w:rPr>
      <w:rFonts w:ascii="Calibri" w:hAnsi="Calibri"/>
      <w:b/>
      <w:color w:val="008576"/>
      <w:sz w:val="23"/>
      <w:vertAlign w:val="superscript"/>
    </w:rPr>
  </w:style>
  <w:style w:type="character" w:customStyle="1" w:styleId="Nadpis1Char">
    <w:name w:val="Nadpis 1 Char"/>
    <w:link w:val="Nadpis1"/>
    <w:uiPriority w:val="4"/>
    <w:rsid w:val="00D75E78"/>
    <w:rPr>
      <w:rFonts w:ascii="Calibri Light" w:hAnsi="Calibri Light"/>
      <w:color w:val="008576"/>
      <w:sz w:val="52"/>
    </w:rPr>
  </w:style>
  <w:style w:type="paragraph" w:styleId="Zhlav">
    <w:name w:val="header"/>
    <w:basedOn w:val="Normln"/>
    <w:link w:val="ZhlavChar"/>
    <w:uiPriority w:val="19"/>
    <w:unhideWhenUsed/>
    <w:rsid w:val="00221FC5"/>
    <w:pPr>
      <w:tabs>
        <w:tab w:val="center" w:pos="4536"/>
        <w:tab w:val="right" w:pos="9072"/>
      </w:tabs>
      <w:spacing w:line="240" w:lineRule="auto"/>
    </w:pPr>
  </w:style>
  <w:style w:type="character" w:customStyle="1" w:styleId="Nadpis2Char">
    <w:name w:val="Nadpis 2 Char"/>
    <w:link w:val="Nadpis2"/>
    <w:uiPriority w:val="4"/>
    <w:rsid w:val="00D75E78"/>
    <w:rPr>
      <w:rFonts w:asciiTheme="minorHAnsi" w:eastAsia="Times New Roman" w:hAnsiTheme="minorHAnsi"/>
      <w:noProof/>
      <w:color w:val="008576"/>
      <w:sz w:val="32"/>
      <w:lang w:eastAsia="cs-CZ"/>
    </w:rPr>
  </w:style>
  <w:style w:type="character" w:customStyle="1" w:styleId="ZhlavChar">
    <w:name w:val="Záhlaví Char"/>
    <w:link w:val="Zhlav"/>
    <w:uiPriority w:val="19"/>
    <w:rsid w:val="00C43B55"/>
    <w:rPr>
      <w:rFonts w:eastAsiaTheme="minorEastAsia" w:cs="Arial"/>
      <w:sz w:val="23"/>
      <w:lang w:eastAsia="ja-JP"/>
    </w:rPr>
  </w:style>
  <w:style w:type="paragraph" w:styleId="Zpat">
    <w:name w:val="footer"/>
    <w:basedOn w:val="Normln"/>
    <w:link w:val="ZpatChar"/>
    <w:uiPriority w:val="20"/>
    <w:unhideWhenUsed/>
    <w:rsid w:val="00221FC5"/>
    <w:pPr>
      <w:tabs>
        <w:tab w:val="center" w:pos="4536"/>
        <w:tab w:val="right" w:pos="9072"/>
      </w:tabs>
      <w:spacing w:line="240" w:lineRule="auto"/>
    </w:pPr>
  </w:style>
  <w:style w:type="character" w:customStyle="1" w:styleId="ZpatChar">
    <w:name w:val="Zápatí Char"/>
    <w:link w:val="Zpat"/>
    <w:uiPriority w:val="20"/>
    <w:rsid w:val="00C43B55"/>
    <w:rPr>
      <w:rFonts w:eastAsiaTheme="minorEastAsia" w:cs="Arial"/>
      <w:sz w:val="23"/>
      <w:lang w:eastAsia="ja-JP"/>
    </w:rPr>
  </w:style>
  <w:style w:type="character" w:customStyle="1" w:styleId="Nadpis3Char">
    <w:name w:val="Nadpis 3 Char"/>
    <w:link w:val="Nadpis3"/>
    <w:uiPriority w:val="4"/>
    <w:rsid w:val="00D75E78"/>
    <w:rPr>
      <w:rFonts w:eastAsia="Times New Roman" w:cs="Segoe UI Semilight"/>
      <w:color w:val="008080"/>
      <w:sz w:val="24"/>
      <w:szCs w:val="26"/>
    </w:rPr>
  </w:style>
  <w:style w:type="paragraph" w:styleId="Textvysvtlivek">
    <w:name w:val="endnote text"/>
    <w:basedOn w:val="Normln"/>
    <w:link w:val="TextvysvtlivekChar"/>
    <w:uiPriority w:val="99"/>
    <w:semiHidden/>
    <w:unhideWhenUsed/>
    <w:rsid w:val="00221FC5"/>
    <w:pPr>
      <w:spacing w:line="240" w:lineRule="auto"/>
    </w:pPr>
    <w:rPr>
      <w:szCs w:val="20"/>
    </w:rPr>
  </w:style>
  <w:style w:type="character" w:customStyle="1" w:styleId="TextvysvtlivekChar">
    <w:name w:val="Text vysvětlivek Char"/>
    <w:link w:val="Textvysvtlivek"/>
    <w:uiPriority w:val="99"/>
    <w:semiHidden/>
    <w:rsid w:val="00221FC5"/>
    <w:rPr>
      <w:rFonts w:ascii="Segoe UI" w:eastAsiaTheme="minorEastAsia" w:hAnsi="Segoe UI" w:cs="Arial"/>
      <w:sz w:val="21"/>
      <w:szCs w:val="20"/>
      <w:lang w:eastAsia="ja-JP"/>
    </w:rPr>
  </w:style>
  <w:style w:type="character" w:styleId="Odkaznavysvtlivky">
    <w:name w:val="endnote reference"/>
    <w:uiPriority w:val="99"/>
    <w:semiHidden/>
    <w:unhideWhenUsed/>
    <w:rsid w:val="00221FC5"/>
    <w:rPr>
      <w:vertAlign w:val="superscript"/>
    </w:rPr>
  </w:style>
  <w:style w:type="paragraph" w:customStyle="1" w:styleId="textdoporuen">
    <w:name w:val="text doporučení"/>
    <w:basedOn w:val="Normln"/>
    <w:link w:val="textdoporuenChar"/>
    <w:uiPriority w:val="12"/>
    <w:qFormat/>
    <w:rsid w:val="00D75E78"/>
    <w:pPr>
      <w:numPr>
        <w:ilvl w:val="1"/>
        <w:numId w:val="6"/>
      </w:numPr>
      <w:spacing w:before="120" w:after="120"/>
      <w:ind w:left="709" w:hanging="709"/>
    </w:pPr>
    <w:rPr>
      <w:rFonts w:eastAsia="Times New Roman" w:cs="Segoe UI"/>
      <w:b/>
      <w:szCs w:val="21"/>
    </w:rPr>
  </w:style>
  <w:style w:type="paragraph" w:styleId="Nzev">
    <w:name w:val="Title"/>
    <w:next w:val="Normln"/>
    <w:link w:val="NzevChar"/>
    <w:uiPriority w:val="10"/>
    <w:semiHidden/>
    <w:qFormat/>
    <w:rsid w:val="00107F9C"/>
    <w:pPr>
      <w:pageBreakBefore/>
    </w:pPr>
    <w:rPr>
      <w:rFonts w:eastAsiaTheme="minorEastAsia" w:cs="Segoe UI"/>
      <w:color w:val="008576"/>
      <w:sz w:val="52"/>
      <w:lang w:eastAsia="ja-JP"/>
    </w:rPr>
  </w:style>
  <w:style w:type="character" w:customStyle="1" w:styleId="textdoporuenChar">
    <w:name w:val="text doporučení Char"/>
    <w:link w:val="textdoporuen"/>
    <w:uiPriority w:val="12"/>
    <w:rsid w:val="00D75E78"/>
    <w:rPr>
      <w:rFonts w:eastAsia="Times New Roman" w:cs="Segoe UI"/>
      <w:b/>
      <w:szCs w:val="21"/>
    </w:rPr>
  </w:style>
  <w:style w:type="character" w:customStyle="1" w:styleId="NzevChar">
    <w:name w:val="Název Char"/>
    <w:link w:val="Nzev"/>
    <w:uiPriority w:val="10"/>
    <w:semiHidden/>
    <w:rsid w:val="00E063E1"/>
    <w:rPr>
      <w:rFonts w:eastAsiaTheme="minorEastAsia" w:cs="Segoe UI"/>
      <w:color w:val="008576"/>
      <w:sz w:val="52"/>
      <w:lang w:eastAsia="ja-JP"/>
    </w:rPr>
  </w:style>
  <w:style w:type="paragraph" w:customStyle="1" w:styleId="popisektabulky-grafu">
    <w:name w:val="popisek tabulky-grafu"/>
    <w:basedOn w:val="Zkladntext"/>
    <w:link w:val="popisektabulky-grafuChar"/>
    <w:uiPriority w:val="10"/>
    <w:qFormat/>
    <w:rsid w:val="006D0BED"/>
    <w:pPr>
      <w:keepNext/>
    </w:pPr>
  </w:style>
  <w:style w:type="paragraph" w:customStyle="1" w:styleId="Doporuen">
    <w:name w:val="Doporučení"/>
    <w:basedOn w:val="Normln"/>
    <w:uiPriority w:val="11"/>
    <w:qFormat/>
    <w:rsid w:val="00D75E78"/>
    <w:pPr>
      <w:keepNext/>
      <w:spacing w:before="200" w:after="200"/>
    </w:pPr>
    <w:rPr>
      <w:rFonts w:eastAsia="Times New Roman" w:cs="Segoe UI"/>
      <w:b/>
      <w:szCs w:val="21"/>
    </w:rPr>
  </w:style>
  <w:style w:type="character" w:customStyle="1" w:styleId="popisektabulky-grafuChar">
    <w:name w:val="popisek tabulky-grafu Char"/>
    <w:link w:val="popisektabulky-grafu"/>
    <w:uiPriority w:val="10"/>
    <w:rsid w:val="006D0BED"/>
    <w:rPr>
      <w:rFonts w:eastAsia="Times New Roman" w:cs="Segoe UI"/>
      <w:sz w:val="23"/>
      <w:szCs w:val="21"/>
      <w:lang w:eastAsia="ja-JP"/>
    </w:rPr>
  </w:style>
  <w:style w:type="character" w:styleId="Odkaznakoment">
    <w:name w:val="annotation reference"/>
    <w:semiHidden/>
    <w:unhideWhenUsed/>
    <w:rsid w:val="00221FC5"/>
    <w:rPr>
      <w:sz w:val="16"/>
      <w:szCs w:val="16"/>
    </w:rPr>
  </w:style>
  <w:style w:type="paragraph" w:styleId="Pedmtkomente">
    <w:name w:val="annotation subject"/>
    <w:basedOn w:val="Textkomente"/>
    <w:next w:val="Textkomente"/>
    <w:link w:val="PedmtkomenteChar"/>
    <w:uiPriority w:val="99"/>
    <w:semiHidden/>
    <w:unhideWhenUsed/>
    <w:rsid w:val="00221FC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hAnsi="Arial"/>
      <w:b/>
      <w:bCs/>
      <w:szCs w:val="20"/>
      <w:lang w:val="cs-CZ"/>
    </w:rPr>
  </w:style>
  <w:style w:type="character" w:customStyle="1" w:styleId="PedmtkomenteChar">
    <w:name w:val="Předmět komentáře Char"/>
    <w:link w:val="Pedmtkomente"/>
    <w:uiPriority w:val="99"/>
    <w:semiHidden/>
    <w:rsid w:val="00221FC5"/>
    <w:rPr>
      <w:rFonts w:ascii="Arial" w:eastAsiaTheme="minorEastAsia" w:hAnsi="Arial" w:cs="Arial"/>
      <w:b/>
      <w:bCs/>
      <w:sz w:val="21"/>
      <w:szCs w:val="20"/>
      <w:lang w:eastAsia="ja-JP"/>
    </w:rPr>
  </w:style>
  <w:style w:type="paragraph" w:styleId="Textbubliny">
    <w:name w:val="Balloon Text"/>
    <w:basedOn w:val="Normln"/>
    <w:link w:val="TextbublinyChar"/>
    <w:uiPriority w:val="99"/>
    <w:semiHidden/>
    <w:unhideWhenUsed/>
    <w:rsid w:val="00221FC5"/>
    <w:pPr>
      <w:spacing w:line="240" w:lineRule="auto"/>
    </w:pPr>
    <w:rPr>
      <w:rFonts w:cs="Segoe UI"/>
      <w:sz w:val="18"/>
      <w:szCs w:val="18"/>
    </w:rPr>
  </w:style>
  <w:style w:type="character" w:customStyle="1" w:styleId="TextbublinyChar">
    <w:name w:val="Text bubliny Char"/>
    <w:link w:val="Textbubliny"/>
    <w:uiPriority w:val="99"/>
    <w:semiHidden/>
    <w:rsid w:val="00221FC5"/>
    <w:rPr>
      <w:rFonts w:ascii="Segoe UI" w:eastAsiaTheme="minorEastAsia" w:hAnsi="Segoe UI" w:cs="Segoe UI"/>
      <w:sz w:val="18"/>
      <w:szCs w:val="18"/>
      <w:lang w:eastAsia="ja-JP"/>
    </w:rPr>
  </w:style>
  <w:style w:type="character" w:styleId="Siln">
    <w:name w:val="Strong"/>
    <w:basedOn w:val="Standardnpsmoodstavce"/>
    <w:uiPriority w:val="2"/>
    <w:qFormat/>
    <w:rsid w:val="00D75E78"/>
    <w:rPr>
      <w:b/>
      <w:bCs/>
    </w:rPr>
  </w:style>
  <w:style w:type="paragraph" w:styleId="Obsah1">
    <w:name w:val="toc 1"/>
    <w:basedOn w:val="Normln"/>
    <w:next w:val="Normln"/>
    <w:autoRedefine/>
    <w:uiPriority w:val="39"/>
    <w:unhideWhenUsed/>
    <w:rsid w:val="00DE6729"/>
    <w:pPr>
      <w:keepNext/>
      <w:spacing w:after="100"/>
    </w:pPr>
  </w:style>
  <w:style w:type="paragraph" w:styleId="Obsah2">
    <w:name w:val="toc 2"/>
    <w:basedOn w:val="Normln"/>
    <w:next w:val="Normln"/>
    <w:autoRedefine/>
    <w:uiPriority w:val="39"/>
    <w:unhideWhenUsed/>
    <w:rsid w:val="00723024"/>
    <w:pPr>
      <w:tabs>
        <w:tab w:val="left" w:pos="709"/>
        <w:tab w:val="right" w:leader="dot" w:pos="8495"/>
      </w:tabs>
      <w:spacing w:after="100"/>
      <w:ind w:left="709" w:hanging="425"/>
    </w:pPr>
    <w:rPr>
      <w:noProof/>
    </w:rPr>
  </w:style>
  <w:style w:type="character" w:styleId="Hypertextovodkaz">
    <w:name w:val="Hyperlink"/>
    <w:basedOn w:val="Standardnpsmoodstavce"/>
    <w:uiPriority w:val="99"/>
    <w:qFormat/>
    <w:rsid w:val="00D75E78"/>
    <w:rPr>
      <w:color w:val="008576"/>
      <w:u w:val="single"/>
    </w:rPr>
  </w:style>
  <w:style w:type="paragraph" w:styleId="Zkladntext">
    <w:name w:val="Body Text"/>
    <w:basedOn w:val="Normln"/>
    <w:link w:val="ZkladntextChar"/>
    <w:rsid w:val="00D75E78"/>
    <w:pPr>
      <w:spacing w:before="200" w:after="200"/>
      <w:jc w:val="both"/>
    </w:pPr>
    <w:rPr>
      <w:rFonts w:cs="Times New Roman"/>
    </w:rPr>
  </w:style>
  <w:style w:type="character" w:customStyle="1" w:styleId="ZkladntextChar">
    <w:name w:val="Základní text Char"/>
    <w:basedOn w:val="Standardnpsmoodstavce"/>
    <w:link w:val="Zkladntext"/>
    <w:rsid w:val="00D75E78"/>
    <w:rPr>
      <w:rFonts w:cs="Times New Roman"/>
    </w:rPr>
  </w:style>
  <w:style w:type="character" w:customStyle="1" w:styleId="Nadpis4Char">
    <w:name w:val="Nadpis 4 Char"/>
    <w:link w:val="Nadpis4"/>
    <w:uiPriority w:val="4"/>
    <w:rsid w:val="00D75E78"/>
    <w:rPr>
      <w:rFonts w:eastAsiaTheme="majorEastAsia" w:cstheme="majorBidi"/>
      <w:bCs/>
      <w:iCs/>
      <w:color w:val="008576"/>
    </w:rPr>
  </w:style>
  <w:style w:type="character" w:customStyle="1" w:styleId="Nadpis5Char">
    <w:name w:val="Nadpis 5 Char"/>
    <w:link w:val="Nadpis5"/>
    <w:uiPriority w:val="9"/>
    <w:semiHidden/>
    <w:rsid w:val="00221FC5"/>
    <w:rPr>
      <w:rFonts w:ascii="Calibri Light" w:eastAsiaTheme="majorEastAsia" w:hAnsi="Calibri Light" w:cstheme="majorBidi"/>
      <w:color w:val="1F4D78"/>
      <w:sz w:val="23"/>
      <w:lang w:eastAsia="ja-JP"/>
    </w:rPr>
  </w:style>
  <w:style w:type="character" w:customStyle="1" w:styleId="Nadpis6Char">
    <w:name w:val="Nadpis 6 Char"/>
    <w:link w:val="Nadpis6"/>
    <w:uiPriority w:val="9"/>
    <w:semiHidden/>
    <w:rsid w:val="00221FC5"/>
    <w:rPr>
      <w:rFonts w:ascii="Calibri Light" w:eastAsiaTheme="majorEastAsia" w:hAnsi="Calibri Light" w:cstheme="majorBidi"/>
      <w:i/>
      <w:iCs/>
      <w:color w:val="1F4D78"/>
      <w:sz w:val="23"/>
      <w:lang w:eastAsia="ja-JP"/>
    </w:rPr>
  </w:style>
  <w:style w:type="character" w:customStyle="1" w:styleId="Nadpis7Char">
    <w:name w:val="Nadpis 7 Char"/>
    <w:link w:val="Nadpis7"/>
    <w:uiPriority w:val="9"/>
    <w:semiHidden/>
    <w:rsid w:val="00221FC5"/>
    <w:rPr>
      <w:rFonts w:ascii="Calibri Light" w:eastAsiaTheme="majorEastAsia" w:hAnsi="Calibri Light" w:cstheme="majorBidi"/>
      <w:i/>
      <w:iCs/>
      <w:color w:val="404040"/>
      <w:sz w:val="23"/>
      <w:lang w:eastAsia="ja-JP"/>
    </w:rPr>
  </w:style>
  <w:style w:type="character" w:customStyle="1" w:styleId="Nadpis8Char">
    <w:name w:val="Nadpis 8 Char"/>
    <w:link w:val="Nadpis8"/>
    <w:uiPriority w:val="9"/>
    <w:semiHidden/>
    <w:rsid w:val="00221FC5"/>
    <w:rPr>
      <w:rFonts w:ascii="Calibri Light" w:eastAsiaTheme="majorEastAsia" w:hAnsi="Calibri Light" w:cstheme="majorBidi"/>
      <w:color w:val="404040"/>
      <w:sz w:val="23"/>
      <w:szCs w:val="20"/>
      <w:lang w:eastAsia="ja-JP"/>
    </w:rPr>
  </w:style>
  <w:style w:type="character" w:customStyle="1" w:styleId="Nadpis9Char">
    <w:name w:val="Nadpis 9 Char"/>
    <w:link w:val="Nadpis9"/>
    <w:uiPriority w:val="9"/>
    <w:semiHidden/>
    <w:rsid w:val="00221FC5"/>
    <w:rPr>
      <w:rFonts w:ascii="Calibri Light" w:eastAsiaTheme="majorEastAsia" w:hAnsi="Calibri Light" w:cstheme="majorBidi"/>
      <w:i/>
      <w:iCs/>
      <w:color w:val="404040"/>
      <w:sz w:val="23"/>
      <w:szCs w:val="20"/>
      <w:lang w:eastAsia="ja-JP"/>
    </w:rPr>
  </w:style>
  <w:style w:type="numbering" w:customStyle="1" w:styleId="Bezseznamu1">
    <w:name w:val="Bez seznamu1"/>
    <w:next w:val="Bezseznamu"/>
    <w:uiPriority w:val="99"/>
    <w:semiHidden/>
    <w:unhideWhenUsed/>
    <w:rsid w:val="00221FC5"/>
  </w:style>
  <w:style w:type="character" w:customStyle="1" w:styleId="Sledovanodkaz1">
    <w:name w:val="Sledovaný odkaz1"/>
    <w:uiPriority w:val="99"/>
    <w:semiHidden/>
    <w:unhideWhenUsed/>
    <w:rsid w:val="00221FC5"/>
    <w:rPr>
      <w:color w:val="954F72"/>
      <w:u w:val="single"/>
    </w:rPr>
  </w:style>
  <w:style w:type="paragraph" w:styleId="Revize">
    <w:name w:val="Revision"/>
    <w:uiPriority w:val="99"/>
    <w:semiHidden/>
    <w:rsid w:val="00221FC5"/>
    <w:rPr>
      <w:rFonts w:ascii="Arial" w:eastAsia="Times New Roman" w:hAnsi="Arial" w:cs="Arial"/>
      <w:sz w:val="20"/>
      <w:lang w:eastAsia="ja-JP"/>
    </w:rPr>
  </w:style>
  <w:style w:type="table" w:styleId="Mkatabulky">
    <w:name w:val="Table Grid"/>
    <w:basedOn w:val="Normlntabulka"/>
    <w:uiPriority w:val="39"/>
    <w:rsid w:val="00221FC5"/>
    <w:rPr>
      <w:rFonts w:eastAsia="Calibri"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uiPriority w:val="99"/>
    <w:semiHidden/>
    <w:unhideWhenUsed/>
    <w:rsid w:val="00221FC5"/>
    <w:rPr>
      <w:color w:val="954F72"/>
      <w:u w:val="single"/>
    </w:rPr>
  </w:style>
  <w:style w:type="paragraph" w:customStyle="1" w:styleId="Nadpisvod">
    <w:name w:val="Nadpis úvod"/>
    <w:basedOn w:val="Nadpis2"/>
    <w:next w:val="Zkladntext"/>
    <w:semiHidden/>
    <w:qFormat/>
    <w:rsid w:val="00792115"/>
    <w:pPr>
      <w:numPr>
        <w:ilvl w:val="0"/>
        <w:numId w:val="0"/>
      </w:numPr>
      <w:outlineLvl w:val="9"/>
    </w:pPr>
  </w:style>
  <w:style w:type="paragraph" w:customStyle="1" w:styleId="podpis">
    <w:name w:val="podpis"/>
    <w:basedOn w:val="Normln"/>
    <w:uiPriority w:val="19"/>
    <w:rsid w:val="00D75E78"/>
    <w:pPr>
      <w:ind w:left="3119"/>
      <w:contextualSpacing/>
      <w:jc w:val="center"/>
    </w:pPr>
    <w:rPr>
      <w:rFonts w:eastAsia="Calibri" w:cs="Arial"/>
      <w:szCs w:val="22"/>
    </w:rPr>
  </w:style>
  <w:style w:type="paragraph" w:styleId="Textpoznpodarou">
    <w:name w:val="footnote text"/>
    <w:basedOn w:val="Normln"/>
    <w:link w:val="TextpoznpodarouChar"/>
    <w:uiPriority w:val="16"/>
    <w:qFormat/>
    <w:rsid w:val="00D75E78"/>
    <w:pPr>
      <w:tabs>
        <w:tab w:val="left" w:pos="284"/>
      </w:tabs>
      <w:spacing w:before="120" w:after="120" w:line="240" w:lineRule="auto"/>
      <w:jc w:val="both"/>
    </w:pPr>
    <w:rPr>
      <w:rFonts w:eastAsia="Times New Roman" w:cs="Times New Roman"/>
      <w:sz w:val="18"/>
      <w:szCs w:val="24"/>
    </w:rPr>
  </w:style>
  <w:style w:type="character" w:customStyle="1" w:styleId="TextpoznpodarouChar">
    <w:name w:val="Text pozn. pod čarou Char"/>
    <w:link w:val="Textpoznpodarou"/>
    <w:uiPriority w:val="16"/>
    <w:rsid w:val="00D75E78"/>
    <w:rPr>
      <w:rFonts w:eastAsia="Times New Roman" w:cs="Times New Roman"/>
      <w:sz w:val="18"/>
      <w:szCs w:val="24"/>
    </w:rPr>
  </w:style>
  <w:style w:type="paragraph" w:customStyle="1" w:styleId="Podnadpistitulnstrany">
    <w:name w:val="Podnadpis titulní strany"/>
    <w:link w:val="PodnadpistitulnstranyChar"/>
    <w:semiHidden/>
    <w:rsid w:val="00221FC5"/>
    <w:pPr>
      <w:spacing w:before="240"/>
    </w:pPr>
    <w:rPr>
      <w:rFonts w:eastAsia="Times New Roman" w:cs="Arial"/>
      <w:sz w:val="36"/>
      <w:lang w:eastAsia="ja-JP"/>
    </w:rPr>
  </w:style>
  <w:style w:type="character" w:customStyle="1" w:styleId="PodnadpistitulnstranyChar">
    <w:name w:val="Podnadpis titulní strany Char"/>
    <w:link w:val="Podnadpistitulnstrany"/>
    <w:semiHidden/>
    <w:rsid w:val="00E063E1"/>
    <w:rPr>
      <w:rFonts w:ascii="Calibri" w:eastAsia="Times New Roman" w:hAnsi="Calibri" w:cs="Arial"/>
      <w:sz w:val="36"/>
      <w:lang w:eastAsia="ja-JP"/>
    </w:rPr>
  </w:style>
  <w:style w:type="paragraph" w:styleId="Obsah3">
    <w:name w:val="toc 3"/>
    <w:basedOn w:val="Obsah2"/>
    <w:next w:val="Normln"/>
    <w:autoRedefine/>
    <w:uiPriority w:val="39"/>
    <w:unhideWhenUsed/>
    <w:rsid w:val="00723024"/>
    <w:pPr>
      <w:tabs>
        <w:tab w:val="clear" w:pos="709"/>
        <w:tab w:val="left" w:pos="1134"/>
      </w:tabs>
      <w:ind w:left="1134"/>
    </w:pPr>
  </w:style>
  <w:style w:type="paragraph" w:styleId="Odstavecseseznamem">
    <w:name w:val="List Paragraph"/>
    <w:basedOn w:val="Normln"/>
    <w:uiPriority w:val="34"/>
    <w:qFormat/>
    <w:rsid w:val="008A7567"/>
    <w:pPr>
      <w:ind w:left="720"/>
      <w:contextualSpacing/>
    </w:pPr>
  </w:style>
  <w:style w:type="table" w:styleId="Prosttabulka2">
    <w:name w:val="Plain Table 2"/>
    <w:basedOn w:val="Normlntabulka"/>
    <w:uiPriority w:val="42"/>
    <w:rsid w:val="00986F73"/>
    <w:pPr>
      <w:spacing w:after="12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rsid w:val="009208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rsid w:val="009208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lovanseznam">
    <w:name w:val="List Number"/>
    <w:basedOn w:val="Zkladntext"/>
    <w:uiPriority w:val="9"/>
    <w:rsid w:val="006638ED"/>
    <w:pPr>
      <w:numPr>
        <w:numId w:val="12"/>
      </w:numPr>
      <w:ind w:left="567" w:hanging="567"/>
    </w:pPr>
  </w:style>
  <w:style w:type="paragraph" w:styleId="Seznam">
    <w:name w:val="List"/>
    <w:basedOn w:val="Zkladntext"/>
    <w:uiPriority w:val="8"/>
    <w:rsid w:val="0082282A"/>
    <w:pPr>
      <w:numPr>
        <w:numId w:val="28"/>
      </w:numPr>
      <w:ind w:left="567" w:hanging="567"/>
    </w:pPr>
  </w:style>
  <w:style w:type="paragraph" w:customStyle="1" w:styleId="poznmkatabulky-grafu">
    <w:name w:val="poznámka tabulky-grafu"/>
    <w:basedOn w:val="Zkladntext"/>
    <w:next w:val="Zkladntext"/>
    <w:uiPriority w:val="10"/>
    <w:qFormat/>
    <w:rsid w:val="006B1382"/>
    <w:pPr>
      <w:spacing w:before="0"/>
    </w:pPr>
    <w:rPr>
      <w:sz w:val="20"/>
    </w:rPr>
  </w:style>
  <w:style w:type="paragraph" w:customStyle="1" w:styleId="citace">
    <w:name w:val="citace"/>
    <w:basedOn w:val="Zkladntext"/>
    <w:uiPriority w:val="13"/>
    <w:qFormat/>
    <w:rsid w:val="00544E06"/>
    <w:pPr>
      <w:ind w:left="709" w:right="567"/>
    </w:pPr>
    <w:rPr>
      <w:i/>
    </w:rPr>
  </w:style>
  <w:style w:type="paragraph" w:customStyle="1" w:styleId="zdrojcitace">
    <w:name w:val="zdroj citace"/>
    <w:basedOn w:val="Zkladntext"/>
    <w:next w:val="Zkladntext"/>
    <w:uiPriority w:val="13"/>
    <w:qFormat/>
    <w:rsid w:val="00CE0AE5"/>
    <w:pPr>
      <w:ind w:right="567"/>
      <w:jc w:val="right"/>
    </w:pPr>
  </w:style>
  <w:style w:type="character" w:customStyle="1" w:styleId="Tunkurzva">
    <w:name w:val="Tučná kurzíva"/>
    <w:basedOn w:val="Standardnpsmoodstavce"/>
    <w:uiPriority w:val="3"/>
    <w:qFormat/>
    <w:rsid w:val="00D75E78"/>
    <w:rPr>
      <w:b/>
      <w:i/>
    </w:rPr>
  </w:style>
  <w:style w:type="character" w:styleId="Zdraznn">
    <w:name w:val="Emphasis"/>
    <w:basedOn w:val="Standardnpsmoodstavce"/>
    <w:uiPriority w:val="2"/>
    <w:qFormat/>
    <w:rsid w:val="00D75E78"/>
    <w:rPr>
      <w:i/>
      <w:iCs/>
    </w:rPr>
  </w:style>
  <w:style w:type="paragraph" w:customStyle="1" w:styleId="kontakt">
    <w:name w:val="kontakt"/>
    <w:basedOn w:val="Normln"/>
    <w:uiPriority w:val="28"/>
    <w:rsid w:val="005821EA"/>
    <w:pPr>
      <w:spacing w:line="240" w:lineRule="auto"/>
    </w:pPr>
    <w:rPr>
      <w:rFonts w:eastAsia="Calibri" w:cs="Tahoma"/>
      <w:sz w:val="18"/>
      <w:szCs w:val="18"/>
    </w:rPr>
  </w:style>
  <w:style w:type="character" w:customStyle="1" w:styleId="pokyny">
    <w:name w:val="pokyny"/>
    <w:basedOn w:val="Standardnpsmoodstavce"/>
    <w:rsid w:val="00407C5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5793">
      <w:bodyDiv w:val="1"/>
      <w:marLeft w:val="0"/>
      <w:marRight w:val="0"/>
      <w:marTop w:val="0"/>
      <w:marBottom w:val="0"/>
      <w:divBdr>
        <w:top w:val="none" w:sz="0" w:space="0" w:color="auto"/>
        <w:left w:val="none" w:sz="0" w:space="0" w:color="auto"/>
        <w:bottom w:val="none" w:sz="0" w:space="0" w:color="auto"/>
        <w:right w:val="none" w:sz="0" w:space="0" w:color="auto"/>
      </w:divBdr>
    </w:div>
    <w:div w:id="356396877">
      <w:bodyDiv w:val="1"/>
      <w:marLeft w:val="0"/>
      <w:marRight w:val="0"/>
      <w:marTop w:val="0"/>
      <w:marBottom w:val="0"/>
      <w:divBdr>
        <w:top w:val="none" w:sz="0" w:space="0" w:color="auto"/>
        <w:left w:val="none" w:sz="0" w:space="0" w:color="auto"/>
        <w:bottom w:val="none" w:sz="0" w:space="0" w:color="auto"/>
        <w:right w:val="none" w:sz="0" w:space="0" w:color="auto"/>
      </w:divBdr>
    </w:div>
    <w:div w:id="446391453">
      <w:bodyDiv w:val="1"/>
      <w:marLeft w:val="0"/>
      <w:marRight w:val="0"/>
      <w:marTop w:val="0"/>
      <w:marBottom w:val="0"/>
      <w:divBdr>
        <w:top w:val="none" w:sz="0" w:space="0" w:color="auto"/>
        <w:left w:val="none" w:sz="0" w:space="0" w:color="auto"/>
        <w:bottom w:val="none" w:sz="0" w:space="0" w:color="auto"/>
        <w:right w:val="none" w:sz="0" w:space="0" w:color="auto"/>
      </w:divBdr>
    </w:div>
    <w:div w:id="890651045">
      <w:bodyDiv w:val="1"/>
      <w:marLeft w:val="0"/>
      <w:marRight w:val="0"/>
      <w:marTop w:val="0"/>
      <w:marBottom w:val="0"/>
      <w:divBdr>
        <w:top w:val="none" w:sz="0" w:space="0" w:color="auto"/>
        <w:left w:val="none" w:sz="0" w:space="0" w:color="auto"/>
        <w:bottom w:val="none" w:sz="0" w:space="0" w:color="auto"/>
        <w:right w:val="none" w:sz="0" w:space="0" w:color="auto"/>
      </w:divBdr>
    </w:div>
    <w:div w:id="1025013339">
      <w:bodyDiv w:val="1"/>
      <w:marLeft w:val="0"/>
      <w:marRight w:val="0"/>
      <w:marTop w:val="0"/>
      <w:marBottom w:val="0"/>
      <w:divBdr>
        <w:top w:val="none" w:sz="0" w:space="0" w:color="auto"/>
        <w:left w:val="none" w:sz="0" w:space="0" w:color="auto"/>
        <w:bottom w:val="none" w:sz="0" w:space="0" w:color="auto"/>
        <w:right w:val="none" w:sz="0" w:space="0" w:color="auto"/>
      </w:divBdr>
    </w:div>
    <w:div w:id="1080252744">
      <w:bodyDiv w:val="1"/>
      <w:marLeft w:val="0"/>
      <w:marRight w:val="0"/>
      <w:marTop w:val="0"/>
      <w:marBottom w:val="0"/>
      <w:divBdr>
        <w:top w:val="none" w:sz="0" w:space="0" w:color="auto"/>
        <w:left w:val="none" w:sz="0" w:space="0" w:color="auto"/>
        <w:bottom w:val="none" w:sz="0" w:space="0" w:color="auto"/>
        <w:right w:val="none" w:sz="0" w:space="0" w:color="auto"/>
      </w:divBdr>
    </w:div>
    <w:div w:id="1525096811">
      <w:bodyDiv w:val="1"/>
      <w:marLeft w:val="0"/>
      <w:marRight w:val="0"/>
      <w:marTop w:val="0"/>
      <w:marBottom w:val="0"/>
      <w:divBdr>
        <w:top w:val="none" w:sz="0" w:space="0" w:color="auto"/>
        <w:left w:val="none" w:sz="0" w:space="0" w:color="auto"/>
        <w:bottom w:val="none" w:sz="0" w:space="0" w:color="auto"/>
        <w:right w:val="none" w:sz="0" w:space="0" w:color="auto"/>
      </w:divBdr>
    </w:div>
    <w:div w:id="1629361673">
      <w:bodyDiv w:val="1"/>
      <w:marLeft w:val="0"/>
      <w:marRight w:val="0"/>
      <w:marTop w:val="0"/>
      <w:marBottom w:val="0"/>
      <w:divBdr>
        <w:top w:val="none" w:sz="0" w:space="0" w:color="auto"/>
        <w:left w:val="none" w:sz="0" w:space="0" w:color="auto"/>
        <w:bottom w:val="none" w:sz="0" w:space="0" w:color="auto"/>
        <w:right w:val="none" w:sz="0" w:space="0" w:color="auto"/>
      </w:divBdr>
    </w:div>
    <w:div w:id="2098624429">
      <w:bodyDiv w:val="1"/>
      <w:marLeft w:val="0"/>
      <w:marRight w:val="0"/>
      <w:marTop w:val="0"/>
      <w:marBottom w:val="0"/>
      <w:divBdr>
        <w:top w:val="none" w:sz="0" w:space="0" w:color="auto"/>
        <w:left w:val="none" w:sz="0" w:space="0" w:color="auto"/>
        <w:bottom w:val="none" w:sz="0" w:space="0" w:color="auto"/>
        <w:right w:val="none" w:sz="0" w:space="0" w:color="auto"/>
      </w:divBdr>
      <w:divsChild>
        <w:div w:id="558135424">
          <w:marLeft w:val="0"/>
          <w:marRight w:val="0"/>
          <w:marTop w:val="0"/>
          <w:marBottom w:val="0"/>
          <w:divBdr>
            <w:top w:val="none" w:sz="0" w:space="0" w:color="auto"/>
            <w:left w:val="none" w:sz="0" w:space="0" w:color="auto"/>
            <w:bottom w:val="none" w:sz="0" w:space="0" w:color="auto"/>
            <w:right w:val="none" w:sz="0" w:space="0" w:color="auto"/>
          </w:divBdr>
          <w:divsChild>
            <w:div w:id="1690719389">
              <w:marLeft w:val="0"/>
              <w:marRight w:val="0"/>
              <w:marTop w:val="0"/>
              <w:marBottom w:val="0"/>
              <w:divBdr>
                <w:top w:val="none" w:sz="0" w:space="0" w:color="auto"/>
                <w:left w:val="none" w:sz="0" w:space="0" w:color="auto"/>
                <w:bottom w:val="none" w:sz="0" w:space="0" w:color="auto"/>
                <w:right w:val="none" w:sz="0" w:space="0" w:color="auto"/>
              </w:divBdr>
            </w:div>
          </w:divsChild>
        </w:div>
        <w:div w:id="87492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ochrance.cz/diskriminace/vyrocni-zpravy/" TargetMode="External"/><Relationship Id="rId26" Type="http://schemas.openxmlformats.org/officeDocument/2006/relationships/hyperlink" Target="https://www.ohchr.org/Documents/Issues/Disability/SDG-CRPD-Resource/IndicatorsPDF/article-19-indicators-en.pdf" TargetMode="External"/><Relationship Id="rId39" Type="http://schemas.openxmlformats.org/officeDocument/2006/relationships/hyperlink" Target="https://psychiatrie.cz/images/2019/Transformace_PN_Brno_25-9-2019_verze_25-9-2019_Michalek_Papezova.pdf" TargetMode="External"/><Relationship Id="rId3" Type="http://schemas.openxmlformats.org/officeDocument/2006/relationships/customXml" Target="../customXml/item3.xml"/><Relationship Id="rId21" Type="http://schemas.openxmlformats.org/officeDocument/2006/relationships/hyperlink" Target="https://www.ochrance.cz/fileadmin/user_upload/CRPD/Umluva-komentare/Vseobecny_komentar_cl._12_CJ.pdf" TargetMode="External"/><Relationship Id="rId34" Type="http://schemas.openxmlformats.org/officeDocument/2006/relationships/hyperlink" Target="https://www.mzcr.cz/wp-content/uploads/2021/03/Implementace-NAPDZ.pdf" TargetMode="External"/><Relationship Id="rId42" Type="http://schemas.openxmlformats.org/officeDocument/2006/relationships/hyperlink" Target="https://test.ochrance.cz/fileadmin/user_upload/CRPD/Umluva-komentare/Vseobecny_komentar_cl._19_CJ.pdf"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ochrance.cz/fileadmin/user_upload/ESO/CZ_Diskriminace_v_CR_vyzkum_01.pdf" TargetMode="External"/><Relationship Id="rId25" Type="http://schemas.openxmlformats.org/officeDocument/2006/relationships/hyperlink" Target="https://test.ochrance.cz/fileadmin/user_upload/CRPD/Umluva-komentare/Vseobecny_komentar_cl._19_CJ.pdf" TargetMode="External"/><Relationship Id="rId33" Type="http://schemas.openxmlformats.org/officeDocument/2006/relationships/hyperlink" Target="https://www.reformapsychiatrie.cz/sites/default/files/2020-12/N%C3%A1rodn%C3%AD-ak%C4%8Dn%C3%AD-pl%C3%A1n-pro-du%C5%A1evn%C3%AD-zdrav%C3%AD-2020-2030.pdf" TargetMode="External"/><Relationship Id="rId38" Type="http://schemas.openxmlformats.org/officeDocument/2006/relationships/hyperlink" Target="https://www.uzis.cz/index.php?pg=vystupy--statistika-vybranych-oboru-lekarske-pece--psychiatrie"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vlada.cz/scripts/detail.php?pgid=179" TargetMode="External"/><Relationship Id="rId20" Type="http://schemas.openxmlformats.org/officeDocument/2006/relationships/hyperlink" Target="https://www.ochrance.cz/fileadmin/user_upload/DISKRIMINACE/Vyzkum/2020-vyzkum_judikatura-DIS.pdf" TargetMode="External"/><Relationship Id="rId29" Type="http://schemas.openxmlformats.org/officeDocument/2006/relationships/hyperlink" Target="https://www.mpsv.cz/documents/20142/225517/Doporuceny_postup_Materialne_technicky_standard.pdf/" TargetMode="External"/><Relationship Id="rId41" Type="http://schemas.openxmlformats.org/officeDocument/2006/relationships/hyperlink" Target="http://rsss.mpsv.cz/projekt/vystupy-a-dokumen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ochrance.cz/fileadmin/user_upload/CRPD/Umluva-komentare/Vseobecny_komentar_cl._12_CJ.pdf" TargetMode="External"/><Relationship Id="rId32" Type="http://schemas.openxmlformats.org/officeDocument/2006/relationships/hyperlink" Target="https://www.ohchr.org/Documents/Issues/Disability/SDG-CRPD-Resource/IndicatorsPDF/article-19-indicators-en.pdf" TargetMode="External"/><Relationship Id="rId37" Type="http://schemas.openxmlformats.org/officeDocument/2006/relationships/hyperlink" Target="https://www.ohchr.org/Documents/Issues/Disability/SDG-CRPD-Resource/IndicatorsPDF/article-19-indicators-en.pdf" TargetMode="External"/><Relationship Id="rId40" Type="http://schemas.openxmlformats.org/officeDocument/2006/relationships/hyperlink" Target="https://www.mpsv.cz/statisticka-rocenka-z-oblasti-prace-a-socialnich-veci" TargetMode="External"/><Relationship Id="rId45" Type="http://schemas.openxmlformats.org/officeDocument/2006/relationships/hyperlink" Target="https://www.ohchr.org/Documents/Issues/Disability/SDG-CRPD-Resource/IndicatorsPDF/article-19-indicators-en.pdf" TargetMode="External"/><Relationship Id="rId5" Type="http://schemas.openxmlformats.org/officeDocument/2006/relationships/numbering" Target="numbering.xml"/><Relationship Id="rId15" Type="http://schemas.openxmlformats.org/officeDocument/2006/relationships/hyperlink" Target="https://www.ohchr.org/EN/Issues/Disability/Pages/EUAndOHCHRProjectBridgingGapI.aspx" TargetMode="External"/><Relationship Id="rId23" Type="http://schemas.openxmlformats.org/officeDocument/2006/relationships/hyperlink" Target="http://ennhri.org/wp-content/uploads/2020/06/8-June-2020-Implementing-supported-decision-making-Developments-across-Europe-and-the-role-of-NHRIs.pdf" TargetMode="External"/><Relationship Id="rId28" Type="http://schemas.openxmlformats.org/officeDocument/2006/relationships/hyperlink" Target="http://www.trass.cz/wp-content/uploads/2016/05/kriteriaSSKCH-a-TaDI.pdf" TargetMode="External"/><Relationship Id="rId36" Type="http://schemas.openxmlformats.org/officeDocument/2006/relationships/hyperlink" Target="https://test.ochrance.cz/fileadmin/user_upload/CRPD/Umluva-komentare/Vseobecny_komentar_cl._19_CJ.pdf" TargetMode="External"/><Relationship Id="rId10" Type="http://schemas.openxmlformats.org/officeDocument/2006/relationships/endnotes" Target="endnotes.xml"/><Relationship Id="rId19" Type="http://schemas.openxmlformats.org/officeDocument/2006/relationships/hyperlink" Target="https://www.ochrance.cz/fileadmin/user_upload/ESO/CZ_Diskriminace_v_CR_vyzkum_01.pdf" TargetMode="External"/><Relationship Id="rId31" Type="http://schemas.openxmlformats.org/officeDocument/2006/relationships/hyperlink" Target="https://test.ochrance.cz/fileadmin/user_upload/CRPD/Umluva-komentare/Vseobecny_komentar_cl._19_CJ.pdf" TargetMode="External"/><Relationship Id="rId44" Type="http://schemas.openxmlformats.org/officeDocument/2006/relationships/hyperlink" Target="https://test.ochrance.cz/fileadmin/user_upload/CRPD/Umluva-komentare/Vseobecny_komentar_cl._19_CJ.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ochrance.cz/fileadmin/user_upload/CRPD/Umluva-komentare/Vseobecny_komentar_cl._12_CJ.pdf" TargetMode="External"/><Relationship Id="rId27" Type="http://schemas.openxmlformats.org/officeDocument/2006/relationships/hyperlink" Target="http://www.trass.cz/wp-content/uploads/2016/02/znaky-a-voditka-DEI.pdf" TargetMode="External"/><Relationship Id="rId30" Type="http://schemas.openxmlformats.org/officeDocument/2006/relationships/hyperlink" Target="https://www.mpsv.cz/documents/20142/225517/NSRSS.pdf/bca93363-6f0b-52ab-a178-4852b75dab6f" TargetMode="External"/><Relationship Id="rId35" Type="http://schemas.openxmlformats.org/officeDocument/2006/relationships/hyperlink" Target="https://www.mzcr.cz/rada-vlady-pro-dusevni-zdravi/" TargetMode="External"/><Relationship Id="rId43" Type="http://schemas.openxmlformats.org/officeDocument/2006/relationships/hyperlink" Target="https://www.ohchr.org/Documents/Issues/Disability/SDG-CRPD-Resource/IndicatorsPDF/article-19-indicators-en.pdf" TargetMode="Externa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podatelna@ochrance.cz" TargetMode="External"/><Relationship Id="rId1" Type="http://schemas.openxmlformats.org/officeDocument/2006/relationships/hyperlink" Target="https://www.ochrance.cz/"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ochrance.cz/uploads-import/ochrana_osob/ZARIZENI/Socialni_sluzby/DIS25-2013_vyzkum_zarizeni_pro_seniory.pdf" TargetMode="External"/><Relationship Id="rId3" Type="http://schemas.openxmlformats.org/officeDocument/2006/relationships/hyperlink" Target="https://www.ochrance.cz/uploads-import/CRPD/Vyzkumy/6-2019-domovy-pro-osoby-s-postizenim.pdf" TargetMode="External"/><Relationship Id="rId7" Type="http://schemas.openxmlformats.org/officeDocument/2006/relationships/hyperlink" Target="https://www.ochrance.cz/uploads-import/ESO/69-2019-DIS-JMK-vyzkum_obecni_bydleni.pdf" TargetMode="External"/><Relationship Id="rId2" Type="http://schemas.openxmlformats.org/officeDocument/2006/relationships/hyperlink" Target="https://www.nahradnirodina.cz/sites/default/files/vybrane_vyzkumy_a_poznatky_o_vlivu_rane_institucionalni_vychovy_na_vyvoj_ditete_0.pdf" TargetMode="External"/><Relationship Id="rId1" Type="http://schemas.openxmlformats.org/officeDocument/2006/relationships/hyperlink" Target="https://www.ochrance.cz/uploads-import/CRPD/Vyzkumy/6-2019-domovy-pro-osoby-s-postizenim.pdf" TargetMode="External"/><Relationship Id="rId6" Type="http://schemas.openxmlformats.org/officeDocument/2006/relationships/hyperlink" Target="https://www.czso.cz/csu/czso/vybrane-udaje-o-socialnim-zabezpeceni-2019" TargetMode="External"/><Relationship Id="rId5" Type="http://schemas.openxmlformats.org/officeDocument/2006/relationships/hyperlink" Target="http://www.trass.cz/wp-content/uploads/2016/02/zaverecna-zprava.pdf" TargetMode="External"/><Relationship Id="rId4" Type="http://schemas.openxmlformats.org/officeDocument/2006/relationships/hyperlink" Target="https://www.ochrance.cz/uploads-import/CRPD/Vyzkumy/6-2019-domovy-pro-osoby-s-postizenim.pdf" TargetMode="External"/><Relationship Id="rId9" Type="http://schemas.openxmlformats.org/officeDocument/2006/relationships/hyperlink" Target="https://www.ochrance.cz/dokument/pristupnost_socialnich_sluzeb_azylove_domy_a_nocleharny_pro_lidi_s_postizenim/zaverecna_zprava2020_azylove_domy_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kvopap/Sdilene%20dokumenty/Sekce%20pr&#225;vn&#237;/pr&#225;ce%20se%20spisem/&#353;ablony%202018/01_b&#283;&#382;n&#233;/v&#253;zkum.dotm" TargetMode="External"/></Relationships>
</file>

<file path=word/theme/theme1.xml><?xml version="1.0" encoding="utf-8"?>
<a:theme xmlns:a="http://schemas.openxmlformats.org/drawingml/2006/main" name="MotivOmbudsman">
  <a:themeElements>
    <a:clrScheme name="Vlastní 1">
      <a:dk1>
        <a:sysClr val="windowText" lastClr="000000"/>
      </a:dk1>
      <a:lt1>
        <a:sysClr val="window" lastClr="FFFFFF"/>
      </a:lt1>
      <a:dk2>
        <a:srgbClr val="44546A"/>
      </a:dk2>
      <a:lt2>
        <a:srgbClr val="E7E6E6"/>
      </a:lt2>
      <a:accent1>
        <a:srgbClr val="008576"/>
      </a:accent1>
      <a:accent2>
        <a:srgbClr val="727272"/>
      </a:accent2>
      <a:accent3>
        <a:srgbClr val="005F8C"/>
      </a:accent3>
      <a:accent4>
        <a:srgbClr val="AA0546"/>
      </a:accent4>
      <a:accent5>
        <a:srgbClr val="E17D28"/>
      </a:accent5>
      <a:accent6>
        <a:srgbClr val="AFC32D"/>
      </a:accent6>
      <a:hlink>
        <a:srgbClr val="008576"/>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6AE1-B702-4091-AF4F-FED4F2737DD9}">
  <ds:schemaRefs>
    <ds:schemaRef ds:uri="http://schemas.microsoft.com/sharepoint/v3/contenttype/forms"/>
  </ds:schemaRefs>
</ds:datastoreItem>
</file>

<file path=customXml/itemProps2.xml><?xml version="1.0" encoding="utf-8"?>
<ds:datastoreItem xmlns:ds="http://schemas.openxmlformats.org/officeDocument/2006/customXml" ds:itemID="{FC9E8FF5-DD1B-408F-8EAE-3642E3A4C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AED96-817D-427E-8945-E837FE4885F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4.xml><?xml version="1.0" encoding="utf-8"?>
<ds:datastoreItem xmlns:ds="http://schemas.openxmlformats.org/officeDocument/2006/customXml" ds:itemID="{FB7B984D-ECAC-4514-9FC1-BBED1D78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výzkum.dotm</Template>
  <TotalTime>117</TotalTime>
  <Pages>40</Pages>
  <Words>9405</Words>
  <Characters>55491</Characters>
  <Application>Microsoft Office Word</Application>
  <DocSecurity>0</DocSecurity>
  <Lines>462</Lines>
  <Paragraphs>129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Hrade</dc:subject>
  <dc:creator>Polák Petr Mgr.</dc:creator>
  <cp:keywords/>
  <dc:description/>
  <cp:lastModifiedBy>Polák Petr Mgr.</cp:lastModifiedBy>
  <cp:revision>16</cp:revision>
  <cp:lastPrinted>2017-03-28T07:24:00Z</cp:lastPrinted>
  <dcterms:created xsi:type="dcterms:W3CDTF">2021-09-01T15:31:00Z</dcterms:created>
  <dcterms:modified xsi:type="dcterms:W3CDTF">2021-09-01T17:39:00Z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