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FF0A4" w14:textId="46FDCF77" w:rsidR="006331E7" w:rsidRPr="003E652C" w:rsidRDefault="001771A3" w:rsidP="0081244A">
      <w:pPr>
        <w:pStyle w:val="Nadpis1"/>
        <w:spacing w:before="200" w:after="200" w:line="259" w:lineRule="auto"/>
        <w:contextualSpacing w:val="0"/>
      </w:pPr>
      <w:r>
        <w:t xml:space="preserve">Aktuální stav projektu </w:t>
      </w:r>
      <w:r w:rsidRPr="002A4DC6">
        <w:t>Posílení aktivit veřejného ochránce práv v ochraně lidských práv (směrem k ustavení Národní lidskoprávní instituce v ČR)</w:t>
      </w:r>
    </w:p>
    <w:p w14:paraId="4ABFF0A5" w14:textId="1B365AE2" w:rsidR="006331E7" w:rsidRPr="008933B2" w:rsidRDefault="00FB4521" w:rsidP="0081244A">
      <w:pPr>
        <w:pStyle w:val="Zkladntext"/>
        <w:spacing w:line="259" w:lineRule="auto"/>
      </w:pPr>
      <w:r>
        <w:t>stav k 31</w:t>
      </w:r>
      <w:r w:rsidR="006331E7" w:rsidRPr="00357E8C">
        <w:t xml:space="preserve">. </w:t>
      </w:r>
      <w:r w:rsidR="008E7734">
        <w:t>srpnu</w:t>
      </w:r>
      <w:r w:rsidR="001771A3">
        <w:t xml:space="preserve"> 2022</w:t>
      </w:r>
    </w:p>
    <w:p w14:paraId="4ABFF0A6" w14:textId="2835AB77" w:rsidR="005970A0" w:rsidRDefault="006D7477" w:rsidP="0081244A">
      <w:pPr>
        <w:pStyle w:val="perex"/>
        <w:spacing w:after="200" w:line="259" w:lineRule="auto"/>
      </w:pPr>
      <w:r>
        <w:t>Čtyřletý p</w:t>
      </w:r>
      <w:r w:rsidR="005970A0">
        <w:t>rojekt</w:t>
      </w:r>
      <w:r w:rsidR="00296A62">
        <w:t>, který započal 1.</w:t>
      </w:r>
      <w:r w:rsidR="001068AD">
        <w:t xml:space="preserve"> </w:t>
      </w:r>
      <w:r w:rsidR="00296A62">
        <w:t>1.</w:t>
      </w:r>
      <w:r w:rsidR="001068AD">
        <w:t xml:space="preserve"> </w:t>
      </w:r>
      <w:r w:rsidR="00296A62">
        <w:t>2020</w:t>
      </w:r>
      <w:r w:rsidR="00D042B8">
        <w:t>,</w:t>
      </w:r>
      <w:r w:rsidR="005970A0">
        <w:t xml:space="preserve"> je nyní za polovinou realizace</w:t>
      </w:r>
      <w:r w:rsidR="00F00B05">
        <w:t>,</w:t>
      </w:r>
      <w:r w:rsidR="005970A0">
        <w:t xml:space="preserve"> </w:t>
      </w:r>
      <w:r w:rsidR="00F00B05">
        <w:t>v</w:t>
      </w:r>
      <w:r w:rsidR="005970A0">
        <w:t xml:space="preserve">eřejnost jsme informovali zahajovací tiskovou konferencí </w:t>
      </w:r>
      <w:r w:rsidR="00913B08">
        <w:t>v lednu 2020. Cílem projektu je</w:t>
      </w:r>
      <w:r w:rsidR="005970A0">
        <w:t xml:space="preserve"> díky personálnímu posílení </w:t>
      </w:r>
      <w:r w:rsidR="00913B08">
        <w:t xml:space="preserve">sekce právní i </w:t>
      </w:r>
      <w:r w:rsidR="005970A0">
        <w:t>sekretariátu veřejného ochránce práv zvýšit ochranu práv osob, které spadají pod mandát ochránce, zejména zranitelných skupin jako dětí a mladistvých a obětí špatného zacházení a diskriminace.</w:t>
      </w:r>
      <w:r w:rsidR="00085D85">
        <w:t xml:space="preserve"> Samotný projekt obsahuje velké množství aktivit, které je možné pro lepší uchopení jeho podstaty rozdělit na </w:t>
      </w:r>
      <w:r w:rsidR="00913B08">
        <w:t>šest</w:t>
      </w:r>
      <w:r w:rsidR="00296A62">
        <w:t xml:space="preserve"> tematických oblastí</w:t>
      </w:r>
      <w:r w:rsidR="00085D85">
        <w:t>.</w:t>
      </w:r>
      <w:r w:rsidR="00913B08">
        <w:t xml:space="preserve"> Projekt bude pokračovat až do </w:t>
      </w:r>
      <w:r w:rsidR="005970A0">
        <w:t xml:space="preserve"> 31.</w:t>
      </w:r>
      <w:r w:rsidR="001068AD">
        <w:t xml:space="preserve"> </w:t>
      </w:r>
      <w:r w:rsidR="005970A0">
        <w:t>12.</w:t>
      </w:r>
      <w:r w:rsidR="001068AD">
        <w:t xml:space="preserve"> </w:t>
      </w:r>
      <w:r w:rsidR="005970A0">
        <w:t>2023.</w:t>
      </w:r>
    </w:p>
    <w:p w14:paraId="4ABFF0A7" w14:textId="77777777" w:rsidR="00F00B05" w:rsidRDefault="00F00B05" w:rsidP="0081244A">
      <w:pPr>
        <w:spacing w:before="200" w:after="200" w:line="259" w:lineRule="auto"/>
        <w:jc w:val="both"/>
        <w:rPr>
          <w:b/>
          <w:bCs/>
          <w:sz w:val="24"/>
          <w:szCs w:val="24"/>
        </w:rPr>
      </w:pPr>
      <w:r w:rsidRPr="00085D85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Analýza výstupů ochránce z lidskoprávní a ústavněprávní perspektivy</w:t>
      </w:r>
    </w:p>
    <w:p w14:paraId="4ABFF0A9" w14:textId="77777777" w:rsidR="003872B9" w:rsidRDefault="003872B9" w:rsidP="0081244A">
      <w:pPr>
        <w:spacing w:before="200" w:after="200" w:line="259" w:lineRule="auto"/>
        <w:jc w:val="both"/>
      </w:pPr>
      <w:r>
        <w:t>Uskutečnili jsme dvě interní školení pro právníky a právničky Kanceláře týkající se lidskoprávní a ústavněprávní perspektivy v práci Kanceláře veřejného ochránce práv. První školení se v červenci 2020 zaměřilo na téma Ústavněprávní a lidskoprávní perspektiva v práci KVOP: posílení lidskoprávní argumentace KVOP, druhé školení proběhlo v prosinci 2021 na téma Lidská práva v KVOP: posílení argumentace a spolupráce.</w:t>
      </w:r>
    </w:p>
    <w:p w14:paraId="4ABFF0AB" w14:textId="77777777" w:rsidR="003872B9" w:rsidRDefault="003872B9" w:rsidP="0081244A">
      <w:pPr>
        <w:spacing w:before="200" w:after="200" w:line="259" w:lineRule="auto"/>
        <w:jc w:val="both"/>
      </w:pPr>
      <w:r>
        <w:t>V součinnosti s odborníky z oblasti ústavního práva a z oblasti lidských práv Kanceláře jsme zpracovali bezmála tři desítky materiálů v podobě připomínek ochránce v legislativním procesu s lidskoprávním přesahem, kapitol čtvrtletních zpráv o činnosti ochránce pro Poslaneckou sněmovnu, sankčních materiálů směřovaných vládě (o nedosažení nápravy zjištěného pochybení úřadu) či podání ochránce Ústavnímu soudu.</w:t>
      </w:r>
    </w:p>
    <w:p w14:paraId="4ABFF0AD" w14:textId="77777777" w:rsidR="0030149D" w:rsidRDefault="0030149D" w:rsidP="0081244A">
      <w:pPr>
        <w:spacing w:before="200" w:after="200" w:line="259" w:lineRule="auto"/>
        <w:jc w:val="both"/>
        <w:rPr>
          <w:b/>
          <w:bCs/>
          <w:sz w:val="24"/>
          <w:szCs w:val="24"/>
        </w:rPr>
      </w:pPr>
      <w:r w:rsidRPr="00085D85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Vybudování partnerství s norskou národní lidskoprávní institucí</w:t>
      </w:r>
    </w:p>
    <w:p w14:paraId="4ABFF0AF" w14:textId="44685201" w:rsidR="00A01156" w:rsidRDefault="005970A0" w:rsidP="0081244A">
      <w:pPr>
        <w:spacing w:before="200" w:after="200" w:line="259" w:lineRule="auto"/>
        <w:jc w:val="both"/>
      </w:pPr>
      <w:r>
        <w:t>Vzhledem k neexistenci praktických zkušeností s výkonem šir</w:t>
      </w:r>
      <w:r w:rsidR="0030149D">
        <w:t>okého mandátu</w:t>
      </w:r>
      <w:r w:rsidR="00627B06">
        <w:t xml:space="preserve"> národní lidskoprávní instituce</w:t>
      </w:r>
      <w:r w:rsidR="0030149D">
        <w:t xml:space="preserve"> </w:t>
      </w:r>
      <w:r w:rsidR="00627B06">
        <w:t>(</w:t>
      </w:r>
      <w:r w:rsidR="0030149D">
        <w:t>NHRI</w:t>
      </w:r>
      <w:r w:rsidR="00627B06">
        <w:t>)</w:t>
      </w:r>
      <w:r w:rsidR="0030149D">
        <w:t xml:space="preserve"> navázala Kancelář</w:t>
      </w:r>
      <w:r>
        <w:t xml:space="preserve"> spolupráci s</w:t>
      </w:r>
      <w:r w:rsidR="00627B06">
        <w:t> </w:t>
      </w:r>
      <w:r>
        <w:t>norskou</w:t>
      </w:r>
      <w:r w:rsidR="00627B06">
        <w:t xml:space="preserve"> </w:t>
      </w:r>
      <w:r>
        <w:t xml:space="preserve">NHRI, aby načerpala potřebné know-how. </w:t>
      </w:r>
      <w:r w:rsidR="00F00B05">
        <w:t>V rámci vybudovaného partnerství jsme uskutečnili dvě setkání. Vzhledem k celosvětové pandemii jsme první n</w:t>
      </w:r>
      <w:r w:rsidR="00516F30">
        <w:t>ávštěvu pojali jako on-line tří</w:t>
      </w:r>
      <w:r w:rsidR="00F00B05">
        <w:t>denní setkání v říjnu 2021. V č</w:t>
      </w:r>
      <w:r w:rsidR="00516F30">
        <w:t>ervnu 2022 jsme uskutečnili tří</w:t>
      </w:r>
      <w:r w:rsidR="00F00B05">
        <w:t>denní fyzickou návštěvu u norského partnera.</w:t>
      </w:r>
      <w:r w:rsidR="00A01156">
        <w:t xml:space="preserve"> Intenzivní setkání uskutečněné prezenčně navázalo na všeobecné poznatky získané během předešlého praktického workshopu v on-line formě. Identifikována byla především témata z oblastí relevantních ve vztahu k založení národní lidskoprávní instituce v ČR a k praktické implementaci jejích funkcí podle tzv. Pařížských principů (stanovujících předpoklady a regulujících fungování orgánů k prosazování a ochraně lidských práv) do činnosti Kanceláře. </w:t>
      </w:r>
      <w:r w:rsidR="00A01156">
        <w:lastRenderedPageBreak/>
        <w:t>V rámci vymezených tematických celků byla pozornost zaměřena i na získání hlubšího povědomí a praktických zkušeností z každodenního chodu norského partnera.</w:t>
      </w:r>
    </w:p>
    <w:p w14:paraId="4ABFF0B1" w14:textId="77777777" w:rsidR="002D43DC" w:rsidRDefault="002D43DC" w:rsidP="0081244A">
      <w:pPr>
        <w:spacing w:before="200" w:after="200" w:line="259" w:lineRule="auto"/>
        <w:jc w:val="both"/>
        <w:rPr>
          <w:b/>
          <w:bCs/>
          <w:sz w:val="24"/>
          <w:szCs w:val="24"/>
        </w:rPr>
      </w:pPr>
      <w:r w:rsidRPr="00085D85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Realizace následných návštěv zařízení, kde se nachází nebo mohou nacházet osoby omezené na osobní svobodě</w:t>
      </w:r>
    </w:p>
    <w:p w14:paraId="4ABFF0B3" w14:textId="32DF8BF7" w:rsidR="00F00B05" w:rsidRDefault="0054042C" w:rsidP="0081244A">
      <w:pPr>
        <w:spacing w:before="200" w:after="200" w:line="259" w:lineRule="auto"/>
        <w:jc w:val="both"/>
      </w:pPr>
      <w:r w:rsidRPr="0054042C">
        <w:t>Důležitou částí procesu monitoringu zacházení s osobami omezenými na svobodě jsou následné návštěvy zařízení, v jejichž rámci dochází k ověření naplňování doporučení, která ochránce dříve adresoval zařízení.</w:t>
      </w:r>
      <w:r w:rsidR="008629A0">
        <w:t xml:space="preserve"> Pod hlavičkou projektu jsme navštívili doposud </w:t>
      </w:r>
      <w:r w:rsidR="00274D94">
        <w:t>10</w:t>
      </w:r>
      <w:r w:rsidR="008629A0">
        <w:t xml:space="preserve"> zařízení, kde se nachází, nebo mohou nacházet o</w:t>
      </w:r>
      <w:r w:rsidR="00AA4CEC">
        <w:t xml:space="preserve">soby omezené na osobní svobodě. </w:t>
      </w:r>
      <w:r w:rsidR="001360F5" w:rsidRPr="0044647C">
        <w:t>Ze všech uskutečněných návštěv zpracováváme zprávy, ve kterých se zaměřujeme na to, jak zařízení naplňují doporučení ochránce z prvotních návštěv.</w:t>
      </w:r>
      <w:r w:rsidR="001360F5">
        <w:rPr>
          <w:rStyle w:val="Poledosti"/>
          <w:rFonts w:cs="Arial"/>
          <w:sz w:val="22"/>
        </w:rPr>
        <w:t xml:space="preserve"> </w:t>
      </w:r>
      <w:r w:rsidR="00EA2C18" w:rsidRPr="00EA2C18">
        <w:t>Samotné</w:t>
      </w:r>
      <w:r w:rsidR="00AA4CEC">
        <w:t xml:space="preserve"> </w:t>
      </w:r>
      <w:r w:rsidR="00EA2C18">
        <w:t>kompletní zfinalizování zprávy z následné návštěvy zařízení a následující vypořádání připomínek s navštíveným zařízením je dlouhodobý</w:t>
      </w:r>
      <w:r w:rsidR="00824E2A">
        <w:t>,</w:t>
      </w:r>
      <w:r w:rsidR="00EA2C18">
        <w:t xml:space="preserve"> několikaměsíční proces</w:t>
      </w:r>
      <w:r w:rsidR="00B14999">
        <w:t xml:space="preserve">. V jeho závěru </w:t>
      </w:r>
      <w:r w:rsidR="00EA2C18">
        <w:t>zpráv</w:t>
      </w:r>
      <w:r w:rsidR="00B14999">
        <w:t>u</w:t>
      </w:r>
      <w:r w:rsidR="00EA2C18">
        <w:t xml:space="preserve"> </w:t>
      </w:r>
      <w:r w:rsidR="00B14999">
        <w:t xml:space="preserve">zveřejníme </w:t>
      </w:r>
      <w:r w:rsidR="00EA2C18">
        <w:t xml:space="preserve">v databázi stanovisek ochránce ESO. Aktuálně máme v rámci projektu zveřejněnou </w:t>
      </w:r>
      <w:hyperlink r:id="rId11" w:history="1">
        <w:r w:rsidR="00EA2C18" w:rsidRPr="000B794D">
          <w:rPr>
            <w:rStyle w:val="Hypertextovodkaz"/>
          </w:rPr>
          <w:t>jednu závěrečnou zprávu</w:t>
        </w:r>
      </w:hyperlink>
      <w:r w:rsidR="00EA2C18">
        <w:t>.</w:t>
      </w:r>
    </w:p>
    <w:p w14:paraId="4ABFF0B5" w14:textId="77777777" w:rsidR="004F13D4" w:rsidRDefault="004F13D4" w:rsidP="0081244A">
      <w:pPr>
        <w:spacing w:before="200" w:after="200" w:line="259" w:lineRule="auto"/>
        <w:jc w:val="both"/>
      </w:pPr>
      <w:r w:rsidRPr="004F13D4">
        <w:t xml:space="preserve">V rámci prevence mučení, krutého, nelidského, ponižujícího zacházení nebo trestání a jiného špatného zacházení jsme zrealizovali osvětové aktivity prostřednictvím </w:t>
      </w:r>
      <w:r w:rsidR="007B443E">
        <w:t>9</w:t>
      </w:r>
      <w:r w:rsidRPr="004F13D4">
        <w:t xml:space="preserve"> seminářů a proškolili </w:t>
      </w:r>
      <w:r w:rsidR="007B443E">
        <w:t>152</w:t>
      </w:r>
      <w:r w:rsidRPr="004F13D4">
        <w:t xml:space="preserve"> účastníků. Tématy byly například </w:t>
      </w:r>
      <w:r w:rsidR="00EA3767">
        <w:t xml:space="preserve">poznatky ze systematických návštěv zařízení pro děti vyžadující okamžitou pomoc, dále poznatky z návštěv školských zařízení pro výkon ústavní a ochranné výchovy, </w:t>
      </w:r>
      <w:r w:rsidR="00402860">
        <w:t xml:space="preserve">problémy současné koncepce ústavní a ochranné výchovy, systém péče o děti se závislostí na návykových látkách, participace dítěte na rozhodování souvisejícím s jeho umístěním na psychiatrii, zacházení s transgender dětmi při jejich hospitalizaci, či poznatky ochránce k výkonu vazby. </w:t>
      </w:r>
    </w:p>
    <w:p w14:paraId="4ABFF0B7" w14:textId="77777777" w:rsidR="00824E2A" w:rsidRDefault="00824E2A" w:rsidP="0081244A">
      <w:pPr>
        <w:spacing w:before="200" w:after="200" w:line="259" w:lineRule="auto"/>
        <w:jc w:val="both"/>
      </w:pPr>
      <w:r w:rsidRPr="00824E2A">
        <w:t xml:space="preserve">Prevence mučení, krutého, nelidského, ponižujícího zacházení nebo trestání a jiného špatného zacházení </w:t>
      </w:r>
      <w:r>
        <w:t>jsme posílili i</w:t>
      </w:r>
      <w:r w:rsidRPr="00824E2A">
        <w:t xml:space="preserve"> tím, že </w:t>
      </w:r>
      <w:r>
        <w:t>jsme pro interní potřeby Kanceláře vypracovali podrobný</w:t>
      </w:r>
      <w:r w:rsidRPr="00824E2A">
        <w:t xml:space="preserve"> </w:t>
      </w:r>
      <w:r>
        <w:t xml:space="preserve">manuál </w:t>
      </w:r>
      <w:r w:rsidRPr="00824E2A">
        <w:t>pro provádění následných návštěv zařízení</w:t>
      </w:r>
      <w:r>
        <w:t xml:space="preserve"> a také jsme </w:t>
      </w:r>
      <w:r w:rsidR="00A56B48">
        <w:t>komplexně uchopili</w:t>
      </w:r>
      <w:r>
        <w:t xml:space="preserve"> systém pro vyhodnocování doporučení ochránce.</w:t>
      </w:r>
      <w:r w:rsidR="00A56B48">
        <w:t xml:space="preserve"> Tento zpracovaný materiál nám </w:t>
      </w:r>
      <w:r w:rsidR="00A56B48" w:rsidRPr="00E04636">
        <w:t>umožňuje přehledně vyhodnotit, zda</w:t>
      </w:r>
      <w:r w:rsidR="00A56B48">
        <w:t xml:space="preserve"> a do </w:t>
      </w:r>
      <w:r w:rsidR="00A56B48" w:rsidRPr="00E04636">
        <w:t>jaké míry byla přijata opatření</w:t>
      </w:r>
      <w:r w:rsidR="00A56B48">
        <w:t xml:space="preserve"> ve </w:t>
      </w:r>
      <w:r w:rsidR="00A56B48" w:rsidRPr="00E04636">
        <w:t>všech navštívených zařízeních</w:t>
      </w:r>
      <w:r w:rsidR="00A56B48">
        <w:t xml:space="preserve"> a </w:t>
      </w:r>
      <w:r w:rsidR="00A56B48" w:rsidRPr="00E04636">
        <w:t>vést efektivní navazující šetření.</w:t>
      </w:r>
    </w:p>
    <w:p w14:paraId="4ABFF0B9" w14:textId="77777777" w:rsidR="001B2372" w:rsidRDefault="001B2372" w:rsidP="0081244A">
      <w:pPr>
        <w:spacing w:before="200" w:after="200" w:line="259" w:lineRule="auto"/>
        <w:jc w:val="both"/>
        <w:rPr>
          <w:b/>
          <w:bCs/>
          <w:sz w:val="24"/>
          <w:szCs w:val="24"/>
        </w:rPr>
      </w:pPr>
      <w:r w:rsidRPr="001B2372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Analýza stavu na poli ochrany ohrožených dětí a jejich rodin a podpory práv dětí</w:t>
      </w:r>
    </w:p>
    <w:p w14:paraId="4ABFF0BB" w14:textId="02824702" w:rsidR="00E7479A" w:rsidRDefault="00E7479A" w:rsidP="0081244A">
      <w:pPr>
        <w:spacing w:before="200" w:after="200" w:line="259" w:lineRule="auto"/>
        <w:jc w:val="both"/>
      </w:pPr>
      <w:r>
        <w:t xml:space="preserve">Na základě poznatků získaných z šetření a výzkumů jsme v rámci projektu vydali již </w:t>
      </w:r>
      <w:r>
        <w:rPr>
          <w:b/>
          <w:bCs/>
        </w:rPr>
        <w:t>5 doporučení ochránce</w:t>
      </w:r>
      <w:r>
        <w:t xml:space="preserve">: </w:t>
      </w:r>
      <w:hyperlink r:id="rId12" w:history="1">
        <w:r w:rsidRPr="00A609CE">
          <w:rPr>
            <w:rStyle w:val="Hypertextovodkaz"/>
            <w:shd w:val="clear" w:color="auto" w:fill="FFFFFF"/>
          </w:rPr>
          <w:t>ke kontaktům dítěte v pěstounské péči</w:t>
        </w:r>
      </w:hyperlink>
      <w:r>
        <w:rPr>
          <w:color w:val="000000"/>
          <w:shd w:val="clear" w:color="auto" w:fill="FFFFFF"/>
        </w:rPr>
        <w:t xml:space="preserve"> nejen s rodiči</w:t>
      </w:r>
      <w:r>
        <w:t xml:space="preserve">, k otázce </w:t>
      </w:r>
      <w:hyperlink r:id="rId13" w:history="1">
        <w:r w:rsidRPr="008B7518">
          <w:rPr>
            <w:rStyle w:val="Hypertextovodkaz"/>
          </w:rPr>
          <w:t>deinstitucionalizace péče o děti</w:t>
        </w:r>
      </w:hyperlink>
      <w:r>
        <w:t xml:space="preserve">, </w:t>
      </w:r>
      <w:hyperlink r:id="rId14" w:history="1">
        <w:r w:rsidRPr="001A1DC8">
          <w:rPr>
            <w:rStyle w:val="Hypertextovodkaz"/>
          </w:rPr>
          <w:t>k účasti dítěte na rozhodování</w:t>
        </w:r>
      </w:hyperlink>
      <w:r>
        <w:t xml:space="preserve"> o záležitostech související s jeho hospitalizací na psychiatrii, ve věci </w:t>
      </w:r>
      <w:hyperlink r:id="rId15" w:history="1">
        <w:r w:rsidRPr="00F32DE1">
          <w:rPr>
            <w:rStyle w:val="Hypertextovodkaz"/>
          </w:rPr>
          <w:t>zvýšení odměn pěstounům</w:t>
        </w:r>
      </w:hyperlink>
      <w:r>
        <w:t xml:space="preserve"> na přechodnou dobu a ve věci </w:t>
      </w:r>
      <w:hyperlink r:id="rId16" w:history="1">
        <w:r w:rsidRPr="009E66BF">
          <w:rPr>
            <w:rStyle w:val="Hypertextovodkaz"/>
          </w:rPr>
          <w:t>vyhledávání obecných pěstounů</w:t>
        </w:r>
      </w:hyperlink>
      <w:r>
        <w:t xml:space="preserve"> a osvojitelů pro děti v pěstounské péči na přechodnou dobu (první část). Aktuálně dokončujeme druhé (následné) doporučení ve věci vyhledávání obecných pěstounů a osvojitelů pro děti v pěstounské péči na přechodnou dobu. A pracujeme na výzkumné (dotazníkové) části šetření zahájeného z vlastní iniciativy ve věci kontaktů dětí s rodiči ve výkonu trestu odnětí svobody.</w:t>
      </w:r>
    </w:p>
    <w:p w14:paraId="4ABFF0BD" w14:textId="77777777" w:rsidR="00E7479A" w:rsidRDefault="00E7479A" w:rsidP="0081244A">
      <w:pPr>
        <w:spacing w:before="200" w:after="200" w:line="259" w:lineRule="auto"/>
        <w:jc w:val="both"/>
      </w:pPr>
      <w:r>
        <w:lastRenderedPageBreak/>
        <w:t>Od počátku projektu jsme uskutečnili 15 vzdělávacích setkání pro pracovníky v sociální oblasti a proškolili na 400 účastníků. Vytvořili jsme tak platformu pro sdílení příkladů dobré praxe a diskusi nad problémy, se kterými se odborníci z praxe potýkají, a pro prezentování doporučení ochránce.</w:t>
      </w:r>
    </w:p>
    <w:p w14:paraId="4ABFF0BF" w14:textId="77777777" w:rsidR="00E7479A" w:rsidRDefault="00E7479A" w:rsidP="0081244A">
      <w:pPr>
        <w:spacing w:before="200" w:after="200" w:line="259" w:lineRule="auto"/>
        <w:jc w:val="both"/>
      </w:pPr>
      <w:r>
        <w:t xml:space="preserve">Také jsme se snažili zajistit lepší informovanost dětí o jejich právech a povinnostech a také o všem, co veřejný ochránce práv dělá a může dělat pro děti. Inovovali dětský web </w:t>
      </w:r>
      <w:hyperlink r:id="rId17" w:history="1">
        <w:r>
          <w:rPr>
            <w:rStyle w:val="Hypertextovodkaz"/>
          </w:rPr>
          <w:t>https://deti.ochrance.cz</w:t>
        </w:r>
      </w:hyperlink>
      <w:r>
        <w:t>, který je konečně responzivní a také přístupný i pro děti se zdravotním postižením. Web dostal novou grafickou podobu a postupně jej stále doplňujeme, upravujeme a zlepšujeme. Krom jiného web obsahuje i několik easy-to-read materiálů v grafické podobě vhodných pro dětského čtenáře.</w:t>
      </w:r>
    </w:p>
    <w:p w14:paraId="4ABFF0C1" w14:textId="77777777" w:rsidR="00E7479A" w:rsidRDefault="00E7479A" w:rsidP="0081244A">
      <w:pPr>
        <w:spacing w:before="200" w:after="200" w:line="259" w:lineRule="auto"/>
        <w:jc w:val="both"/>
      </w:pPr>
      <w:r>
        <w:t xml:space="preserve">Dalším osvětovým materiálem pro děti, který jsme v projektu zrealizovali, jsou vzdělávací videa série „Anička vloguje“ dostupná na </w:t>
      </w:r>
      <w:hyperlink r:id="rId18" w:history="1">
        <w:r>
          <w:rPr>
            <w:rStyle w:val="Hypertextovodkaz"/>
          </w:rPr>
          <w:t>Youtube kanálu ochránce</w:t>
        </w:r>
      </w:hyperlink>
      <w:r>
        <w:t xml:space="preserve">. </w:t>
      </w:r>
    </w:p>
    <w:p w14:paraId="4ABFF0C2" w14:textId="09EC9249" w:rsidR="00E7479A" w:rsidRPr="00E7479A" w:rsidRDefault="00E7479A" w:rsidP="0081244A">
      <w:pPr>
        <w:pStyle w:val="Normlnweb"/>
        <w:shd w:val="clear" w:color="auto" w:fill="FFFFFF"/>
        <w:spacing w:before="200" w:beforeAutospacing="0" w:after="200" w:afterAutospacing="0" w:line="259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E7479A">
        <w:rPr>
          <w:rFonts w:asciiTheme="minorHAnsi" w:hAnsiTheme="minorHAnsi" w:cstheme="minorHAnsi"/>
          <w:sz w:val="23"/>
          <w:szCs w:val="23"/>
        </w:rPr>
        <w:t xml:space="preserve">Uspořádali jsme pro děti soutěž </w:t>
      </w:r>
      <w:r w:rsidRPr="00E7479A">
        <w:rPr>
          <w:rStyle w:val="Siln"/>
          <w:rFonts w:asciiTheme="minorHAnsi" w:hAnsiTheme="minorHAnsi" w:cstheme="minorHAnsi"/>
          <w:b w:val="0"/>
          <w:bCs w:val="0"/>
          <w:color w:val="000000"/>
          <w:sz w:val="23"/>
          <w:szCs w:val="23"/>
        </w:rPr>
        <w:t>o účast na historicky první konferenci určené přímo jim. Oslovili jsme děti, aby s</w:t>
      </w:r>
      <w:r w:rsidRPr="00E7479A">
        <w:rPr>
          <w:rFonts w:asciiTheme="minorHAnsi" w:hAnsiTheme="minorHAnsi" w:cstheme="minorHAnsi"/>
          <w:color w:val="000000"/>
          <w:sz w:val="23"/>
          <w:szCs w:val="23"/>
        </w:rPr>
        <w:t xml:space="preserve">e svými kamarády a kamarádkami (např. ze třídy, školy, školního parlamentu či zájmového sdružení) jakýmkoliv kreativním způsobem zpracovali téma </w:t>
      </w:r>
      <w:r w:rsidR="00CB6296">
        <w:rPr>
          <w:rFonts w:asciiTheme="minorHAnsi" w:hAnsiTheme="minorHAnsi" w:cstheme="minorHAnsi"/>
          <w:color w:val="000000"/>
          <w:sz w:val="23"/>
          <w:szCs w:val="23"/>
        </w:rPr>
        <w:t>„</w:t>
      </w:r>
      <w:r w:rsidRPr="00E7479A">
        <w:rPr>
          <w:rFonts w:asciiTheme="minorHAnsi" w:hAnsiTheme="minorHAnsi" w:cstheme="minorHAnsi"/>
          <w:color w:val="000000"/>
          <w:sz w:val="23"/>
          <w:szCs w:val="23"/>
        </w:rPr>
        <w:t>Jak pomáhá ombudsman dětem</w:t>
      </w:r>
      <w:r w:rsidR="00CB6296">
        <w:rPr>
          <w:rFonts w:asciiTheme="minorHAnsi" w:hAnsiTheme="minorHAnsi" w:cstheme="minorHAnsi"/>
          <w:color w:val="000000"/>
          <w:sz w:val="23"/>
          <w:szCs w:val="23"/>
        </w:rPr>
        <w:t>“</w:t>
      </w:r>
      <w:r w:rsidRPr="00E7479A">
        <w:rPr>
          <w:rFonts w:asciiTheme="minorHAnsi" w:hAnsiTheme="minorHAnsi" w:cstheme="minorHAnsi"/>
          <w:color w:val="000000"/>
          <w:sz w:val="23"/>
          <w:szCs w:val="23"/>
        </w:rPr>
        <w:t xml:space="preserve">. Výsledkem mohlo být video, koláž z fotografií či obrázků, plakát, povídka, písnička nebo cokoli jiného. Do soutěže se zapojilo téměř 400 dětí z 33 základních škol a víceletých gymnázií z celé České republiky. Všechny příspěvky, které nám děti zaslaly, jsou vystaveny ve vestibulu a předsálí konferenčních sálů naší kanceláře v Brně. Výstava je volně přístupná veřejnosti. Vytvořili jsme zároveň </w:t>
      </w:r>
      <w:hyperlink r:id="rId19" w:history="1">
        <w:r w:rsidRPr="00B14999">
          <w:rPr>
            <w:rStyle w:val="Hypertextovodkaz"/>
            <w:rFonts w:asciiTheme="minorHAnsi" w:hAnsiTheme="minorHAnsi" w:cstheme="minorHAnsi"/>
            <w:sz w:val="23"/>
            <w:szCs w:val="23"/>
          </w:rPr>
          <w:t>digitální verzi výstavy</w:t>
        </w:r>
      </w:hyperlink>
      <w:r w:rsidR="00B14999">
        <w:rPr>
          <w:rFonts w:asciiTheme="minorHAnsi" w:hAnsiTheme="minorHAnsi" w:cstheme="minorHAnsi"/>
          <w:color w:val="000000"/>
          <w:sz w:val="23"/>
          <w:szCs w:val="23"/>
        </w:rPr>
        <w:t>.</w:t>
      </w:r>
      <w:r w:rsidRPr="00E7479A">
        <w:rPr>
          <w:rFonts w:asciiTheme="minorHAnsi" w:hAnsiTheme="minorHAnsi" w:cstheme="minorHAnsi"/>
          <w:color w:val="000000"/>
          <w:sz w:val="23"/>
          <w:szCs w:val="23"/>
        </w:rPr>
        <w:t xml:space="preserve"> První dětská konference se pak uskutečnila koncem školního roku. Kromě diskuze s ombudsmanem a jeho zástupkyní děti během dne tvořily, zkoušely a vymýšlely, kde všude mohou být aktivní, na koho se v případě problémů mohou obracet a jak jim může pomoci ombudsman. Nemohli jste být při tom? Záznam z konference si můžete prohlédnout a poslechnout na </w:t>
      </w:r>
      <w:hyperlink r:id="rId20" w:history="1">
        <w:r w:rsidRPr="00E7479A">
          <w:rPr>
            <w:rStyle w:val="Hypertextovodkaz"/>
            <w:rFonts w:asciiTheme="minorHAnsi" w:hAnsiTheme="minorHAnsi" w:cstheme="minorHAnsi"/>
            <w:sz w:val="23"/>
            <w:szCs w:val="23"/>
          </w:rPr>
          <w:t>Youtube kanálu ochránce</w:t>
        </w:r>
      </w:hyperlink>
      <w:r w:rsidR="00CB6296">
        <w:rPr>
          <w:rFonts w:asciiTheme="minorHAnsi" w:hAnsiTheme="minorHAnsi" w:cstheme="minorHAnsi"/>
          <w:sz w:val="23"/>
          <w:szCs w:val="23"/>
        </w:rPr>
        <w:t xml:space="preserve"> nebo</w:t>
      </w:r>
      <w:r w:rsidRPr="00E7479A">
        <w:rPr>
          <w:rFonts w:asciiTheme="minorHAnsi" w:hAnsiTheme="minorHAnsi" w:cstheme="minorHAnsi"/>
          <w:sz w:val="23"/>
          <w:szCs w:val="23"/>
        </w:rPr>
        <w:t xml:space="preserve"> v naší </w:t>
      </w:r>
      <w:hyperlink r:id="rId21" w:history="1">
        <w:r w:rsidRPr="00E7479A">
          <w:rPr>
            <w:rStyle w:val="Hypertextovodkaz"/>
            <w:rFonts w:asciiTheme="minorHAnsi" w:hAnsiTheme="minorHAnsi" w:cstheme="minorHAnsi"/>
            <w:sz w:val="23"/>
            <w:szCs w:val="23"/>
          </w:rPr>
          <w:t>fotoreportáži</w:t>
        </w:r>
      </w:hyperlink>
      <w:r w:rsidRPr="00E7479A">
        <w:rPr>
          <w:rFonts w:asciiTheme="minorHAnsi" w:hAnsiTheme="minorHAnsi" w:cstheme="minorHAnsi"/>
          <w:sz w:val="23"/>
          <w:szCs w:val="23"/>
        </w:rPr>
        <w:t xml:space="preserve"> či v </w:t>
      </w:r>
      <w:hyperlink r:id="rId22" w:history="1">
        <w:r w:rsidRPr="00E7479A">
          <w:rPr>
            <w:rStyle w:val="Hypertextovodkaz"/>
            <w:rFonts w:asciiTheme="minorHAnsi" w:hAnsiTheme="minorHAnsi" w:cstheme="minorHAnsi"/>
            <w:sz w:val="23"/>
            <w:szCs w:val="23"/>
          </w:rPr>
          <w:t>reportáži ČT:D</w:t>
        </w:r>
      </w:hyperlink>
      <w:r w:rsidRPr="00E7479A">
        <w:rPr>
          <w:rFonts w:asciiTheme="minorHAnsi" w:hAnsiTheme="minorHAnsi" w:cstheme="minorHAnsi"/>
          <w:sz w:val="23"/>
          <w:szCs w:val="23"/>
        </w:rPr>
        <w:t>.</w:t>
      </w:r>
    </w:p>
    <w:p w14:paraId="4ABFF0C3" w14:textId="77777777" w:rsidR="00860DC9" w:rsidRDefault="003D0D82" w:rsidP="0081244A">
      <w:pPr>
        <w:pStyle w:val="Zkladntext"/>
        <w:spacing w:line="259" w:lineRule="auto"/>
        <w:rPr>
          <w:b/>
          <w:bCs/>
          <w:sz w:val="24"/>
          <w:szCs w:val="24"/>
        </w:rPr>
      </w:pPr>
      <w:r w:rsidRPr="003D0D82">
        <w:rPr>
          <w:b/>
          <w:bCs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Účinnější prosazování práva na rovné zacházení</w:t>
      </w:r>
    </w:p>
    <w:p w14:paraId="4ABFF0C4" w14:textId="46CDDACA" w:rsidR="00103D8A" w:rsidRPr="0081244A" w:rsidRDefault="00103D8A" w:rsidP="0081244A">
      <w:pPr>
        <w:spacing w:before="200" w:after="200" w:line="259" w:lineRule="auto"/>
        <w:jc w:val="both"/>
        <w:rPr>
          <w:rFonts w:eastAsia="Calibri" w:cs="Calibri"/>
        </w:rPr>
      </w:pPr>
      <w:r w:rsidRPr="0081244A">
        <w:rPr>
          <w:rFonts w:eastAsia="Calibri" w:cs="Calibri"/>
        </w:rPr>
        <w:t xml:space="preserve">Na základě poznatků získaných při monitorovací činnosti, v rámci níž ochránce systematicky sleduje naplňování práva na rovné zacházení v oblastech vzdělávání Romů, rovného odměňování žen a mužů a procesních otázkách, vydal ochránce dvě monitorovací zprávy, a to za roky </w:t>
      </w:r>
      <w:hyperlink r:id="rId23" w:history="1">
        <w:r w:rsidRPr="00D2061D">
          <w:rPr>
            <w:rStyle w:val="Hypertextovodkaz"/>
            <w:rFonts w:eastAsia="Calibri" w:cs="Calibri"/>
          </w:rPr>
          <w:t>2020</w:t>
        </w:r>
      </w:hyperlink>
      <w:r w:rsidRPr="0081244A">
        <w:rPr>
          <w:rFonts w:eastAsia="Calibri" w:cs="Calibri"/>
        </w:rPr>
        <w:t xml:space="preserve"> a </w:t>
      </w:r>
      <w:hyperlink r:id="rId24" w:history="1">
        <w:r w:rsidRPr="002B7C92">
          <w:rPr>
            <w:rStyle w:val="Hypertextovodkaz"/>
            <w:rFonts w:eastAsia="Calibri" w:cs="Calibri"/>
          </w:rPr>
          <w:t>2021</w:t>
        </w:r>
      </w:hyperlink>
      <w:r w:rsidRPr="0081244A">
        <w:rPr>
          <w:rFonts w:eastAsia="Calibri" w:cs="Calibri"/>
        </w:rPr>
        <w:t>.</w:t>
      </w:r>
    </w:p>
    <w:p w14:paraId="4ABFF0C5" w14:textId="45DCE401" w:rsidR="003E47C1" w:rsidRPr="0081244A" w:rsidRDefault="00DC4CD8" w:rsidP="0081244A">
      <w:pPr>
        <w:spacing w:before="200" w:after="200" w:line="259" w:lineRule="auto"/>
        <w:jc w:val="both"/>
        <w:rPr>
          <w:rFonts w:eastAsia="Calibri" w:cs="Calibri"/>
        </w:rPr>
      </w:pPr>
      <w:r w:rsidRPr="0081244A">
        <w:rPr>
          <w:rFonts w:eastAsia="Calibri" w:cs="Calibri"/>
        </w:rPr>
        <w:t xml:space="preserve">V souvislosti s realizací práva na rovné zacházení jsme uskutečnili </w:t>
      </w:r>
      <w:hyperlink r:id="rId25" w:history="1">
        <w:r w:rsidRPr="00015A47">
          <w:rPr>
            <w:rStyle w:val="Hypertextovodkaz"/>
            <w:rFonts w:eastAsia="Calibri" w:cs="Calibri"/>
          </w:rPr>
          <w:t xml:space="preserve">výzkum </w:t>
        </w:r>
        <w:r w:rsidR="009544C4" w:rsidRPr="00015A47">
          <w:rPr>
            <w:rStyle w:val="Hypertextovodkaz"/>
            <w:rFonts w:eastAsia="Calibri" w:cs="Calibri"/>
          </w:rPr>
          <w:t>Občané EU v ČR</w:t>
        </w:r>
      </w:hyperlink>
      <w:r w:rsidR="009544C4" w:rsidRPr="0081244A">
        <w:rPr>
          <w:rFonts w:eastAsia="Calibri" w:cs="Calibri"/>
        </w:rPr>
        <w:t xml:space="preserve"> a</w:t>
      </w:r>
      <w:r w:rsidR="00664FB2" w:rsidRPr="0081244A">
        <w:rPr>
          <w:rFonts w:eastAsia="Calibri" w:cs="Calibri"/>
        </w:rPr>
        <w:t xml:space="preserve"> souběžně pracujeme na dalších čtyřech</w:t>
      </w:r>
      <w:bookmarkStart w:id="0" w:name="_GoBack"/>
      <w:bookmarkEnd w:id="0"/>
      <w:r w:rsidR="00664FB2" w:rsidRPr="0081244A">
        <w:rPr>
          <w:rFonts w:eastAsia="Calibri" w:cs="Calibri"/>
        </w:rPr>
        <w:t xml:space="preserve"> výzkumech z oblasti rovného přístupu k zaměstnání, bydlení, dále z oblasti dostupnosti veřejných budov a mapujeme taktéž proces deinstitucionalizace</w:t>
      </w:r>
      <w:r w:rsidR="00015A47">
        <w:rPr>
          <w:rFonts w:eastAsia="Calibri" w:cs="Calibri"/>
        </w:rPr>
        <w:t xml:space="preserve"> </w:t>
      </w:r>
      <w:r w:rsidR="00015A47" w:rsidRPr="0044647C">
        <w:t>pobytových sociálních služeb</w:t>
      </w:r>
      <w:r w:rsidR="00664FB2" w:rsidRPr="0081244A">
        <w:rPr>
          <w:rFonts w:eastAsia="Calibri" w:cs="Calibri"/>
        </w:rPr>
        <w:t xml:space="preserve"> v ČR.</w:t>
      </w:r>
    </w:p>
    <w:p w14:paraId="4ABFF0C6" w14:textId="752339A1" w:rsidR="00DB4D0A" w:rsidRPr="0081244A" w:rsidRDefault="005301A5" w:rsidP="0081244A">
      <w:pPr>
        <w:spacing w:before="200" w:after="200" w:line="259" w:lineRule="auto"/>
        <w:jc w:val="both"/>
        <w:rPr>
          <w:rFonts w:eastAsia="Calibri" w:cs="Calibri"/>
        </w:rPr>
      </w:pPr>
      <w:r w:rsidRPr="0081244A">
        <w:rPr>
          <w:rFonts w:eastAsia="Calibri" w:cs="Calibri"/>
        </w:rPr>
        <w:t xml:space="preserve">Ve spojitosti s již zrealizovaným výzkumem Občané EU v ČR jsme identifikovali řadu zjištění, na která bylo třeba reagovat. Ochránce tak v návaznosti na </w:t>
      </w:r>
      <w:r w:rsidR="00DB4D0A" w:rsidRPr="0081244A">
        <w:rPr>
          <w:rFonts w:eastAsia="Calibri" w:cs="Calibri"/>
        </w:rPr>
        <w:t xml:space="preserve">výzkumná </w:t>
      </w:r>
      <w:r w:rsidRPr="0081244A">
        <w:rPr>
          <w:rFonts w:eastAsia="Calibri" w:cs="Calibri"/>
        </w:rPr>
        <w:t xml:space="preserve">zjištění vydal </w:t>
      </w:r>
      <w:hyperlink r:id="rId26" w:history="1">
        <w:r w:rsidRPr="00015A47">
          <w:rPr>
            <w:rStyle w:val="Hypertextovodkaz"/>
            <w:rFonts w:eastAsia="Calibri" w:cs="Calibri"/>
          </w:rPr>
          <w:t>doporučení</w:t>
        </w:r>
      </w:hyperlink>
      <w:r w:rsidRPr="0081244A">
        <w:rPr>
          <w:rFonts w:eastAsia="Calibri" w:cs="Calibri"/>
        </w:rPr>
        <w:t xml:space="preserve"> pro úřady a územně samosprávné celky.</w:t>
      </w:r>
      <w:r w:rsidR="00DB4D0A" w:rsidRPr="0081244A">
        <w:rPr>
          <w:rFonts w:eastAsia="Calibri" w:cs="Calibri"/>
        </w:rPr>
        <w:t xml:space="preserve"> </w:t>
      </w:r>
    </w:p>
    <w:p w14:paraId="4ABFF0C7" w14:textId="54C25CD4" w:rsidR="00DB4D0A" w:rsidRPr="0081244A" w:rsidRDefault="00DB4D0A" w:rsidP="0081244A">
      <w:pPr>
        <w:spacing w:before="200" w:after="200" w:line="259" w:lineRule="auto"/>
        <w:jc w:val="both"/>
        <w:rPr>
          <w:rFonts w:eastAsia="Calibri" w:cs="Calibri"/>
        </w:rPr>
      </w:pPr>
      <w:r w:rsidRPr="0081244A">
        <w:rPr>
          <w:rFonts w:eastAsia="Calibri" w:cs="Calibri"/>
        </w:rPr>
        <w:t xml:space="preserve">Další doporučení ochránce vydal v rámci poskytování metodické pomoci lidem, kteří se stali obětí diskriminace z důvodu </w:t>
      </w:r>
      <w:hyperlink r:id="rId27" w:history="1">
        <w:r w:rsidRPr="00B22222">
          <w:rPr>
            <w:rStyle w:val="Hypertextovodkaz"/>
            <w:rFonts w:eastAsia="Calibri" w:cs="Calibri"/>
          </w:rPr>
          <w:t>rodičovství na pracovním trhu</w:t>
        </w:r>
      </w:hyperlink>
      <w:r w:rsidRPr="0081244A">
        <w:rPr>
          <w:rFonts w:eastAsia="Calibri" w:cs="Calibri"/>
        </w:rPr>
        <w:t>.</w:t>
      </w:r>
    </w:p>
    <w:p w14:paraId="4ABFF0C9" w14:textId="77777777" w:rsidR="003E47C1" w:rsidRPr="0081244A" w:rsidRDefault="009B675A" w:rsidP="0081244A">
      <w:pPr>
        <w:spacing w:before="200" w:after="200" w:line="259" w:lineRule="auto"/>
        <w:jc w:val="both"/>
        <w:rPr>
          <w:rFonts w:eastAsia="Calibri" w:cs="Calibri"/>
        </w:rPr>
      </w:pPr>
      <w:r w:rsidRPr="0081244A">
        <w:rPr>
          <w:rFonts w:eastAsia="Calibri" w:cs="Calibri"/>
        </w:rPr>
        <w:lastRenderedPageBreak/>
        <w:t xml:space="preserve">V návaznosti na výsledek výzkumu Občané EU v ČR jsme uspořádali workshop, kde jsme cílovou skupinu, zástupce ministerstev a dalších úřadů, některých krajů a neziskových organizací pracujících s cizinci – občany EU, seznámili s výsledky výzkumu a doporučeními ochránce a diskutovali nad nimi s cílem </w:t>
      </w:r>
      <w:r w:rsidR="005A6F48" w:rsidRPr="0081244A">
        <w:rPr>
          <w:rFonts w:eastAsia="Calibri" w:cs="Calibri"/>
        </w:rPr>
        <w:t>možnosti realizace v praxi.</w:t>
      </w:r>
    </w:p>
    <w:p w14:paraId="4ABFF0CA" w14:textId="77777777" w:rsidR="001D02F4" w:rsidRDefault="001D02F4" w:rsidP="0081244A">
      <w:pPr>
        <w:pStyle w:val="Zkladntext"/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Monitorování práv lidí s</w:t>
      </w:r>
      <w:r w:rsidR="00E97E83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postižením</w:t>
      </w:r>
    </w:p>
    <w:p w14:paraId="4ABFF0CB" w14:textId="77777777" w:rsidR="00DF00E0" w:rsidRPr="00835589" w:rsidRDefault="00DF00E0" w:rsidP="0081244A">
      <w:pPr>
        <w:spacing w:before="200" w:after="200" w:line="259" w:lineRule="auto"/>
        <w:jc w:val="both"/>
        <w:rPr>
          <w:rFonts w:eastAsia="Calibri" w:cs="Calibri"/>
        </w:rPr>
      </w:pPr>
      <w:r w:rsidRPr="00835589">
        <w:rPr>
          <w:rFonts w:eastAsia="Calibri" w:cs="Calibri"/>
        </w:rPr>
        <w:t xml:space="preserve">V průběhu realizace projektu, </w:t>
      </w:r>
      <w:r>
        <w:rPr>
          <w:rFonts w:eastAsia="Calibri" w:cs="Calibri"/>
        </w:rPr>
        <w:t>byla ochránci svěřena nová působnost</w:t>
      </w:r>
      <w:r w:rsidRPr="00835589">
        <w:rPr>
          <w:rFonts w:eastAsia="Calibri" w:cs="Calibri"/>
        </w:rPr>
        <w:t xml:space="preserve"> s lidskoprávním přesahem a t</w:t>
      </w:r>
      <w:r>
        <w:rPr>
          <w:rFonts w:eastAsia="Calibri" w:cs="Calibri"/>
        </w:rPr>
        <w:t>ou</w:t>
      </w:r>
      <w:r w:rsidRPr="00835589">
        <w:rPr>
          <w:rFonts w:eastAsia="Calibri" w:cs="Calibri"/>
        </w:rPr>
        <w:t xml:space="preserve"> je monitorov</w:t>
      </w:r>
      <w:r>
        <w:rPr>
          <w:rFonts w:eastAsia="Calibri" w:cs="Calibri"/>
        </w:rPr>
        <w:t>ání</w:t>
      </w:r>
      <w:r w:rsidRPr="00835589">
        <w:rPr>
          <w:rFonts w:eastAsia="Calibri" w:cs="Calibri"/>
        </w:rPr>
        <w:t xml:space="preserve"> Úmluv</w:t>
      </w:r>
      <w:r>
        <w:rPr>
          <w:rFonts w:eastAsia="Calibri" w:cs="Calibri"/>
        </w:rPr>
        <w:t>y</w:t>
      </w:r>
      <w:r w:rsidRPr="00835589">
        <w:rPr>
          <w:rFonts w:eastAsia="Calibri" w:cs="Calibri"/>
        </w:rPr>
        <w:t xml:space="preserve"> o právech osob se zdravotním postižením. V rámci této své působnosti má ochránce systematicky sledovat, jakým způsobem naplňuje Česká republika závazky dané Úmluvou, upozorňovat ústřední orgány státu a dále také Výbor OSN pro práva lidí s postižením na případné systémové problémy.</w:t>
      </w:r>
    </w:p>
    <w:p w14:paraId="4ABFF0CC" w14:textId="0969B61C" w:rsidR="00DF00E0" w:rsidRPr="00EF3835" w:rsidRDefault="00DF00E0" w:rsidP="0081244A">
      <w:pPr>
        <w:spacing w:before="200" w:after="200" w:line="259" w:lineRule="auto"/>
        <w:jc w:val="both"/>
        <w:rPr>
          <w:rFonts w:eastAsia="Calibri" w:cs="Calibri"/>
        </w:rPr>
      </w:pPr>
      <w:r>
        <w:rPr>
          <w:rFonts w:eastAsia="Calibri" w:cs="Calibri"/>
        </w:rPr>
        <w:t>Díky projektu se můžeme zaměřit na vybrané oblasti práv lidí s postižením. V kon</w:t>
      </w:r>
      <w:r w:rsidR="00D042B8">
        <w:rPr>
          <w:rFonts w:eastAsia="Calibri" w:cs="Calibri"/>
        </w:rPr>
        <w:t>textu práva na nezávislý způsob</w:t>
      </w:r>
      <w:r>
        <w:rPr>
          <w:rFonts w:eastAsia="Calibri" w:cs="Calibri"/>
        </w:rPr>
        <w:t xml:space="preserve"> života mapujeme proces deinstitucionalizace v pobytových zařízeních sociálních služeb ústavního typu, rovněž vyhodnocujeme plány deinstitucionalizace v jednotlivých krajích a v neposlední řadě mapujeme také bariéry a přístupnost veřejných služeb v krajských městech. S cílem posílit informační přístupnost Kanceláře analyzujeme výstupy KVOP s cílem vytvořit interní metodiku přístupnosti.</w:t>
      </w:r>
    </w:p>
    <w:p w14:paraId="4ABFF0CD" w14:textId="77777777" w:rsidR="00DF00E0" w:rsidRPr="00835589" w:rsidRDefault="00DF00E0" w:rsidP="0081244A">
      <w:pPr>
        <w:spacing w:before="200" w:after="200" w:line="259" w:lineRule="auto"/>
        <w:jc w:val="both"/>
        <w:rPr>
          <w:rFonts w:eastAsia="Calibri" w:cs="Calibri"/>
        </w:rPr>
      </w:pPr>
      <w:r w:rsidRPr="00835589">
        <w:rPr>
          <w:rFonts w:eastAsia="Calibri" w:cs="Calibri"/>
        </w:rPr>
        <w:t xml:space="preserve">S ohledem na fakt, že je potřeba v oblasti monitorování práv lidí s postižením sdílet zkušenosti a praxi s monitorovacími orgány jiných zemí, oslovili jsme zahraniční </w:t>
      </w:r>
      <w:r>
        <w:rPr>
          <w:rFonts w:eastAsia="Calibri" w:cs="Calibri"/>
        </w:rPr>
        <w:t>monitorovací orgány</w:t>
      </w:r>
      <w:r w:rsidRPr="00835589">
        <w:rPr>
          <w:rFonts w:eastAsia="Calibri" w:cs="Calibri"/>
        </w:rPr>
        <w:t xml:space="preserve"> s žádostí o součinnost a možnost realizovat stáže několika právníkům Kanceláře. </w:t>
      </w:r>
    </w:p>
    <w:p w14:paraId="4ABFF0CE" w14:textId="77777777" w:rsidR="00C82756" w:rsidRPr="00E97E83" w:rsidRDefault="00C82756" w:rsidP="0081244A">
      <w:pPr>
        <w:pStyle w:val="Zkladntext"/>
        <w:spacing w:line="259" w:lineRule="auto"/>
      </w:pPr>
    </w:p>
    <w:sectPr w:rsidR="00C82756" w:rsidRPr="00E97E83" w:rsidSect="006331E7">
      <w:headerReference w:type="default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1418" w:right="1701" w:bottom="1418" w:left="1701" w:header="90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C6EE7" w14:textId="77777777" w:rsidR="00920434" w:rsidRDefault="00920434">
      <w:r>
        <w:separator/>
      </w:r>
    </w:p>
  </w:endnote>
  <w:endnote w:type="continuationSeparator" w:id="0">
    <w:p w14:paraId="4385DB99" w14:textId="77777777" w:rsidR="00920434" w:rsidRDefault="0092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FF0D4" w14:textId="32E6D312" w:rsidR="00C62ED8" w:rsidRPr="00C62ED8" w:rsidRDefault="00C62ED8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rPr>
        <w:color w:val="auto"/>
      </w:rPr>
      <w:fldChar w:fldCharType="begin"/>
    </w:r>
    <w:r w:rsidRPr="00DD0A1A">
      <w:rPr>
        <w:color w:val="auto"/>
      </w:rPr>
      <w:instrText>PAGE   \* MERGEFORMAT</w:instrText>
    </w:r>
    <w:r w:rsidRPr="00DD0A1A">
      <w:rPr>
        <w:color w:val="auto"/>
      </w:rPr>
      <w:fldChar w:fldCharType="separate"/>
    </w:r>
    <w:r w:rsidR="0044647C">
      <w:rPr>
        <w:noProof/>
        <w:color w:val="auto"/>
      </w:rPr>
      <w:t>4</w:t>
    </w:r>
    <w:r w:rsidRPr="00DD0A1A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FF0DB" w14:textId="77777777" w:rsidR="006331E7" w:rsidRPr="00AF49A4" w:rsidRDefault="006331E7" w:rsidP="006331E7">
    <w:pPr>
      <w:pStyle w:val="kontakt"/>
      <w:pBdr>
        <w:top w:val="single" w:sz="8" w:space="1" w:color="008576"/>
      </w:pBdr>
    </w:pPr>
    <w:r w:rsidRPr="00AF49A4">
      <w:t>Kancelář veřejného ochránce práv, Údolní 39, 602 00  Brno</w:t>
    </w:r>
  </w:p>
  <w:p w14:paraId="4ABFF0DC" w14:textId="77777777" w:rsidR="00740D6C" w:rsidRPr="00740D6C" w:rsidRDefault="00740D6C" w:rsidP="00740D6C">
    <w:pPr>
      <w:pStyle w:val="kontakt"/>
    </w:pPr>
    <w:r w:rsidRPr="00740D6C">
      <w:t>Kontakt: Ma</w:t>
    </w:r>
    <w:r>
      <w:t>rkéta Bočková, tel. 604 975 154,</w:t>
    </w:r>
    <w:r w:rsidRPr="00740D6C">
      <w:t xml:space="preserve"> 542 542 775, e-mail: </w:t>
    </w:r>
    <w:hyperlink r:id="rId1" w:history="1">
      <w:r w:rsidRPr="00740D6C">
        <w:rPr>
          <w:rStyle w:val="Hypertextovodkaz"/>
        </w:rPr>
        <w:t>bockova@ochrance.cz</w:t>
      </w:r>
    </w:hyperlink>
    <w:r w:rsidRPr="00740D6C">
      <w:t xml:space="preserve">, </w:t>
    </w:r>
    <w:hyperlink r:id="rId2" w:history="1">
      <w:r w:rsidRPr="00740D6C">
        <w:rPr>
          <w:rStyle w:val="Hypertextovodkaz"/>
        </w:rPr>
        <w:t>www.ochrance.cz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18D6C" w14:textId="77777777" w:rsidR="00920434" w:rsidRDefault="00920434">
      <w:r>
        <w:separator/>
      </w:r>
    </w:p>
  </w:footnote>
  <w:footnote w:type="continuationSeparator" w:id="0">
    <w:p w14:paraId="6B0D0E84" w14:textId="77777777" w:rsidR="00920434" w:rsidRDefault="00920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FF0D3" w14:textId="77777777" w:rsidR="00957119" w:rsidRDefault="00E61E2F" w:rsidP="005F0FD7">
    <w:pPr>
      <w:pStyle w:val="Zhlav"/>
      <w:tabs>
        <w:tab w:val="clear" w:pos="9072"/>
      </w:tabs>
      <w:spacing w:after="840"/>
      <w:ind w:left="-709"/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 wp14:anchorId="4ABFF0DD" wp14:editId="4ABFF0DE">
          <wp:simplePos x="0" y="0"/>
          <wp:positionH relativeFrom="margin">
            <wp:posOffset>-662305</wp:posOffset>
          </wp:positionH>
          <wp:positionV relativeFrom="margin">
            <wp:posOffset>-720090</wp:posOffset>
          </wp:positionV>
          <wp:extent cx="2646000" cy="522000"/>
          <wp:effectExtent l="0" t="0" r="2540" b="0"/>
          <wp:wrapTight wrapText="bothSides">
            <wp:wrapPolygon edited="0">
              <wp:start x="0" y="0"/>
              <wp:lineTo x="0" y="20496"/>
              <wp:lineTo x="21465" y="20496"/>
              <wp:lineTo x="21465" y="0"/>
              <wp:lineTo x="0" y="0"/>
            </wp:wrapPolygon>
          </wp:wrapTight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hrance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60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FF0D5" w14:textId="77777777" w:rsidR="00D94CAF" w:rsidRDefault="00D94CAF" w:rsidP="006331E7">
    <w:pPr>
      <w:pStyle w:val="Zhlav"/>
      <w:ind w:left="5528"/>
      <w:jc w:val="right"/>
      <w:rPr>
        <w:color w:val="008576"/>
        <w:sz w:val="32"/>
        <w:szCs w:val="32"/>
      </w:rPr>
    </w:pPr>
    <w:r>
      <w:rPr>
        <w:noProof/>
        <w:color w:val="008576"/>
        <w:sz w:val="32"/>
        <w:szCs w:val="32"/>
      </w:rPr>
      <w:drawing>
        <wp:anchor distT="0" distB="0" distL="114300" distR="114300" simplePos="0" relativeHeight="251663360" behindDoc="0" locked="0" layoutInCell="1" allowOverlap="1" wp14:anchorId="4ABFF0DF" wp14:editId="4ABFF0E0">
          <wp:simplePos x="0" y="0"/>
          <wp:positionH relativeFrom="margin">
            <wp:align>right</wp:align>
          </wp:positionH>
          <wp:positionV relativeFrom="page">
            <wp:posOffset>579755</wp:posOffset>
          </wp:positionV>
          <wp:extent cx="2095200" cy="522000"/>
          <wp:effectExtent l="0" t="0" r="635" b="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mbudsma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2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8576"/>
        <w:sz w:val="32"/>
        <w:szCs w:val="32"/>
      </w:rPr>
      <w:drawing>
        <wp:anchor distT="0" distB="0" distL="114300" distR="114300" simplePos="0" relativeHeight="251664384" behindDoc="1" locked="0" layoutInCell="1" allowOverlap="1" wp14:anchorId="4ABFF0E1" wp14:editId="4ABFF0E2">
          <wp:simplePos x="0" y="0"/>
          <wp:positionH relativeFrom="page">
            <wp:posOffset>1000125</wp:posOffset>
          </wp:positionH>
          <wp:positionV relativeFrom="page">
            <wp:posOffset>581025</wp:posOffset>
          </wp:positionV>
          <wp:extent cx="647700" cy="737870"/>
          <wp:effectExtent l="0" t="0" r="0" b="5080"/>
          <wp:wrapTight wrapText="bothSides">
            <wp:wrapPolygon edited="0">
              <wp:start x="0" y="0"/>
              <wp:lineTo x="0" y="21191"/>
              <wp:lineTo x="20965" y="21191"/>
              <wp:lineTo x="20965" y="0"/>
              <wp:lineTo x="0" y="0"/>
            </wp:wrapPolygon>
          </wp:wrapTight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37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BFF0D6" w14:textId="77777777" w:rsidR="00D94CAF" w:rsidRDefault="00D94CAF" w:rsidP="006331E7">
    <w:pPr>
      <w:pStyle w:val="Zhlav"/>
      <w:ind w:left="5528"/>
      <w:jc w:val="right"/>
      <w:rPr>
        <w:color w:val="008576"/>
        <w:sz w:val="32"/>
        <w:szCs w:val="32"/>
      </w:rPr>
    </w:pPr>
  </w:p>
  <w:p w14:paraId="4ABFF0D7" w14:textId="77777777" w:rsidR="00D94CAF" w:rsidRDefault="00D94CAF" w:rsidP="006331E7">
    <w:pPr>
      <w:pStyle w:val="Zhlav"/>
      <w:ind w:left="5528"/>
      <w:jc w:val="right"/>
      <w:rPr>
        <w:color w:val="008576"/>
        <w:sz w:val="32"/>
        <w:szCs w:val="32"/>
      </w:rPr>
    </w:pPr>
  </w:p>
  <w:p w14:paraId="4ABFF0D8" w14:textId="77777777" w:rsidR="00D94CAF" w:rsidRDefault="00D94CAF" w:rsidP="006331E7">
    <w:pPr>
      <w:pStyle w:val="Zhlav"/>
      <w:ind w:left="5528"/>
      <w:jc w:val="right"/>
      <w:rPr>
        <w:color w:val="008576"/>
        <w:sz w:val="32"/>
        <w:szCs w:val="32"/>
      </w:rPr>
    </w:pPr>
  </w:p>
  <w:p w14:paraId="4ABFF0D9" w14:textId="77777777" w:rsidR="00473384" w:rsidRPr="00021091" w:rsidRDefault="000240DA" w:rsidP="006331E7">
    <w:pPr>
      <w:pStyle w:val="Zhlav"/>
      <w:ind w:left="5528"/>
      <w:jc w:val="right"/>
      <w:rPr>
        <w:color w:val="008576"/>
        <w:sz w:val="32"/>
        <w:szCs w:val="32"/>
      </w:rPr>
    </w:pPr>
    <w:r w:rsidRPr="00021091">
      <w:rPr>
        <w:color w:val="008576"/>
        <w:sz w:val="32"/>
        <w:szCs w:val="32"/>
      </w:rPr>
      <w:t>TISKOVÁ ZPRÁVA</w:t>
    </w:r>
  </w:p>
  <w:p w14:paraId="4ABFF0DA" w14:textId="77777777" w:rsidR="006331E7" w:rsidRPr="000240DA" w:rsidRDefault="006331E7" w:rsidP="006331E7">
    <w:pPr>
      <w:pStyle w:val="Zhlav"/>
      <w:ind w:left="5528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2EDF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811E6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F0E3B4C"/>
    <w:multiLevelType w:val="hybridMultilevel"/>
    <w:tmpl w:val="18B2D3F0"/>
    <w:lvl w:ilvl="0" w:tplc="15D28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FC07D3"/>
    <w:multiLevelType w:val="hybridMultilevel"/>
    <w:tmpl w:val="0FA8DF8A"/>
    <w:lvl w:ilvl="0" w:tplc="4C548E3A">
      <w:start w:val="1"/>
      <w:numFmt w:val="upperLetter"/>
      <w:pStyle w:val="slovanseznam2"/>
      <w:lvlText w:val="(%1)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83CC9"/>
    <w:multiLevelType w:val="hybridMultilevel"/>
    <w:tmpl w:val="A1A01998"/>
    <w:lvl w:ilvl="0" w:tplc="65EEB428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666437"/>
    <w:multiLevelType w:val="multilevel"/>
    <w:tmpl w:val="87067DE2"/>
    <w:lvl w:ilvl="0">
      <w:start w:val="1"/>
      <w:numFmt w:val="upperLetter"/>
      <w:lvlText w:val="%1."/>
      <w:lvlJc w:val="left"/>
      <w:pPr>
        <w:tabs>
          <w:tab w:val="num" w:pos="567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1080" w:hanging="1080"/>
      </w:pPr>
      <w:rPr>
        <w:rFonts w:hint="default"/>
      </w:rPr>
    </w:lvl>
    <w:lvl w:ilvl="3">
      <w:start w:val="1"/>
      <w:numFmt w:val="decimal"/>
      <w:pStyle w:val="Nadpis5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55CC1"/>
    <w:multiLevelType w:val="hybridMultilevel"/>
    <w:tmpl w:val="4C023A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1"/>
  </w:num>
  <w:num w:numId="13">
    <w:abstractNumId w:val="15"/>
  </w:num>
  <w:num w:numId="14">
    <w:abstractNumId w:val="12"/>
  </w:num>
  <w:num w:numId="15">
    <w:abstractNumId w:val="24"/>
  </w:num>
  <w:num w:numId="16">
    <w:abstractNumId w:val="17"/>
  </w:num>
  <w:num w:numId="17">
    <w:abstractNumId w:val="32"/>
  </w:num>
  <w:num w:numId="18">
    <w:abstractNumId w:val="16"/>
  </w:num>
  <w:num w:numId="19">
    <w:abstractNumId w:val="29"/>
  </w:num>
  <w:num w:numId="20">
    <w:abstractNumId w:val="25"/>
  </w:num>
  <w:num w:numId="21">
    <w:abstractNumId w:val="22"/>
  </w:num>
  <w:num w:numId="22">
    <w:abstractNumId w:val="10"/>
  </w:num>
  <w:num w:numId="23">
    <w:abstractNumId w:val="23"/>
  </w:num>
  <w:num w:numId="24">
    <w:abstractNumId w:val="30"/>
  </w:num>
  <w:num w:numId="25">
    <w:abstractNumId w:val="19"/>
  </w:num>
  <w:num w:numId="26">
    <w:abstractNumId w:val="14"/>
  </w:num>
  <w:num w:numId="27">
    <w:abstractNumId w:val="21"/>
  </w:num>
  <w:num w:numId="28">
    <w:abstractNumId w:val="18"/>
  </w:num>
  <w:num w:numId="29">
    <w:abstractNumId w:val="28"/>
  </w:num>
  <w:num w:numId="30">
    <w:abstractNumId w:val="20"/>
  </w:num>
  <w:num w:numId="31">
    <w:abstractNumId w:val="11"/>
  </w:num>
  <w:num w:numId="32">
    <w:abstractNumId w:val="1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A3"/>
    <w:rsid w:val="00002A68"/>
    <w:rsid w:val="00003F61"/>
    <w:rsid w:val="00004FB4"/>
    <w:rsid w:val="00005478"/>
    <w:rsid w:val="00005D26"/>
    <w:rsid w:val="00011E14"/>
    <w:rsid w:val="00014C0A"/>
    <w:rsid w:val="00015A47"/>
    <w:rsid w:val="00021091"/>
    <w:rsid w:val="0002358B"/>
    <w:rsid w:val="00023C4B"/>
    <w:rsid w:val="000240DA"/>
    <w:rsid w:val="00035D4C"/>
    <w:rsid w:val="000360CB"/>
    <w:rsid w:val="0004162B"/>
    <w:rsid w:val="0005037C"/>
    <w:rsid w:val="000603EA"/>
    <w:rsid w:val="00063D48"/>
    <w:rsid w:val="000649CB"/>
    <w:rsid w:val="00064D4B"/>
    <w:rsid w:val="000670B9"/>
    <w:rsid w:val="00070E77"/>
    <w:rsid w:val="0007514E"/>
    <w:rsid w:val="000759C8"/>
    <w:rsid w:val="00075E3B"/>
    <w:rsid w:val="000764A8"/>
    <w:rsid w:val="0008195A"/>
    <w:rsid w:val="000848A7"/>
    <w:rsid w:val="00085D85"/>
    <w:rsid w:val="00087D77"/>
    <w:rsid w:val="000915A0"/>
    <w:rsid w:val="00095D5B"/>
    <w:rsid w:val="000978FF"/>
    <w:rsid w:val="000B18A3"/>
    <w:rsid w:val="000B190B"/>
    <w:rsid w:val="000B227B"/>
    <w:rsid w:val="000B40CF"/>
    <w:rsid w:val="000B6DAD"/>
    <w:rsid w:val="000B7155"/>
    <w:rsid w:val="000B72E8"/>
    <w:rsid w:val="000B794D"/>
    <w:rsid w:val="000C08A7"/>
    <w:rsid w:val="000D130B"/>
    <w:rsid w:val="000D3436"/>
    <w:rsid w:val="000D75D7"/>
    <w:rsid w:val="000D789A"/>
    <w:rsid w:val="000E08D0"/>
    <w:rsid w:val="000E23F9"/>
    <w:rsid w:val="000E5D77"/>
    <w:rsid w:val="000E7542"/>
    <w:rsid w:val="000F1168"/>
    <w:rsid w:val="000F41CE"/>
    <w:rsid w:val="000F54D2"/>
    <w:rsid w:val="001002AD"/>
    <w:rsid w:val="00102A71"/>
    <w:rsid w:val="00103D8A"/>
    <w:rsid w:val="001068AD"/>
    <w:rsid w:val="001114F3"/>
    <w:rsid w:val="0011391B"/>
    <w:rsid w:val="00115A8E"/>
    <w:rsid w:val="00116F5A"/>
    <w:rsid w:val="00117BAB"/>
    <w:rsid w:val="00122CE6"/>
    <w:rsid w:val="00125D4F"/>
    <w:rsid w:val="00125F58"/>
    <w:rsid w:val="00127E6D"/>
    <w:rsid w:val="001360F5"/>
    <w:rsid w:val="0013754E"/>
    <w:rsid w:val="00141F80"/>
    <w:rsid w:val="001440D3"/>
    <w:rsid w:val="0014423B"/>
    <w:rsid w:val="0015055F"/>
    <w:rsid w:val="00154C9A"/>
    <w:rsid w:val="00155B5D"/>
    <w:rsid w:val="00155DD9"/>
    <w:rsid w:val="001601D8"/>
    <w:rsid w:val="00162595"/>
    <w:rsid w:val="00164197"/>
    <w:rsid w:val="001670F7"/>
    <w:rsid w:val="001720BE"/>
    <w:rsid w:val="00173A1C"/>
    <w:rsid w:val="00174ED4"/>
    <w:rsid w:val="001771A3"/>
    <w:rsid w:val="00182620"/>
    <w:rsid w:val="00190836"/>
    <w:rsid w:val="00190FA8"/>
    <w:rsid w:val="00191BF4"/>
    <w:rsid w:val="00193E2E"/>
    <w:rsid w:val="001953AB"/>
    <w:rsid w:val="001966FF"/>
    <w:rsid w:val="001A1DC8"/>
    <w:rsid w:val="001A4C3D"/>
    <w:rsid w:val="001B2372"/>
    <w:rsid w:val="001B49CC"/>
    <w:rsid w:val="001B5753"/>
    <w:rsid w:val="001C14E3"/>
    <w:rsid w:val="001D02F4"/>
    <w:rsid w:val="001D54E0"/>
    <w:rsid w:val="001D79F1"/>
    <w:rsid w:val="001D7D52"/>
    <w:rsid w:val="001E234A"/>
    <w:rsid w:val="001F1106"/>
    <w:rsid w:val="001F21E8"/>
    <w:rsid w:val="00200F24"/>
    <w:rsid w:val="00201AC2"/>
    <w:rsid w:val="00202E32"/>
    <w:rsid w:val="00204420"/>
    <w:rsid w:val="00204EE2"/>
    <w:rsid w:val="002057F3"/>
    <w:rsid w:val="0021070D"/>
    <w:rsid w:val="00212BAE"/>
    <w:rsid w:val="00214429"/>
    <w:rsid w:val="002144D7"/>
    <w:rsid w:val="002154A2"/>
    <w:rsid w:val="00245B80"/>
    <w:rsid w:val="00251911"/>
    <w:rsid w:val="002557E2"/>
    <w:rsid w:val="00261454"/>
    <w:rsid w:val="00264D44"/>
    <w:rsid w:val="00266C7F"/>
    <w:rsid w:val="00272D2B"/>
    <w:rsid w:val="0027365B"/>
    <w:rsid w:val="00273E2D"/>
    <w:rsid w:val="00274D94"/>
    <w:rsid w:val="00283038"/>
    <w:rsid w:val="00286337"/>
    <w:rsid w:val="00286D6B"/>
    <w:rsid w:val="00296A62"/>
    <w:rsid w:val="002A2A50"/>
    <w:rsid w:val="002A33DD"/>
    <w:rsid w:val="002A45A3"/>
    <w:rsid w:val="002A4DC6"/>
    <w:rsid w:val="002A594E"/>
    <w:rsid w:val="002A6827"/>
    <w:rsid w:val="002B216F"/>
    <w:rsid w:val="002B3267"/>
    <w:rsid w:val="002B6B3A"/>
    <w:rsid w:val="002B7C92"/>
    <w:rsid w:val="002C3DC9"/>
    <w:rsid w:val="002D2E5C"/>
    <w:rsid w:val="002D43DC"/>
    <w:rsid w:val="002D4405"/>
    <w:rsid w:val="002E5D8E"/>
    <w:rsid w:val="002E6F54"/>
    <w:rsid w:val="002F07D5"/>
    <w:rsid w:val="002F4C16"/>
    <w:rsid w:val="002F4CEC"/>
    <w:rsid w:val="002F5FBA"/>
    <w:rsid w:val="00300C33"/>
    <w:rsid w:val="0030149D"/>
    <w:rsid w:val="0030528E"/>
    <w:rsid w:val="003060B0"/>
    <w:rsid w:val="00312ACA"/>
    <w:rsid w:val="00313768"/>
    <w:rsid w:val="00313C52"/>
    <w:rsid w:val="0033043B"/>
    <w:rsid w:val="0033107E"/>
    <w:rsid w:val="003345C5"/>
    <w:rsid w:val="0033508E"/>
    <w:rsid w:val="00335F44"/>
    <w:rsid w:val="00340508"/>
    <w:rsid w:val="00340CF4"/>
    <w:rsid w:val="00341E12"/>
    <w:rsid w:val="003464E2"/>
    <w:rsid w:val="00350382"/>
    <w:rsid w:val="00351387"/>
    <w:rsid w:val="0036167B"/>
    <w:rsid w:val="00366FB4"/>
    <w:rsid w:val="00367394"/>
    <w:rsid w:val="00367C45"/>
    <w:rsid w:val="00370C07"/>
    <w:rsid w:val="00371893"/>
    <w:rsid w:val="00372812"/>
    <w:rsid w:val="00376A83"/>
    <w:rsid w:val="00383ED2"/>
    <w:rsid w:val="003847E2"/>
    <w:rsid w:val="003872B9"/>
    <w:rsid w:val="00390EC2"/>
    <w:rsid w:val="00392201"/>
    <w:rsid w:val="003943FA"/>
    <w:rsid w:val="003A0CB6"/>
    <w:rsid w:val="003A1927"/>
    <w:rsid w:val="003A735F"/>
    <w:rsid w:val="003B2A63"/>
    <w:rsid w:val="003B58E1"/>
    <w:rsid w:val="003B779D"/>
    <w:rsid w:val="003C4C2B"/>
    <w:rsid w:val="003C6D68"/>
    <w:rsid w:val="003C7F6B"/>
    <w:rsid w:val="003D0D82"/>
    <w:rsid w:val="003D4835"/>
    <w:rsid w:val="003E012F"/>
    <w:rsid w:val="003E23D9"/>
    <w:rsid w:val="003E2756"/>
    <w:rsid w:val="003E47C1"/>
    <w:rsid w:val="003E652C"/>
    <w:rsid w:val="003F0780"/>
    <w:rsid w:val="00400CC6"/>
    <w:rsid w:val="00401DB9"/>
    <w:rsid w:val="00402860"/>
    <w:rsid w:val="00402B90"/>
    <w:rsid w:val="004058B1"/>
    <w:rsid w:val="004070AA"/>
    <w:rsid w:val="00413348"/>
    <w:rsid w:val="00424E13"/>
    <w:rsid w:val="00430552"/>
    <w:rsid w:val="00430751"/>
    <w:rsid w:val="0043537F"/>
    <w:rsid w:val="0044414E"/>
    <w:rsid w:val="0044495B"/>
    <w:rsid w:val="0044647C"/>
    <w:rsid w:val="00446630"/>
    <w:rsid w:val="00447E5A"/>
    <w:rsid w:val="0045106B"/>
    <w:rsid w:val="00452675"/>
    <w:rsid w:val="004528F5"/>
    <w:rsid w:val="00454540"/>
    <w:rsid w:val="00454E4C"/>
    <w:rsid w:val="0045521A"/>
    <w:rsid w:val="00462488"/>
    <w:rsid w:val="00470F25"/>
    <w:rsid w:val="0047290D"/>
    <w:rsid w:val="00473384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2D4C"/>
    <w:rsid w:val="00493D68"/>
    <w:rsid w:val="00493F0F"/>
    <w:rsid w:val="00496579"/>
    <w:rsid w:val="00496D6A"/>
    <w:rsid w:val="004971B9"/>
    <w:rsid w:val="004A238A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1675"/>
    <w:rsid w:val="004E60EC"/>
    <w:rsid w:val="004F0794"/>
    <w:rsid w:val="004F13D4"/>
    <w:rsid w:val="004F1866"/>
    <w:rsid w:val="00501C78"/>
    <w:rsid w:val="005020BF"/>
    <w:rsid w:val="00504EA3"/>
    <w:rsid w:val="00504F1E"/>
    <w:rsid w:val="00513D4A"/>
    <w:rsid w:val="0051470E"/>
    <w:rsid w:val="00516F30"/>
    <w:rsid w:val="005218EE"/>
    <w:rsid w:val="005232FF"/>
    <w:rsid w:val="0052507B"/>
    <w:rsid w:val="0052641E"/>
    <w:rsid w:val="005266ED"/>
    <w:rsid w:val="0053018E"/>
    <w:rsid w:val="005301A5"/>
    <w:rsid w:val="00532395"/>
    <w:rsid w:val="00535921"/>
    <w:rsid w:val="0054042C"/>
    <w:rsid w:val="0054546F"/>
    <w:rsid w:val="00545EB4"/>
    <w:rsid w:val="00557DE4"/>
    <w:rsid w:val="0056124E"/>
    <w:rsid w:val="00571410"/>
    <w:rsid w:val="0057323F"/>
    <w:rsid w:val="0057606F"/>
    <w:rsid w:val="005761AD"/>
    <w:rsid w:val="005766A1"/>
    <w:rsid w:val="00586C9E"/>
    <w:rsid w:val="005903C3"/>
    <w:rsid w:val="005970A0"/>
    <w:rsid w:val="005979CD"/>
    <w:rsid w:val="005A4E38"/>
    <w:rsid w:val="005A6C64"/>
    <w:rsid w:val="005A6F48"/>
    <w:rsid w:val="005A6FFF"/>
    <w:rsid w:val="005B5385"/>
    <w:rsid w:val="005C280C"/>
    <w:rsid w:val="005C4842"/>
    <w:rsid w:val="005C4A6E"/>
    <w:rsid w:val="005D00A2"/>
    <w:rsid w:val="005D04B5"/>
    <w:rsid w:val="005D157A"/>
    <w:rsid w:val="005D1EA3"/>
    <w:rsid w:val="005E10BF"/>
    <w:rsid w:val="005E4D03"/>
    <w:rsid w:val="005F0FD7"/>
    <w:rsid w:val="005F373A"/>
    <w:rsid w:val="005F49BC"/>
    <w:rsid w:val="00600291"/>
    <w:rsid w:val="006039A2"/>
    <w:rsid w:val="006121C8"/>
    <w:rsid w:val="00616645"/>
    <w:rsid w:val="00625D9D"/>
    <w:rsid w:val="0062635B"/>
    <w:rsid w:val="00627B06"/>
    <w:rsid w:val="00632450"/>
    <w:rsid w:val="006331E7"/>
    <w:rsid w:val="00633D53"/>
    <w:rsid w:val="00647187"/>
    <w:rsid w:val="00647E7E"/>
    <w:rsid w:val="006513E6"/>
    <w:rsid w:val="006534E8"/>
    <w:rsid w:val="00660DA6"/>
    <w:rsid w:val="0066482B"/>
    <w:rsid w:val="00664FB2"/>
    <w:rsid w:val="0066781F"/>
    <w:rsid w:val="00676E5B"/>
    <w:rsid w:val="00681493"/>
    <w:rsid w:val="00685EC4"/>
    <w:rsid w:val="0069008E"/>
    <w:rsid w:val="00692C23"/>
    <w:rsid w:val="00696531"/>
    <w:rsid w:val="006A0B48"/>
    <w:rsid w:val="006A4EE9"/>
    <w:rsid w:val="006A700D"/>
    <w:rsid w:val="006A78BC"/>
    <w:rsid w:val="006B0D75"/>
    <w:rsid w:val="006B2220"/>
    <w:rsid w:val="006C4257"/>
    <w:rsid w:val="006C6612"/>
    <w:rsid w:val="006D00EF"/>
    <w:rsid w:val="006D7477"/>
    <w:rsid w:val="006F180A"/>
    <w:rsid w:val="006F2BB8"/>
    <w:rsid w:val="006F6569"/>
    <w:rsid w:val="006F709B"/>
    <w:rsid w:val="006F7BA9"/>
    <w:rsid w:val="007009E0"/>
    <w:rsid w:val="00703396"/>
    <w:rsid w:val="0070594F"/>
    <w:rsid w:val="00707962"/>
    <w:rsid w:val="00714459"/>
    <w:rsid w:val="007156EE"/>
    <w:rsid w:val="007170C4"/>
    <w:rsid w:val="00725C06"/>
    <w:rsid w:val="0073549B"/>
    <w:rsid w:val="00740815"/>
    <w:rsid w:val="00740D6C"/>
    <w:rsid w:val="0074172F"/>
    <w:rsid w:val="007468AB"/>
    <w:rsid w:val="007505CC"/>
    <w:rsid w:val="007525C4"/>
    <w:rsid w:val="00753C2F"/>
    <w:rsid w:val="007545A9"/>
    <w:rsid w:val="00766054"/>
    <w:rsid w:val="00774838"/>
    <w:rsid w:val="00781671"/>
    <w:rsid w:val="007824C5"/>
    <w:rsid w:val="0078584F"/>
    <w:rsid w:val="007911F8"/>
    <w:rsid w:val="007914FF"/>
    <w:rsid w:val="0079185D"/>
    <w:rsid w:val="00795AA1"/>
    <w:rsid w:val="007A01EB"/>
    <w:rsid w:val="007A241A"/>
    <w:rsid w:val="007B05C4"/>
    <w:rsid w:val="007B27C9"/>
    <w:rsid w:val="007B443E"/>
    <w:rsid w:val="007B681A"/>
    <w:rsid w:val="007C43FE"/>
    <w:rsid w:val="007C53F6"/>
    <w:rsid w:val="007C5F18"/>
    <w:rsid w:val="007D2246"/>
    <w:rsid w:val="007E74DE"/>
    <w:rsid w:val="007F13B6"/>
    <w:rsid w:val="007F4753"/>
    <w:rsid w:val="007F7048"/>
    <w:rsid w:val="00800BD1"/>
    <w:rsid w:val="0080154D"/>
    <w:rsid w:val="00801CAC"/>
    <w:rsid w:val="00801F23"/>
    <w:rsid w:val="008026BC"/>
    <w:rsid w:val="0080395F"/>
    <w:rsid w:val="00804CD9"/>
    <w:rsid w:val="0081244A"/>
    <w:rsid w:val="00812B5C"/>
    <w:rsid w:val="0081518D"/>
    <w:rsid w:val="00816CB6"/>
    <w:rsid w:val="00820985"/>
    <w:rsid w:val="00824E2A"/>
    <w:rsid w:val="00833D9B"/>
    <w:rsid w:val="00833E0E"/>
    <w:rsid w:val="00834953"/>
    <w:rsid w:val="008369A6"/>
    <w:rsid w:val="00840759"/>
    <w:rsid w:val="00840811"/>
    <w:rsid w:val="00842CD9"/>
    <w:rsid w:val="00845135"/>
    <w:rsid w:val="00854927"/>
    <w:rsid w:val="00856F93"/>
    <w:rsid w:val="00860DC9"/>
    <w:rsid w:val="008617AF"/>
    <w:rsid w:val="008629A0"/>
    <w:rsid w:val="00864DCB"/>
    <w:rsid w:val="008653C3"/>
    <w:rsid w:val="00867468"/>
    <w:rsid w:val="00870076"/>
    <w:rsid w:val="00872AC3"/>
    <w:rsid w:val="00880622"/>
    <w:rsid w:val="00881773"/>
    <w:rsid w:val="008842B3"/>
    <w:rsid w:val="0088703D"/>
    <w:rsid w:val="0089111A"/>
    <w:rsid w:val="00896EC0"/>
    <w:rsid w:val="00897179"/>
    <w:rsid w:val="008B7518"/>
    <w:rsid w:val="008C5946"/>
    <w:rsid w:val="008C5BE2"/>
    <w:rsid w:val="008E256C"/>
    <w:rsid w:val="008E7734"/>
    <w:rsid w:val="008F68AB"/>
    <w:rsid w:val="0090475C"/>
    <w:rsid w:val="00911904"/>
    <w:rsid w:val="00912D35"/>
    <w:rsid w:val="00913B08"/>
    <w:rsid w:val="009173E9"/>
    <w:rsid w:val="00920434"/>
    <w:rsid w:val="00923857"/>
    <w:rsid w:val="009245CE"/>
    <w:rsid w:val="00926A2A"/>
    <w:rsid w:val="009307F0"/>
    <w:rsid w:val="00935DBA"/>
    <w:rsid w:val="009361DD"/>
    <w:rsid w:val="00941637"/>
    <w:rsid w:val="0094307C"/>
    <w:rsid w:val="0094580D"/>
    <w:rsid w:val="00946B81"/>
    <w:rsid w:val="00946E37"/>
    <w:rsid w:val="0095192E"/>
    <w:rsid w:val="009538DC"/>
    <w:rsid w:val="009544C4"/>
    <w:rsid w:val="009557D5"/>
    <w:rsid w:val="00957119"/>
    <w:rsid w:val="00961FAE"/>
    <w:rsid w:val="00964042"/>
    <w:rsid w:val="00966891"/>
    <w:rsid w:val="0097022D"/>
    <w:rsid w:val="00973A9C"/>
    <w:rsid w:val="00974CB7"/>
    <w:rsid w:val="00983689"/>
    <w:rsid w:val="00985950"/>
    <w:rsid w:val="00985D93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219A"/>
    <w:rsid w:val="009B37D8"/>
    <w:rsid w:val="009B6431"/>
    <w:rsid w:val="009B64BA"/>
    <w:rsid w:val="009B675A"/>
    <w:rsid w:val="009C263B"/>
    <w:rsid w:val="009C7BD0"/>
    <w:rsid w:val="009D33D4"/>
    <w:rsid w:val="009E4664"/>
    <w:rsid w:val="009E66BF"/>
    <w:rsid w:val="009E6E93"/>
    <w:rsid w:val="009E711A"/>
    <w:rsid w:val="009E7D0E"/>
    <w:rsid w:val="009F1071"/>
    <w:rsid w:val="009F1E61"/>
    <w:rsid w:val="009F2391"/>
    <w:rsid w:val="009F480D"/>
    <w:rsid w:val="00A01156"/>
    <w:rsid w:val="00A059C6"/>
    <w:rsid w:val="00A1563B"/>
    <w:rsid w:val="00A20166"/>
    <w:rsid w:val="00A22613"/>
    <w:rsid w:val="00A24F7B"/>
    <w:rsid w:val="00A25CED"/>
    <w:rsid w:val="00A349A2"/>
    <w:rsid w:val="00A37C4A"/>
    <w:rsid w:val="00A42921"/>
    <w:rsid w:val="00A55F47"/>
    <w:rsid w:val="00A56B48"/>
    <w:rsid w:val="00A609CE"/>
    <w:rsid w:val="00A63AB4"/>
    <w:rsid w:val="00A63B57"/>
    <w:rsid w:val="00A660E6"/>
    <w:rsid w:val="00A6773D"/>
    <w:rsid w:val="00A75FA7"/>
    <w:rsid w:val="00A76F12"/>
    <w:rsid w:val="00A82F78"/>
    <w:rsid w:val="00A87286"/>
    <w:rsid w:val="00AA1C29"/>
    <w:rsid w:val="00AA4CEC"/>
    <w:rsid w:val="00AA7663"/>
    <w:rsid w:val="00AB2418"/>
    <w:rsid w:val="00AB2891"/>
    <w:rsid w:val="00AB33F9"/>
    <w:rsid w:val="00AC20AF"/>
    <w:rsid w:val="00AC4AF0"/>
    <w:rsid w:val="00AC50BE"/>
    <w:rsid w:val="00AC6F68"/>
    <w:rsid w:val="00AD3EC1"/>
    <w:rsid w:val="00AD6139"/>
    <w:rsid w:val="00AE42B6"/>
    <w:rsid w:val="00AE61EB"/>
    <w:rsid w:val="00AE6CD3"/>
    <w:rsid w:val="00AF0554"/>
    <w:rsid w:val="00AF2D71"/>
    <w:rsid w:val="00AF5C22"/>
    <w:rsid w:val="00AF6114"/>
    <w:rsid w:val="00AF7337"/>
    <w:rsid w:val="00AF7B5F"/>
    <w:rsid w:val="00B01A85"/>
    <w:rsid w:val="00B01F26"/>
    <w:rsid w:val="00B04238"/>
    <w:rsid w:val="00B049E0"/>
    <w:rsid w:val="00B04AAA"/>
    <w:rsid w:val="00B11419"/>
    <w:rsid w:val="00B14999"/>
    <w:rsid w:val="00B16A0E"/>
    <w:rsid w:val="00B22222"/>
    <w:rsid w:val="00B256DB"/>
    <w:rsid w:val="00B35943"/>
    <w:rsid w:val="00B37C5C"/>
    <w:rsid w:val="00B425C4"/>
    <w:rsid w:val="00B429DB"/>
    <w:rsid w:val="00B43F4A"/>
    <w:rsid w:val="00B446DA"/>
    <w:rsid w:val="00B44C17"/>
    <w:rsid w:val="00B4597A"/>
    <w:rsid w:val="00B45B80"/>
    <w:rsid w:val="00B47E20"/>
    <w:rsid w:val="00B50A5B"/>
    <w:rsid w:val="00B5226D"/>
    <w:rsid w:val="00B53AB3"/>
    <w:rsid w:val="00B821B3"/>
    <w:rsid w:val="00B86D3F"/>
    <w:rsid w:val="00B87A18"/>
    <w:rsid w:val="00B90A23"/>
    <w:rsid w:val="00B93A6C"/>
    <w:rsid w:val="00B97B6A"/>
    <w:rsid w:val="00BA197A"/>
    <w:rsid w:val="00BA47B0"/>
    <w:rsid w:val="00BB190C"/>
    <w:rsid w:val="00BB4841"/>
    <w:rsid w:val="00BB5F54"/>
    <w:rsid w:val="00BC2F7B"/>
    <w:rsid w:val="00BD65D2"/>
    <w:rsid w:val="00BD79A3"/>
    <w:rsid w:val="00BE0165"/>
    <w:rsid w:val="00BE04A3"/>
    <w:rsid w:val="00BE6256"/>
    <w:rsid w:val="00BF1489"/>
    <w:rsid w:val="00BF41BB"/>
    <w:rsid w:val="00BF6145"/>
    <w:rsid w:val="00BF717A"/>
    <w:rsid w:val="00C02E31"/>
    <w:rsid w:val="00C114C5"/>
    <w:rsid w:val="00C11F1F"/>
    <w:rsid w:val="00C16284"/>
    <w:rsid w:val="00C16EF9"/>
    <w:rsid w:val="00C227F6"/>
    <w:rsid w:val="00C22FE2"/>
    <w:rsid w:val="00C31342"/>
    <w:rsid w:val="00C33EAC"/>
    <w:rsid w:val="00C36558"/>
    <w:rsid w:val="00C412C5"/>
    <w:rsid w:val="00C4538A"/>
    <w:rsid w:val="00C6073D"/>
    <w:rsid w:val="00C61F35"/>
    <w:rsid w:val="00C6260F"/>
    <w:rsid w:val="00C62ED8"/>
    <w:rsid w:val="00C65716"/>
    <w:rsid w:val="00C7614D"/>
    <w:rsid w:val="00C82756"/>
    <w:rsid w:val="00C90490"/>
    <w:rsid w:val="00C9480F"/>
    <w:rsid w:val="00C979B0"/>
    <w:rsid w:val="00C97E93"/>
    <w:rsid w:val="00CA0DA7"/>
    <w:rsid w:val="00CA31B8"/>
    <w:rsid w:val="00CA51A0"/>
    <w:rsid w:val="00CA5DE5"/>
    <w:rsid w:val="00CA7B6D"/>
    <w:rsid w:val="00CB1471"/>
    <w:rsid w:val="00CB221B"/>
    <w:rsid w:val="00CB2ED9"/>
    <w:rsid w:val="00CB4426"/>
    <w:rsid w:val="00CB6296"/>
    <w:rsid w:val="00CB6573"/>
    <w:rsid w:val="00CB6715"/>
    <w:rsid w:val="00CC2272"/>
    <w:rsid w:val="00CC23F4"/>
    <w:rsid w:val="00CC599E"/>
    <w:rsid w:val="00CC731A"/>
    <w:rsid w:val="00CD01B1"/>
    <w:rsid w:val="00CD3276"/>
    <w:rsid w:val="00CE3DA2"/>
    <w:rsid w:val="00CE48E6"/>
    <w:rsid w:val="00CE734B"/>
    <w:rsid w:val="00CF492B"/>
    <w:rsid w:val="00CF49A9"/>
    <w:rsid w:val="00CF4CA1"/>
    <w:rsid w:val="00CF7959"/>
    <w:rsid w:val="00D042B8"/>
    <w:rsid w:val="00D11078"/>
    <w:rsid w:val="00D1438E"/>
    <w:rsid w:val="00D152AF"/>
    <w:rsid w:val="00D15714"/>
    <w:rsid w:val="00D2061D"/>
    <w:rsid w:val="00D223AC"/>
    <w:rsid w:val="00D24B28"/>
    <w:rsid w:val="00D2662F"/>
    <w:rsid w:val="00D31C9A"/>
    <w:rsid w:val="00D322E6"/>
    <w:rsid w:val="00D3510B"/>
    <w:rsid w:val="00D355C7"/>
    <w:rsid w:val="00D37319"/>
    <w:rsid w:val="00D56B55"/>
    <w:rsid w:val="00D6173A"/>
    <w:rsid w:val="00D62CF2"/>
    <w:rsid w:val="00D66255"/>
    <w:rsid w:val="00D71D0F"/>
    <w:rsid w:val="00D7226A"/>
    <w:rsid w:val="00D81B72"/>
    <w:rsid w:val="00D861C0"/>
    <w:rsid w:val="00D87FA6"/>
    <w:rsid w:val="00D9239D"/>
    <w:rsid w:val="00D94CAF"/>
    <w:rsid w:val="00DA4DA9"/>
    <w:rsid w:val="00DA699A"/>
    <w:rsid w:val="00DA6AB4"/>
    <w:rsid w:val="00DB081A"/>
    <w:rsid w:val="00DB27F5"/>
    <w:rsid w:val="00DB4D0A"/>
    <w:rsid w:val="00DC4CD8"/>
    <w:rsid w:val="00DC5D9E"/>
    <w:rsid w:val="00DC7425"/>
    <w:rsid w:val="00DD0A1A"/>
    <w:rsid w:val="00DD7BC0"/>
    <w:rsid w:val="00DE03DB"/>
    <w:rsid w:val="00DE3CEF"/>
    <w:rsid w:val="00DE3F2B"/>
    <w:rsid w:val="00DE739E"/>
    <w:rsid w:val="00DF00E0"/>
    <w:rsid w:val="00DF0211"/>
    <w:rsid w:val="00DF04E2"/>
    <w:rsid w:val="00DF4D29"/>
    <w:rsid w:val="00E05B50"/>
    <w:rsid w:val="00E130CA"/>
    <w:rsid w:val="00E1354F"/>
    <w:rsid w:val="00E13C91"/>
    <w:rsid w:val="00E202F8"/>
    <w:rsid w:val="00E2285E"/>
    <w:rsid w:val="00E315B6"/>
    <w:rsid w:val="00E323A7"/>
    <w:rsid w:val="00E33140"/>
    <w:rsid w:val="00E40C8E"/>
    <w:rsid w:val="00E43551"/>
    <w:rsid w:val="00E61E2F"/>
    <w:rsid w:val="00E662C4"/>
    <w:rsid w:val="00E6761C"/>
    <w:rsid w:val="00E705A5"/>
    <w:rsid w:val="00E70F62"/>
    <w:rsid w:val="00E7479A"/>
    <w:rsid w:val="00E77DDD"/>
    <w:rsid w:val="00E810A9"/>
    <w:rsid w:val="00E81120"/>
    <w:rsid w:val="00E8351E"/>
    <w:rsid w:val="00E86653"/>
    <w:rsid w:val="00E87144"/>
    <w:rsid w:val="00E908D8"/>
    <w:rsid w:val="00E91720"/>
    <w:rsid w:val="00E97E83"/>
    <w:rsid w:val="00EA2C18"/>
    <w:rsid w:val="00EA3767"/>
    <w:rsid w:val="00EC1074"/>
    <w:rsid w:val="00EC1BEC"/>
    <w:rsid w:val="00EC5FF3"/>
    <w:rsid w:val="00EC6193"/>
    <w:rsid w:val="00ED0C31"/>
    <w:rsid w:val="00ED3D38"/>
    <w:rsid w:val="00EE17DD"/>
    <w:rsid w:val="00EE2FEA"/>
    <w:rsid w:val="00EE380C"/>
    <w:rsid w:val="00EE455E"/>
    <w:rsid w:val="00EE7B8B"/>
    <w:rsid w:val="00EF142B"/>
    <w:rsid w:val="00F00B05"/>
    <w:rsid w:val="00F00B56"/>
    <w:rsid w:val="00F034BA"/>
    <w:rsid w:val="00F055E5"/>
    <w:rsid w:val="00F12C50"/>
    <w:rsid w:val="00F31075"/>
    <w:rsid w:val="00F313D3"/>
    <w:rsid w:val="00F32DE1"/>
    <w:rsid w:val="00F370FE"/>
    <w:rsid w:val="00F42853"/>
    <w:rsid w:val="00F44DD3"/>
    <w:rsid w:val="00F44DD7"/>
    <w:rsid w:val="00F52ED1"/>
    <w:rsid w:val="00F56DEB"/>
    <w:rsid w:val="00F60EE5"/>
    <w:rsid w:val="00F741B3"/>
    <w:rsid w:val="00F75D13"/>
    <w:rsid w:val="00F82BA1"/>
    <w:rsid w:val="00F87735"/>
    <w:rsid w:val="00F95694"/>
    <w:rsid w:val="00F9728F"/>
    <w:rsid w:val="00FA12E9"/>
    <w:rsid w:val="00FB0CA1"/>
    <w:rsid w:val="00FB4521"/>
    <w:rsid w:val="00FB73B6"/>
    <w:rsid w:val="00FC2873"/>
    <w:rsid w:val="00FC3EB6"/>
    <w:rsid w:val="00FD38A6"/>
    <w:rsid w:val="00FD5D45"/>
    <w:rsid w:val="00FE6D77"/>
    <w:rsid w:val="00FF1B12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ABFF0A4"/>
  <w15:docId w15:val="{04ABCE2B-B68F-4ECC-B316-72021F6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>
      <w:pPr>
        <w:spacing w:line="252" w:lineRule="auto"/>
      </w:pPr>
    </w:pPrDefault>
  </w:docDefaults>
  <w:latentStyles w:defLockedState="0" w:defUIPriority="0" w:defSemiHidden="0" w:defUnhideWhenUsed="0" w:defQFormat="0" w:count="371"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3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semiHidden/>
    <w:rsid w:val="001440D3"/>
  </w:style>
  <w:style w:type="paragraph" w:styleId="Nadpis1">
    <w:name w:val="heading 1"/>
    <w:basedOn w:val="Normln"/>
    <w:next w:val="Normln"/>
    <w:link w:val="Nadpis1Char"/>
    <w:uiPriority w:val="2"/>
    <w:qFormat/>
    <w:rsid w:val="00EE7B8B"/>
    <w:pPr>
      <w:keepNext/>
      <w:spacing w:before="480" w:after="240"/>
      <w:contextualSpacing/>
      <w:jc w:val="both"/>
      <w:outlineLvl w:val="0"/>
    </w:pPr>
    <w:rPr>
      <w:b/>
      <w:bCs/>
      <w:color w:val="008576"/>
      <w:sz w:val="32"/>
      <w:szCs w:val="26"/>
    </w:rPr>
  </w:style>
  <w:style w:type="paragraph" w:styleId="Nadpis2">
    <w:name w:val="heading 2"/>
    <w:basedOn w:val="Nadpis1"/>
    <w:next w:val="Zkladntext"/>
    <w:link w:val="Nadpis2Char"/>
    <w:uiPriority w:val="2"/>
    <w:qFormat/>
    <w:rsid w:val="00402B90"/>
    <w:pPr>
      <w:spacing w:before="240" w:after="200"/>
      <w:outlineLvl w:val="1"/>
    </w:pPr>
    <w:rPr>
      <w:sz w:val="23"/>
    </w:rPr>
  </w:style>
  <w:style w:type="paragraph" w:styleId="Nadpis3">
    <w:name w:val="heading 3"/>
    <w:basedOn w:val="Nadpis2"/>
    <w:next w:val="Zkladntext"/>
    <w:uiPriority w:val="2"/>
    <w:semiHidden/>
    <w:qFormat/>
    <w:rsid w:val="00EC1074"/>
    <w:pPr>
      <w:numPr>
        <w:ilvl w:val="1"/>
      </w:numPr>
      <w:ind w:left="567" w:hanging="567"/>
      <w:outlineLvl w:val="2"/>
    </w:pPr>
    <w:rPr>
      <w:b w:val="0"/>
    </w:rPr>
  </w:style>
  <w:style w:type="paragraph" w:styleId="Nadpis4">
    <w:name w:val="heading 4"/>
    <w:basedOn w:val="Nadpis2"/>
    <w:next w:val="Zkladntext"/>
    <w:link w:val="Nadpis4Char"/>
    <w:uiPriority w:val="2"/>
    <w:semiHidden/>
    <w:qFormat/>
    <w:rsid w:val="00EC1074"/>
    <w:pPr>
      <w:numPr>
        <w:ilvl w:val="2"/>
      </w:numPr>
      <w:ind w:left="567" w:hanging="567"/>
      <w:outlineLvl w:val="3"/>
    </w:pPr>
    <w:rPr>
      <w:rFonts w:asciiTheme="minorHAnsi" w:eastAsiaTheme="minorEastAsia" w:hAnsiTheme="minorHAnsi" w:cstheme="minorBidi"/>
      <w:b w:val="0"/>
      <w:bCs w:val="0"/>
      <w:szCs w:val="28"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numPr>
        <w:ilvl w:val="3"/>
        <w:numId w:val="30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021091"/>
    <w:pPr>
      <w:spacing w:before="200" w:after="200"/>
      <w:jc w:val="both"/>
    </w:pPr>
  </w:style>
  <w:style w:type="paragraph" w:customStyle="1" w:styleId="podpis">
    <w:name w:val="podpis"/>
    <w:basedOn w:val="Normln"/>
    <w:uiPriority w:val="5"/>
    <w:rsid w:val="00A349A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8"/>
    <w:qFormat/>
    <w:rsid w:val="00A63B57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8"/>
    <w:rsid w:val="00E40C8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4"/>
    <w:qFormat/>
    <w:rsid w:val="001440D3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2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uiPriority w:val="1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021091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8"/>
    <w:rsid w:val="00A63B57"/>
    <w:rPr>
      <w:rFonts w:ascii="Calibri" w:hAnsi="Calibri"/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2"/>
    <w:rsid w:val="00EE7B8B"/>
    <w:rPr>
      <w:rFonts w:ascii="Calibri" w:hAnsi="Calibri"/>
      <w:b/>
      <w:bCs/>
      <w:color w:val="008576"/>
      <w:sz w:val="32"/>
      <w:szCs w:val="26"/>
    </w:rPr>
  </w:style>
  <w:style w:type="paragraph" w:styleId="Seznam">
    <w:name w:val="List"/>
    <w:basedOn w:val="Zkladntext"/>
    <w:uiPriority w:val="3"/>
    <w:rsid w:val="0045106B"/>
    <w:pPr>
      <w:numPr>
        <w:numId w:val="16"/>
      </w:numPr>
      <w:spacing w:before="120" w:after="120"/>
      <w:ind w:left="567" w:hanging="567"/>
    </w:pPr>
  </w:style>
  <w:style w:type="character" w:customStyle="1" w:styleId="ZhlavChar">
    <w:name w:val="Záhlaví Char"/>
    <w:link w:val="Zhlav"/>
    <w:uiPriority w:val="99"/>
    <w:semiHidden/>
    <w:rsid w:val="001953AB"/>
    <w:rPr>
      <w:rFonts w:ascii="Calibri" w:hAnsi="Calibri"/>
      <w:sz w:val="22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Zkladntext"/>
    <w:uiPriority w:val="3"/>
    <w:rsid w:val="00E40C8E"/>
    <w:pPr>
      <w:numPr>
        <w:numId w:val="18"/>
      </w:numPr>
      <w:spacing w:before="120" w:after="120"/>
      <w:ind w:left="567" w:hanging="567"/>
    </w:pPr>
  </w:style>
  <w:style w:type="paragraph" w:customStyle="1" w:styleId="kontakt">
    <w:name w:val="kontakt"/>
    <w:basedOn w:val="Normln"/>
    <w:uiPriority w:val="99"/>
    <w:rsid w:val="002B216F"/>
    <w:rPr>
      <w:rFonts w:cs="Tahoma"/>
      <w:color w:val="008576"/>
      <w:sz w:val="18"/>
      <w:szCs w:val="18"/>
    </w:rPr>
  </w:style>
  <w:style w:type="paragraph" w:customStyle="1" w:styleId="zkoncitace">
    <w:name w:val="zákon (citace)"/>
    <w:basedOn w:val="Zkladntext"/>
    <w:uiPriority w:val="7"/>
    <w:qFormat/>
    <w:rsid w:val="00E40C8E"/>
    <w:rPr>
      <w:i/>
      <w:sz w:val="21"/>
    </w:rPr>
  </w:style>
  <w:style w:type="paragraph" w:customStyle="1" w:styleId="zkon-nadpis">
    <w:name w:val="zákon - nadpis"/>
    <w:basedOn w:val="Zkladntext"/>
    <w:next w:val="zkoncitace"/>
    <w:uiPriority w:val="7"/>
    <w:rsid w:val="00E40C8E"/>
    <w:pPr>
      <w:spacing w:before="120" w:after="120"/>
    </w:pPr>
    <w:rPr>
      <w:b/>
      <w:sz w:val="21"/>
    </w:rPr>
  </w:style>
  <w:style w:type="character" w:styleId="Odkaznakoment">
    <w:name w:val="annotation reference"/>
    <w:uiPriority w:val="99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5"/>
    <w:rsid w:val="009E6E93"/>
    <w:rPr>
      <w:b/>
      <w:color w:val="008576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A6773D"/>
    <w:rPr>
      <w:rFonts w:asciiTheme="minorHAnsi" w:eastAsiaTheme="minorEastAsia" w:hAnsiTheme="minorHAnsi" w:cstheme="minorBidi"/>
      <w:color w:val="008576"/>
      <w:sz w:val="23"/>
      <w:szCs w:val="28"/>
    </w:rPr>
  </w:style>
  <w:style w:type="character" w:customStyle="1" w:styleId="Nadpis2Char">
    <w:name w:val="Nadpis 2 Char"/>
    <w:link w:val="Nadpis2"/>
    <w:uiPriority w:val="2"/>
    <w:rsid w:val="00402B90"/>
    <w:rPr>
      <w:rFonts w:ascii="Calibri" w:hAnsi="Calibri"/>
      <w:b/>
      <w:bCs/>
      <w:color w:val="008576"/>
      <w:sz w:val="23"/>
      <w:szCs w:val="26"/>
    </w:rPr>
  </w:style>
  <w:style w:type="paragraph" w:styleId="slovanseznam2">
    <w:name w:val="List Number 2"/>
    <w:basedOn w:val="Zkladntext"/>
    <w:uiPriority w:val="3"/>
    <w:rsid w:val="00E662C4"/>
    <w:pPr>
      <w:numPr>
        <w:numId w:val="32"/>
      </w:numPr>
      <w:ind w:left="567" w:hanging="567"/>
    </w:pPr>
  </w:style>
  <w:style w:type="paragraph" w:customStyle="1" w:styleId="perex">
    <w:name w:val="perex"/>
    <w:basedOn w:val="Zkladntext"/>
    <w:rsid w:val="001D79F1"/>
    <w:pPr>
      <w:spacing w:after="360"/>
    </w:pPr>
    <w:rPr>
      <w:b/>
    </w:rPr>
  </w:style>
  <w:style w:type="character" w:customStyle="1" w:styleId="Poledosti">
    <w:name w:val="Pole žádosti"/>
    <w:basedOn w:val="Standardnpsmoodstavce"/>
    <w:uiPriority w:val="1"/>
    <w:rsid w:val="005970A0"/>
    <w:rPr>
      <w:rFonts w:ascii="Arial" w:hAnsi="Arial"/>
      <w:b w:val="0"/>
      <w:i w:val="0"/>
      <w:sz w:val="20"/>
      <w:bdr w:val="none" w:sz="0" w:space="0" w:color="auto"/>
    </w:rPr>
  </w:style>
  <w:style w:type="character" w:styleId="Sledovanodkaz">
    <w:name w:val="FollowedHyperlink"/>
    <w:basedOn w:val="Standardnpsmoodstavce"/>
    <w:semiHidden/>
    <w:unhideWhenUsed/>
    <w:rsid w:val="005C4842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ED3D38"/>
    <w:pPr>
      <w:spacing w:line="240" w:lineRule="auto"/>
      <w:ind w:left="720"/>
      <w:contextualSpacing/>
    </w:pPr>
    <w:rPr>
      <w:rFonts w:ascii="Times New Roman" w:hAnsi="Times New Roman"/>
      <w:sz w:val="22"/>
      <w:szCs w:val="24"/>
    </w:rPr>
  </w:style>
  <w:style w:type="paragraph" w:customStyle="1" w:styleId="Default">
    <w:name w:val="Default"/>
    <w:rsid w:val="005301A5"/>
    <w:pPr>
      <w:autoSpaceDE w:val="0"/>
      <w:autoSpaceDN w:val="0"/>
      <w:adjustRightInd w:val="0"/>
      <w:spacing w:line="240" w:lineRule="auto"/>
    </w:pPr>
    <w:rPr>
      <w:rFonts w:cs="Calibri"/>
      <w:color w:val="000000"/>
      <w:sz w:val="24"/>
      <w:szCs w:val="24"/>
    </w:rPr>
  </w:style>
  <w:style w:type="character" w:customStyle="1" w:styleId="pokyny">
    <w:name w:val="pokyny"/>
    <w:basedOn w:val="Standardnpsmoodstavce"/>
    <w:rsid w:val="00E97E83"/>
    <w:rPr>
      <w:color w:val="FF0000"/>
    </w:rPr>
  </w:style>
  <w:style w:type="paragraph" w:styleId="Normlnweb">
    <w:name w:val="Normal (Web)"/>
    <w:basedOn w:val="Normln"/>
    <w:uiPriority w:val="99"/>
    <w:semiHidden/>
    <w:unhideWhenUsed/>
    <w:rsid w:val="00E7479A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projekty/posileni-aktivit/6_Doporuceni-ochrance-ve-veci-deinstitucionalizace-pece-o-male-deti.pdf" TargetMode="External"/><Relationship Id="rId18" Type="http://schemas.openxmlformats.org/officeDocument/2006/relationships/hyperlink" Target="https://www.youtube.com/playlist?list=PLWNv_IxgJdEJRcfAUHCC1fZ6J1NiW4qh2" TargetMode="External"/><Relationship Id="rId26" Type="http://schemas.openxmlformats.org/officeDocument/2006/relationships/hyperlink" Target="https://eso.ochrance.cz/Nalezene/Edit/992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ti.ochrance.cz/aktualne/jak_to_vypadalo_na_nasi_konferenci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ochrance.cz/uploads-import/Kancelar/projekty/4._MO_1._doporuceni_rodina_VI_6985-20-VOP-PS.pdf" TargetMode="External"/><Relationship Id="rId17" Type="http://schemas.openxmlformats.org/officeDocument/2006/relationships/hyperlink" Target="https://deti.ochrance.cz" TargetMode="External"/><Relationship Id="rId25" Type="http://schemas.openxmlformats.org/officeDocument/2006/relationships/hyperlink" Target="https://www.ochrance.cz/projekty/posileni-aktivit/obcane_evropske_unie_v_cesku-studie-mindbridge.pdf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chrance.cz/media/zprava_o_setreni_a_doporuceni_ve_veci_vyhledavani_obecnych_pestounu.pdf" TargetMode="External"/><Relationship Id="rId20" Type="http://schemas.openxmlformats.org/officeDocument/2006/relationships/hyperlink" Target="https://www.youtube.com/watch?v=frRrDw4p7uc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o.ochrance.cz/Nalezene/Edit/10324" TargetMode="External"/><Relationship Id="rId24" Type="http://schemas.openxmlformats.org/officeDocument/2006/relationships/hyperlink" Target="https://www.ochrance.cz/projekty/posileni-aktivit/monitorovaci_zprava_za_rok_2021.pdf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ochrance.cz/projekty/posileni-aktivit/7_Doporuceni-ochrance-ve-veci-zvyseni-odmen-pestounum-na-prechodnou-dobu.pdf" TargetMode="External"/><Relationship Id="rId23" Type="http://schemas.openxmlformats.org/officeDocument/2006/relationships/hyperlink" Target="https://www.ochrance.cz/projekty/posileni-aktivit/dis-dj-monitorovaci_zprava.pdf.pdf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eti.ochrance.cz/kdo/jak_ombudsmana_vidi_deti_digitalni_galerie_souteze_jak_pomaha_ombudsman_detem/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chrance.cz/media/doporuceni_detska_psychiatrie.pdf" TargetMode="External"/><Relationship Id="rId22" Type="http://schemas.openxmlformats.org/officeDocument/2006/relationships/hyperlink" Target="https://decko.ceskatelevize.cz/video/e222411000160616" TargetMode="External"/><Relationship Id="rId27" Type="http://schemas.openxmlformats.org/officeDocument/2006/relationships/hyperlink" Target="https://www.ochrance.cz/dokument/rodicovstvi_a_diskriminace_v_praci/rodicovstvi-a-diskriminace-doporuceni.pdf" TargetMode="External"/><Relationship Id="rId3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ochrance.cz/" TargetMode="External"/><Relationship Id="rId1" Type="http://schemas.openxmlformats.org/officeDocument/2006/relationships/hyperlink" Target="mailto:bockova@ochrance.cz?subject=ombudsm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rova\Documents\Norsk&#233;%20fondy\Publicita\NF_VOP%20-%20srpen%202022%20stav%20projektu%20NF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E14E8-0536-40AA-AFC0-601AAA4F6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123FB-C2C7-4FF6-B65F-3A9D89AE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NF_VOP - srpen 2022 stav projektu NF</Template>
  <TotalTime>34</TotalTime>
  <Pages>4</Pages>
  <Words>1724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11874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Bádrová Pavlína Mgr.</dc:creator>
  <cp:lastModifiedBy>KVOP</cp:lastModifiedBy>
  <cp:revision>15</cp:revision>
  <cp:lastPrinted>2017-05-19T08:14:00Z</cp:lastPrinted>
  <dcterms:created xsi:type="dcterms:W3CDTF">2022-09-27T09:07:00Z</dcterms:created>
  <dcterms:modified xsi:type="dcterms:W3CDTF">2022-09-27T10:05:00Z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