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2D" w:rsidRDefault="00E55299" w:rsidP="00F20DA4">
      <w:pPr>
        <w:pStyle w:val="Zkladntext"/>
        <w:spacing w:before="360"/>
      </w:pPr>
      <w:r>
        <w:t>Ombudsman</w:t>
      </w:r>
      <w:r w:rsidR="0009079A">
        <w:t xml:space="preserve"> podle zákona chrán</w:t>
      </w:r>
      <w:r w:rsidR="00132C8C">
        <w:t>í</w:t>
      </w:r>
      <w:r w:rsidR="0009079A">
        <w:t xml:space="preserve"> osoby nejen před porušováním práva</w:t>
      </w:r>
      <w:r w:rsidR="0009079A">
        <w:t xml:space="preserve"> </w:t>
      </w:r>
      <w:r w:rsidR="00132C8C">
        <w:t>úřady</w:t>
      </w:r>
      <w:r w:rsidR="0009079A">
        <w:t>, ale</w:t>
      </w:r>
      <w:r>
        <w:t xml:space="preserve"> i </w:t>
      </w:r>
      <w:r w:rsidR="0009079A">
        <w:t>před jednáním, které neodpovídá principům demokratického právního státu</w:t>
      </w:r>
      <w:r>
        <w:t xml:space="preserve"> a </w:t>
      </w:r>
      <w:r w:rsidR="0009079A">
        <w:t xml:space="preserve">dobré správy. Denně proto </w:t>
      </w:r>
      <w:r w:rsidR="00132C8C">
        <w:t>usiluje</w:t>
      </w:r>
      <w:r>
        <w:t xml:space="preserve"> o </w:t>
      </w:r>
      <w:r w:rsidR="0009079A">
        <w:t xml:space="preserve">naplňování </w:t>
      </w:r>
      <w:r w:rsidR="00132C8C">
        <w:t>principů</w:t>
      </w:r>
      <w:r w:rsidR="0029662D">
        <w:t xml:space="preserve"> dobré správy.</w:t>
      </w:r>
    </w:p>
    <w:p w:rsidR="0009079A" w:rsidRDefault="00132C8C" w:rsidP="0009079A">
      <w:pPr>
        <w:pStyle w:val="Zkladntext"/>
      </w:pPr>
      <w:r>
        <w:t>J</w:t>
      </w:r>
      <w:r w:rsidR="0009079A">
        <w:t>de</w:t>
      </w:r>
      <w:r w:rsidR="00E55299">
        <w:t xml:space="preserve"> o </w:t>
      </w:r>
      <w:r w:rsidR="0009079A" w:rsidRPr="0029662D">
        <w:rPr>
          <w:rStyle w:val="Siln"/>
        </w:rPr>
        <w:t>neformální zásady kvalitního spravování věcí veřejných</w:t>
      </w:r>
      <w:r w:rsidR="0009079A">
        <w:t>, které vycházejí</w:t>
      </w:r>
      <w:r w:rsidR="00E55299">
        <w:t xml:space="preserve"> z </w:t>
      </w:r>
      <w:r w:rsidR="0009079A">
        <w:t>ústavních zásad,</w:t>
      </w:r>
      <w:r w:rsidR="0009079A">
        <w:t xml:space="preserve"> </w:t>
      </w:r>
      <w:r w:rsidR="0009079A">
        <w:t>obecných právních principů,</w:t>
      </w:r>
      <w:r w:rsidR="00FD6C3B">
        <w:t xml:space="preserve"> mo</w:t>
      </w:r>
      <w:r w:rsidR="0009079A">
        <w:t>rálních pravidel</w:t>
      </w:r>
      <w:r w:rsidR="00E55299">
        <w:t xml:space="preserve"> i </w:t>
      </w:r>
      <w:r w:rsidR="0009079A">
        <w:t>legitimních společenských očekávání. Dobrá správa tedy označuje takový postup úřadu, který je nejen</w:t>
      </w:r>
      <w:r w:rsidR="00E55299">
        <w:t xml:space="preserve"> v </w:t>
      </w:r>
      <w:r w:rsidR="0009079A">
        <w:t>souladu se zákonem, ale zároveň mu nelze vytknout svévoli, účelovost, vyhýbavost, neefektivnost, liknavost</w:t>
      </w:r>
      <w:r w:rsidR="00E55299">
        <w:t xml:space="preserve"> a </w:t>
      </w:r>
      <w:r w:rsidR="0009079A">
        <w:t>jiné nežádoucí znaky.</w:t>
      </w:r>
    </w:p>
    <w:p w:rsidR="0009079A" w:rsidRDefault="00132C8C" w:rsidP="0009079A">
      <w:pPr>
        <w:pStyle w:val="Zkladntext"/>
      </w:pPr>
      <w:r>
        <w:t>Zákony</w:t>
      </w:r>
      <w:r w:rsidR="00E55299">
        <w:t xml:space="preserve"> a </w:t>
      </w:r>
      <w:r>
        <w:t xml:space="preserve">různé </w:t>
      </w:r>
      <w:r w:rsidR="0009079A">
        <w:t>dokument</w:t>
      </w:r>
      <w:r>
        <w:t>y zmiňovaly či definovaly</w:t>
      </w:r>
      <w:r w:rsidR="0009079A">
        <w:t xml:space="preserve"> </w:t>
      </w:r>
      <w:r>
        <w:t xml:space="preserve">principy dobré správy </w:t>
      </w:r>
      <w:r w:rsidR="0009079A">
        <w:t>roztříštěně</w:t>
      </w:r>
      <w:r w:rsidR="00E55299">
        <w:t xml:space="preserve"> a </w:t>
      </w:r>
      <w:r w:rsidR="0009079A">
        <w:t xml:space="preserve">nejednotně. </w:t>
      </w:r>
      <w:r>
        <w:t xml:space="preserve">První </w:t>
      </w:r>
      <w:r w:rsidR="00E55299">
        <w:t>ombudsman</w:t>
      </w:r>
      <w:r>
        <w:t xml:space="preserve"> </w:t>
      </w:r>
      <w:r w:rsidRPr="00FD6C3B">
        <w:rPr>
          <w:rStyle w:val="Siln"/>
        </w:rPr>
        <w:t>Otakar Motejl</w:t>
      </w:r>
      <w:r w:rsidR="0009079A">
        <w:t xml:space="preserve"> se proto</w:t>
      </w:r>
      <w:r w:rsidR="00E55299">
        <w:t xml:space="preserve"> v </w:t>
      </w:r>
      <w:r w:rsidR="0029662D">
        <w:t xml:space="preserve">roce 2006 </w:t>
      </w:r>
      <w:r w:rsidR="0009079A">
        <w:t>rozhodl</w:t>
      </w:r>
      <w:r>
        <w:t xml:space="preserve"> shrnout své dosavadní poznatky</w:t>
      </w:r>
      <w:r w:rsidR="00FD6C3B">
        <w:t xml:space="preserve">. </w:t>
      </w:r>
      <w:r w:rsidR="00FD6C3B">
        <w:t>Vyšel přitom především</w:t>
      </w:r>
      <w:r w:rsidR="00E55299">
        <w:t xml:space="preserve"> z </w:t>
      </w:r>
      <w:r w:rsidR="00FD6C3B">
        <w:t>vlastních šestiletých zkušeností</w:t>
      </w:r>
      <w:r w:rsidR="00E55299">
        <w:t xml:space="preserve"> a </w:t>
      </w:r>
      <w:r w:rsidR="00FD6C3B">
        <w:t>dále</w:t>
      </w:r>
      <w:r w:rsidR="00E55299">
        <w:t xml:space="preserve"> z </w:t>
      </w:r>
      <w:r w:rsidR="00FD6C3B">
        <w:t>Evropského kodexu dobré správní praxe Evropské unie,</w:t>
      </w:r>
      <w:r w:rsidR="00E55299">
        <w:t xml:space="preserve"> z </w:t>
      </w:r>
      <w:r w:rsidR="00FD6C3B">
        <w:t>připravovaného doporučení Rady Evropy</w:t>
      </w:r>
      <w:r w:rsidR="00E55299">
        <w:t xml:space="preserve"> o </w:t>
      </w:r>
      <w:r w:rsidR="00FD6C3B">
        <w:t>dobré správě</w:t>
      </w:r>
      <w:r w:rsidR="00E55299">
        <w:t xml:space="preserve"> a z </w:t>
      </w:r>
      <w:r w:rsidR="00FD6C3B">
        <w:t>dalších mezinárodních dokumentů.</w:t>
      </w:r>
      <w:r w:rsidR="00E55299">
        <w:t xml:space="preserve"> O </w:t>
      </w:r>
      <w:r w:rsidR="00FD6C3B">
        <w:t xml:space="preserve">principech </w:t>
      </w:r>
      <w:r w:rsidR="00FD6C3B" w:rsidRPr="00FD6C3B">
        <w:t>dobré správy</w:t>
      </w:r>
      <w:r w:rsidR="00FD6C3B">
        <w:t xml:space="preserve"> diskutoval také</w:t>
      </w:r>
      <w:r w:rsidR="00E55299">
        <w:t xml:space="preserve"> s </w:t>
      </w:r>
      <w:hyperlink r:id="rId11" w:history="1">
        <w:r w:rsidR="0029662D" w:rsidRPr="00FD6C3B">
          <w:rPr>
            <w:rStyle w:val="Hypertextovodkaz"/>
          </w:rPr>
          <w:t>odbornou veřejností</w:t>
        </w:r>
      </w:hyperlink>
      <w:r w:rsidR="00E55299">
        <w:t>. S </w:t>
      </w:r>
      <w:r w:rsidR="00FD6C3B">
        <w:t>výsled</w:t>
      </w:r>
      <w:r w:rsidR="00E55299">
        <w:t xml:space="preserve">nými deseti principy </w:t>
      </w:r>
      <w:r w:rsidR="00FD6C3B">
        <w:t xml:space="preserve">pak </w:t>
      </w:r>
      <w:r w:rsidRPr="00FD6C3B">
        <w:rPr>
          <w:rStyle w:val="Siln"/>
        </w:rPr>
        <w:t>seznámil Poslaneckou sněmovnu Parlamentu České republiky</w:t>
      </w:r>
      <w:r w:rsidR="00E55299">
        <w:t xml:space="preserve"> ve </w:t>
      </w:r>
      <w:r>
        <w:t xml:space="preserve">své </w:t>
      </w:r>
      <w:hyperlink r:id="rId12" w:history="1">
        <w:r w:rsidRPr="0029662D">
          <w:rPr>
            <w:rStyle w:val="Hypertextovodkaz"/>
          </w:rPr>
          <w:t>výroční zprávě</w:t>
        </w:r>
        <w:r w:rsidR="00E55299">
          <w:rPr>
            <w:rStyle w:val="Hypertextovodkaz"/>
          </w:rPr>
          <w:t xml:space="preserve"> za </w:t>
        </w:r>
        <w:r w:rsidR="0029662D" w:rsidRPr="0029662D">
          <w:rPr>
            <w:rStyle w:val="Hypertextovodkaz"/>
          </w:rPr>
          <w:t>rok 2006</w:t>
        </w:r>
      </w:hyperlink>
      <w:r w:rsidR="00E55299">
        <w:t xml:space="preserve"> (str. 113)</w:t>
      </w:r>
      <w:r w:rsidR="0029662D">
        <w:t>.</w:t>
      </w:r>
    </w:p>
    <w:p w:rsidR="0009079A" w:rsidRDefault="00FD6C3B" w:rsidP="0009079A">
      <w:pPr>
        <w:pStyle w:val="Zkladntext"/>
      </w:pPr>
      <w:r>
        <w:t>Níže uvedených deset principů</w:t>
      </w:r>
      <w:r w:rsidR="00E55299">
        <w:t xml:space="preserve"> dobré správy od </w:t>
      </w:r>
      <w:r>
        <w:t>té doby s</w:t>
      </w:r>
      <w:r w:rsidR="0029662D">
        <w:t xml:space="preserve">louží </w:t>
      </w:r>
      <w:r>
        <w:t>ochránci</w:t>
      </w:r>
      <w:r w:rsidR="00E55299">
        <w:t xml:space="preserve"> i </w:t>
      </w:r>
      <w:r>
        <w:t>úřadům</w:t>
      </w:r>
      <w:r w:rsidR="00E55299">
        <w:t xml:space="preserve"> v </w:t>
      </w:r>
      <w:r>
        <w:t>jejich činnosti</w:t>
      </w:r>
      <w:r w:rsidR="0009079A">
        <w:t>.</w:t>
      </w:r>
    </w:p>
    <w:p w:rsidR="0009079A" w:rsidRDefault="0009079A" w:rsidP="0009079A">
      <w:pPr>
        <w:pStyle w:val="Nadpis2"/>
      </w:pPr>
      <w:r>
        <w:t>1. Soulad</w:t>
      </w:r>
      <w:r w:rsidR="00E55299">
        <w:t xml:space="preserve"> s </w:t>
      </w:r>
      <w:r>
        <w:t>právem</w:t>
      </w:r>
    </w:p>
    <w:p w:rsidR="0009079A" w:rsidRDefault="0009079A" w:rsidP="0009079A">
      <w:pPr>
        <w:pStyle w:val="Zkladntext"/>
      </w:pPr>
      <w:r>
        <w:t>Úřad postupuje</w:t>
      </w:r>
      <w:r w:rsidR="00E55299">
        <w:t xml:space="preserve"> v </w:t>
      </w:r>
      <w:r>
        <w:t>souladu</w:t>
      </w:r>
      <w:r w:rsidR="00E55299">
        <w:t xml:space="preserve"> s </w:t>
      </w:r>
      <w:r>
        <w:t>právním řádem České republiky jako celkem. Právní předpisy aplikuje</w:t>
      </w:r>
      <w:r w:rsidR="00E55299">
        <w:t xml:space="preserve"> v </w:t>
      </w:r>
      <w:r>
        <w:t>jejich vzájemné souvislosti. Tam, kde je výklad určitého právního ustanovení nejednoznačný, vykládá jej úřad podle jeho smyslu, přičemž respektuje zejména stanoviska nadřízeného úřadu</w:t>
      </w:r>
      <w:r w:rsidR="00E55299">
        <w:t xml:space="preserve"> a </w:t>
      </w:r>
      <w:r>
        <w:t>konstantní judikaturu soudů. Nadřízený úřad</w:t>
      </w:r>
      <w:r w:rsidR="00E55299">
        <w:t xml:space="preserve"> na </w:t>
      </w:r>
      <w:r>
        <w:t>žádost podřízeného úřadu poskytne své jednoznačné</w:t>
      </w:r>
      <w:r w:rsidR="00E55299">
        <w:t xml:space="preserve"> a </w:t>
      </w:r>
      <w:r>
        <w:t>srozumitelné právní stanovisko</w:t>
      </w:r>
      <w:r w:rsidR="00E55299">
        <w:t xml:space="preserve"> k </w:t>
      </w:r>
      <w:r>
        <w:t>řešení určitého právního problému. Nadřízený úřad také sám</w:t>
      </w:r>
      <w:r w:rsidR="00E55299">
        <w:t xml:space="preserve"> v </w:t>
      </w:r>
      <w:r>
        <w:t>důležitých právních otázkách aktivně sjednocuje postup podřízených úřadů vydáváním závazných právních stanovisek.</w:t>
      </w:r>
    </w:p>
    <w:p w:rsidR="0009079A" w:rsidRDefault="0009079A" w:rsidP="0009079A">
      <w:pPr>
        <w:pStyle w:val="Nadpis2"/>
      </w:pPr>
      <w:r>
        <w:t>2. Nestrannost</w:t>
      </w:r>
    </w:p>
    <w:p w:rsidR="0009079A" w:rsidRDefault="0009079A" w:rsidP="0009079A">
      <w:pPr>
        <w:pStyle w:val="Zkladntext"/>
      </w:pPr>
      <w:r>
        <w:t>Úředník přistupuje</w:t>
      </w:r>
      <w:r w:rsidR="00E55299">
        <w:t xml:space="preserve"> ke </w:t>
      </w:r>
      <w:r>
        <w:t>všem osobám</w:t>
      </w:r>
      <w:r w:rsidR="00E55299">
        <w:t xml:space="preserve"> ve </w:t>
      </w:r>
      <w:r>
        <w:t>stejné situaci stejně</w:t>
      </w:r>
      <w:r w:rsidR="00E55299">
        <w:t xml:space="preserve"> a </w:t>
      </w:r>
      <w:r>
        <w:t>nečiní žádné neodůvodněné rozdíly</w:t>
      </w:r>
      <w:r w:rsidR="00E55299">
        <w:t xml:space="preserve"> v </w:t>
      </w:r>
      <w:r>
        <w:t>zacházení</w:t>
      </w:r>
      <w:r w:rsidR="00E55299">
        <w:t xml:space="preserve"> s </w:t>
      </w:r>
      <w:r>
        <w:t>nimi, přitom respektuje princip přiměřenosti. Úředník se snaží oprostit</w:t>
      </w:r>
      <w:r w:rsidR="00E55299">
        <w:t xml:space="preserve"> ode </w:t>
      </w:r>
      <w:r>
        <w:t>všech předsudků, zachovávat politickou</w:t>
      </w:r>
      <w:r w:rsidR="00E55299">
        <w:t xml:space="preserve"> i </w:t>
      </w:r>
      <w:r>
        <w:t>náboženskou neutralitu</w:t>
      </w:r>
      <w:r w:rsidR="00E55299">
        <w:t xml:space="preserve"> a </w:t>
      </w:r>
      <w:r>
        <w:t>nezavdávat žádnou příčinu</w:t>
      </w:r>
      <w:r w:rsidR="00E55299">
        <w:t xml:space="preserve"> k </w:t>
      </w:r>
      <w:r>
        <w:t>pochybnostem</w:t>
      </w:r>
      <w:r w:rsidR="00E55299">
        <w:t xml:space="preserve"> o </w:t>
      </w:r>
      <w:r>
        <w:t>své nepodjatosti. Pokud se rozhodne nepřihlížet</w:t>
      </w:r>
      <w:r w:rsidR="00E55299">
        <w:t xml:space="preserve"> k </w:t>
      </w:r>
      <w:r>
        <w:t>vyjádření či požadavku některé osoby, vždy takový postup odůvodní. Stížnost osoby</w:t>
      </w:r>
      <w:r w:rsidR="00E55299">
        <w:t xml:space="preserve"> na </w:t>
      </w:r>
      <w:r>
        <w:t>konkrétního úředníka řeší zásadně jiný úředník než ten, proti kterému stížnost směřuje. Výsledek prošetření takové stížnosti vychází</w:t>
      </w:r>
      <w:r w:rsidR="00E55299">
        <w:t xml:space="preserve"> z </w:t>
      </w:r>
      <w:r>
        <w:t>porovnání tvrzení obou stran</w:t>
      </w:r>
      <w:r w:rsidR="00E55299">
        <w:t xml:space="preserve"> a </w:t>
      </w:r>
      <w:r>
        <w:t>objektivně zjištěných skutečností.</w:t>
      </w:r>
    </w:p>
    <w:p w:rsidR="0009079A" w:rsidRDefault="0009079A" w:rsidP="0009079A">
      <w:pPr>
        <w:pStyle w:val="Nadpis2"/>
      </w:pPr>
      <w:r>
        <w:t>3. Včasnost</w:t>
      </w:r>
    </w:p>
    <w:p w:rsidR="0009079A" w:rsidRDefault="0009079A" w:rsidP="0009079A">
      <w:pPr>
        <w:pStyle w:val="Zkladntext"/>
      </w:pPr>
      <w:r>
        <w:t>Úřad vyřídí každé podání osoby</w:t>
      </w:r>
      <w:r w:rsidR="00E55299">
        <w:t xml:space="preserve"> v </w:t>
      </w:r>
      <w:r>
        <w:t>rozumném</w:t>
      </w:r>
      <w:r w:rsidR="00E55299">
        <w:t xml:space="preserve"> a </w:t>
      </w:r>
      <w:r>
        <w:t>přiměřeném čase bez zbytečných průtahů. Jestliže si vyřízení vyžádá delší dobu, než je obvyklé, úřad</w:t>
      </w:r>
      <w:r w:rsidR="00E55299">
        <w:t xml:space="preserve"> o </w:t>
      </w:r>
      <w:r>
        <w:t>tom osobu vždy vyrozumí, přičemž uvede důvody prodlevy</w:t>
      </w:r>
      <w:r w:rsidR="00E55299">
        <w:t xml:space="preserve"> a </w:t>
      </w:r>
      <w:r>
        <w:t>předpokládaný termín, kdy bude podání vyřízeno. Pokud může mít rozhodnutí úřadu vliv</w:t>
      </w:r>
      <w:r w:rsidR="00E55299">
        <w:t xml:space="preserve"> na </w:t>
      </w:r>
      <w:r>
        <w:t>výsledek jiného řízení, snaží se úřad rozhodnout ještě před ukončením tohoto souvisejícího řízení.</w:t>
      </w:r>
      <w:r w:rsidR="00E55299">
        <w:t xml:space="preserve"> O </w:t>
      </w:r>
      <w:r>
        <w:t>svém postupu</w:t>
      </w:r>
      <w:r w:rsidR="00E55299">
        <w:t xml:space="preserve"> ve </w:t>
      </w:r>
      <w:r>
        <w:t>věci uvědomí včas úřady,</w:t>
      </w:r>
      <w:r w:rsidR="00E55299">
        <w:t xml:space="preserve"> pro </w:t>
      </w:r>
      <w:r>
        <w:t>které je výsledek jeho řízení důležitý.</w:t>
      </w:r>
      <w:r w:rsidR="00E55299">
        <w:t xml:space="preserve"> U </w:t>
      </w:r>
      <w:r>
        <w:t>řízení zahajovaných</w:t>
      </w:r>
      <w:r w:rsidR="00E55299">
        <w:t xml:space="preserve"> z </w:t>
      </w:r>
      <w:r>
        <w:t>vlastního podnětu zahájí úřad řízení bezodkladně, jakmile se dozví</w:t>
      </w:r>
      <w:r w:rsidR="00E55299">
        <w:t xml:space="preserve"> o </w:t>
      </w:r>
      <w:r>
        <w:t>důvodu</w:t>
      </w:r>
      <w:r w:rsidR="00E55299">
        <w:t xml:space="preserve"> pro </w:t>
      </w:r>
      <w:r>
        <w:t>jeho zahájení,</w:t>
      </w:r>
      <w:r w:rsidR="00E55299">
        <w:t xml:space="preserve"> a </w:t>
      </w:r>
      <w:r>
        <w:t>dokončí ho</w:t>
      </w:r>
      <w:r w:rsidR="00E55299">
        <w:t xml:space="preserve"> v </w:t>
      </w:r>
      <w:r>
        <w:t>takovém čase, aby bylo dosaženo jeho účelu.</w:t>
      </w:r>
    </w:p>
    <w:p w:rsidR="0009079A" w:rsidRDefault="0009079A" w:rsidP="0009079A">
      <w:pPr>
        <w:pStyle w:val="Nadpis2"/>
      </w:pPr>
      <w:r>
        <w:lastRenderedPageBreak/>
        <w:t>4. Předvídatelnost</w:t>
      </w:r>
    </w:p>
    <w:p w:rsidR="0009079A" w:rsidRDefault="0009079A" w:rsidP="0009079A">
      <w:pPr>
        <w:pStyle w:val="Zkladntext"/>
      </w:pPr>
      <w:r>
        <w:t>Úřad naplňuje legitimní očekávání osob</w:t>
      </w:r>
      <w:r w:rsidR="00E55299">
        <w:t xml:space="preserve"> a </w:t>
      </w:r>
      <w:r>
        <w:t>rozhoduje shodně</w:t>
      </w:r>
      <w:r w:rsidR="00E55299">
        <w:t xml:space="preserve"> s </w:t>
      </w:r>
      <w:r>
        <w:t>tím, jak rozhodoval obdobné případy</w:t>
      </w:r>
      <w:r w:rsidR="00E55299">
        <w:t xml:space="preserve"> v </w:t>
      </w:r>
      <w:r>
        <w:t>minulosti nebo jak rozhoduje obdobné případy nadřízený úřad. Pokud se</w:t>
      </w:r>
      <w:r w:rsidR="00E55299">
        <w:t xml:space="preserve"> od </w:t>
      </w:r>
      <w:r>
        <w:t>své dosavadní praxe</w:t>
      </w:r>
      <w:r w:rsidR="00E55299">
        <w:t xml:space="preserve"> v </w:t>
      </w:r>
      <w:r>
        <w:t>konkrétním případě odchýlí, výslovně to uvede</w:t>
      </w:r>
      <w:r w:rsidR="00E55299">
        <w:t xml:space="preserve"> v </w:t>
      </w:r>
      <w:r>
        <w:t>rozhodnutí</w:t>
      </w:r>
      <w:r w:rsidR="00E55299">
        <w:t xml:space="preserve"> a </w:t>
      </w:r>
      <w:r>
        <w:t>tento postup odůvodní.</w:t>
      </w:r>
      <w:r w:rsidR="00E55299">
        <w:t xml:space="preserve"> V </w:t>
      </w:r>
      <w:r>
        <w:t>obdobných případech používá úřad obdobné postupy</w:t>
      </w:r>
      <w:r w:rsidR="00E55299">
        <w:t xml:space="preserve"> a při </w:t>
      </w:r>
      <w:r>
        <w:t>užití správního uvážení se drží předem stanovených obecných měřítek.</w:t>
      </w:r>
      <w:r w:rsidR="00E55299">
        <w:t xml:space="preserve"> Při </w:t>
      </w:r>
      <w:r>
        <w:t>změně obecných pravidel úřad takovou změnu</w:t>
      </w:r>
      <w:r w:rsidR="00E55299">
        <w:t xml:space="preserve"> s </w:t>
      </w:r>
      <w:r>
        <w:t>dostatečným předstihem přiměřeným způsobem zveřejní</w:t>
      </w:r>
      <w:r w:rsidR="00E55299">
        <w:t xml:space="preserve"> a </w:t>
      </w:r>
      <w:r>
        <w:t>vytvoří předpoklady</w:t>
      </w:r>
      <w:r w:rsidR="00E55299">
        <w:t xml:space="preserve"> pro </w:t>
      </w:r>
      <w:r>
        <w:t>hladký přechod</w:t>
      </w:r>
      <w:r w:rsidR="00E55299">
        <w:t xml:space="preserve"> k </w:t>
      </w:r>
      <w:r>
        <w:t>novým pravidlům. Nejvýznamnější závěry</w:t>
      </w:r>
      <w:r w:rsidR="00E55299">
        <w:t xml:space="preserve"> a </w:t>
      </w:r>
      <w:r>
        <w:t>poznatky</w:t>
      </w:r>
      <w:r w:rsidR="00E55299">
        <w:t xml:space="preserve"> ze </w:t>
      </w:r>
      <w:r>
        <w:t>své činnosti úřad zveřejňuje. Struktura důležitých dokumentů úřadu je ustálená</w:t>
      </w:r>
      <w:r w:rsidR="00E55299">
        <w:t xml:space="preserve"> a </w:t>
      </w:r>
      <w:r>
        <w:t>přehledná, aby se</w:t>
      </w:r>
      <w:r w:rsidR="00E55299">
        <w:t xml:space="preserve"> v </w:t>
      </w:r>
      <w:r>
        <w:t>nich osoby mohly snadno orientovat.</w:t>
      </w:r>
    </w:p>
    <w:p w:rsidR="0009079A" w:rsidRDefault="0009079A" w:rsidP="0009079A">
      <w:pPr>
        <w:pStyle w:val="Nadpis2"/>
      </w:pPr>
      <w:r>
        <w:t>5. Přesvědčivost</w:t>
      </w:r>
    </w:p>
    <w:p w:rsidR="0009079A" w:rsidRDefault="0009079A" w:rsidP="0009079A">
      <w:pPr>
        <w:pStyle w:val="Zkladntext"/>
      </w:pPr>
      <w:r>
        <w:t>Úředník</w:t>
      </w:r>
      <w:r w:rsidR="00E55299">
        <w:t xml:space="preserve"> při </w:t>
      </w:r>
      <w:r>
        <w:t>řízení poskytuje osobě přiměřené informace</w:t>
      </w:r>
      <w:r w:rsidR="00E55299">
        <w:t xml:space="preserve"> o </w:t>
      </w:r>
      <w:r>
        <w:t>zjištěných skutečnostech</w:t>
      </w:r>
      <w:r w:rsidR="00E55299">
        <w:t xml:space="preserve"> a o </w:t>
      </w:r>
      <w:r>
        <w:t>jejích povinnostech vůči úřadu</w:t>
      </w:r>
      <w:r w:rsidR="00E55299">
        <w:t xml:space="preserve"> a </w:t>
      </w:r>
      <w:r>
        <w:t>informuje ji</w:t>
      </w:r>
      <w:r w:rsidR="00E55299">
        <w:t xml:space="preserve"> o </w:t>
      </w:r>
      <w:r>
        <w:t>postupu úřadu tak, aby osoba plně pochopila účel řízení, orientovala se</w:t>
      </w:r>
      <w:r w:rsidR="00E55299">
        <w:t xml:space="preserve"> v </w:t>
      </w:r>
      <w:r>
        <w:t>jeho průběhu</w:t>
      </w:r>
      <w:r w:rsidR="00E55299">
        <w:t xml:space="preserve"> a </w:t>
      </w:r>
      <w:r>
        <w:t>mohla využívat svá procesní práva. Úředník se snaží podávat přesné informace takovým způsobem, aby nikoho neuvedl</w:t>
      </w:r>
      <w:r w:rsidR="00E55299">
        <w:t xml:space="preserve"> v </w:t>
      </w:r>
      <w:r>
        <w:t>omyl.</w:t>
      </w:r>
      <w:r w:rsidR="00E55299">
        <w:t xml:space="preserve"> Při </w:t>
      </w:r>
      <w:r>
        <w:t>komunikaci</w:t>
      </w:r>
      <w:r w:rsidR="00E55299">
        <w:t xml:space="preserve"> s </w:t>
      </w:r>
      <w:r>
        <w:t>osobou přihlíží</w:t>
      </w:r>
      <w:r w:rsidR="00E55299">
        <w:t xml:space="preserve"> k </w:t>
      </w:r>
      <w:r>
        <w:t>jejím dorozumívacím</w:t>
      </w:r>
      <w:r w:rsidR="00E55299">
        <w:t xml:space="preserve"> a </w:t>
      </w:r>
      <w:r>
        <w:t>intelektuálním schopnostem</w:t>
      </w:r>
      <w:r w:rsidR="00E55299">
        <w:t xml:space="preserve"> a </w:t>
      </w:r>
      <w:r>
        <w:t>snaží se všechny její dotazy řádně zodpovědět. Úřední dokumenty určené osobám jsou psány jednoduchým</w:t>
      </w:r>
      <w:r w:rsidR="00E55299">
        <w:t xml:space="preserve"> a </w:t>
      </w:r>
      <w:r w:rsidR="00FD6C3B">
        <w:t>jasným jazykem, aby </w:t>
      </w:r>
      <w:r>
        <w:t>jim osoby snadno porozuměly.</w:t>
      </w:r>
    </w:p>
    <w:p w:rsidR="0009079A" w:rsidRDefault="0009079A" w:rsidP="0009079A">
      <w:pPr>
        <w:pStyle w:val="Zkladntext"/>
      </w:pPr>
      <w:r>
        <w:t>Písemné odůvodnění rozhodnutí úřadu je přehledné, srozumitelné</w:t>
      </w:r>
      <w:r w:rsidR="00E55299">
        <w:t xml:space="preserve"> a </w:t>
      </w:r>
      <w:r>
        <w:t>jednoznačné. Úřad poučí osobu</w:t>
      </w:r>
      <w:r w:rsidR="00E55299">
        <w:t xml:space="preserve"> o </w:t>
      </w:r>
      <w:r>
        <w:t>možnosti použití opravných prostředků proti svému rozhodnutí,</w:t>
      </w:r>
      <w:r w:rsidR="00E55299">
        <w:t xml:space="preserve"> a </w:t>
      </w:r>
      <w:r>
        <w:t>to včetně soudního přezkumu. Úřad vždy podnikne účinné kroky</w:t>
      </w:r>
      <w:r w:rsidR="00E55299">
        <w:t xml:space="preserve"> k </w:t>
      </w:r>
      <w:r>
        <w:t>tomu, aby se osoba, jíž se rozhodnutí týká,</w:t>
      </w:r>
      <w:r w:rsidR="00E55299">
        <w:t xml:space="preserve"> o </w:t>
      </w:r>
      <w:r>
        <w:t>něm dozvěděla. Úřad také poctivým způsobem informuje veřejnost</w:t>
      </w:r>
      <w:r w:rsidR="00E55299">
        <w:t xml:space="preserve"> o </w:t>
      </w:r>
      <w:r>
        <w:t>přípravě rozhodnutí obecného dosahu</w:t>
      </w:r>
      <w:r w:rsidR="00E55299">
        <w:t xml:space="preserve"> a </w:t>
      </w:r>
      <w:r>
        <w:t>dá jí možnost vyjádřit se</w:t>
      </w:r>
      <w:r w:rsidR="00E55299">
        <w:t xml:space="preserve"> k </w:t>
      </w:r>
      <w:r>
        <w:t>jeho obsahu.</w:t>
      </w:r>
    </w:p>
    <w:p w:rsidR="0009079A" w:rsidRDefault="0009079A" w:rsidP="0009079A">
      <w:pPr>
        <w:pStyle w:val="Nadpis2"/>
      </w:pPr>
      <w:r>
        <w:t>6. Přiměřenost</w:t>
      </w:r>
    </w:p>
    <w:p w:rsidR="0009079A" w:rsidRDefault="0009079A" w:rsidP="0009079A">
      <w:pPr>
        <w:pStyle w:val="Zkladntext"/>
      </w:pPr>
      <w:r>
        <w:t>Úřad zasahuje</w:t>
      </w:r>
      <w:r w:rsidR="00E55299">
        <w:t xml:space="preserve"> do </w:t>
      </w:r>
      <w:r>
        <w:t>práv</w:t>
      </w:r>
      <w:r w:rsidR="00E55299">
        <w:t xml:space="preserve"> a </w:t>
      </w:r>
      <w:r>
        <w:t>oprávněných zájmů osob jen tam, kde je to nutné</w:t>
      </w:r>
      <w:r w:rsidR="00E55299">
        <w:t xml:space="preserve"> k </w:t>
      </w:r>
      <w:r>
        <w:t>dosažení účelu řízení</w:t>
      </w:r>
      <w:r w:rsidR="00E55299">
        <w:t xml:space="preserve"> a </w:t>
      </w:r>
      <w:r>
        <w:t>pouze</w:t>
      </w:r>
      <w:r w:rsidR="00E55299">
        <w:t xml:space="preserve"> v </w:t>
      </w:r>
      <w:r>
        <w:t>nezbytné míře. Úřad zohledňuje</w:t>
      </w:r>
      <w:r w:rsidR="00E55299">
        <w:t xml:space="preserve"> při </w:t>
      </w:r>
      <w:r>
        <w:t>uplatňování svých pravomocí mimořádnou situaci určité osoby tak, aby jeho postup vůči ní nebyl nepřiměřeně tvrdý.</w:t>
      </w:r>
      <w:r w:rsidR="00E55299">
        <w:t xml:space="preserve"> Po </w:t>
      </w:r>
      <w:r>
        <w:t>osobách požaduje pouze takovou míru součinnosti, která je</w:t>
      </w:r>
      <w:r w:rsidR="00E55299">
        <w:t xml:space="preserve"> k </w:t>
      </w:r>
      <w:r>
        <w:t>dosažení účelu řízení nezbytná.</w:t>
      </w:r>
      <w:r w:rsidR="00E55299">
        <w:t xml:space="preserve"> Ke </w:t>
      </w:r>
      <w:r>
        <w:t>splnění uložených povinností stanovuje osobám</w:t>
      </w:r>
      <w:r w:rsidR="00E55299">
        <w:t xml:space="preserve"> s </w:t>
      </w:r>
      <w:r>
        <w:t>ohledem</w:t>
      </w:r>
      <w:r w:rsidR="00E55299">
        <w:t xml:space="preserve"> na </w:t>
      </w:r>
      <w:r>
        <w:t>jejich osobní poměry přiměřenou lhůtu zahrnující</w:t>
      </w:r>
      <w:r w:rsidR="00E55299">
        <w:t xml:space="preserve"> i </w:t>
      </w:r>
      <w:r>
        <w:t>čas potřebný</w:t>
      </w:r>
      <w:r w:rsidR="00E55299">
        <w:t xml:space="preserve"> na </w:t>
      </w:r>
      <w:r>
        <w:t>přípravu</w:t>
      </w:r>
      <w:r w:rsidR="00E55299">
        <w:t xml:space="preserve"> k </w:t>
      </w:r>
      <w:r>
        <w:t>plnění nově uložených povinností.</w:t>
      </w:r>
      <w:r w:rsidR="00E55299">
        <w:t xml:space="preserve"> V </w:t>
      </w:r>
      <w:r>
        <w:t>zájmu racionality výkonu správy uplatňuje úřad zákony způsobem, který nevede</w:t>
      </w:r>
      <w:r w:rsidR="00E55299">
        <w:t xml:space="preserve"> k </w:t>
      </w:r>
      <w:r>
        <w:t>absurdním výsledkům</w:t>
      </w:r>
      <w:r w:rsidR="00E55299">
        <w:t xml:space="preserve"> a </w:t>
      </w:r>
      <w:r>
        <w:t>odpovídá cílům sledovaným zákonodárcem.</w:t>
      </w:r>
    </w:p>
    <w:p w:rsidR="0009079A" w:rsidRDefault="0009079A" w:rsidP="0009079A">
      <w:pPr>
        <w:pStyle w:val="Nadpis2"/>
      </w:pPr>
      <w:r>
        <w:t>7. Efektivnost</w:t>
      </w:r>
    </w:p>
    <w:p w:rsidR="0009079A" w:rsidRDefault="0009079A" w:rsidP="0009079A">
      <w:pPr>
        <w:pStyle w:val="Zkladntext"/>
      </w:pPr>
      <w:r>
        <w:t>Úřad usiluje</w:t>
      </w:r>
      <w:r w:rsidR="00E55299">
        <w:t xml:space="preserve"> o </w:t>
      </w:r>
      <w:r>
        <w:t>komplexní řešení věci. Jestliže některý odbor nebo organizační jednotka úřadu obdrží</w:t>
      </w:r>
      <w:r w:rsidR="00E55299">
        <w:t xml:space="preserve"> od </w:t>
      </w:r>
      <w:r>
        <w:t>osoby podání, které jí nepřísluší řešit, postoupí toto podání věcně příslušné části úřadu</w:t>
      </w:r>
      <w:r w:rsidR="00E55299">
        <w:t xml:space="preserve"> a </w:t>
      </w:r>
      <w:r>
        <w:t>osobu</w:t>
      </w:r>
      <w:r w:rsidR="00E55299">
        <w:t xml:space="preserve"> o </w:t>
      </w:r>
      <w:r>
        <w:t>tom informuje. Pokud věc řeší souběžně několik odborů nebo organizačních jednotek téhož úřadu nebo několik různých úřadů, zjišťují vzájemně informace</w:t>
      </w:r>
      <w:r w:rsidR="00E55299">
        <w:t xml:space="preserve"> o </w:t>
      </w:r>
      <w:r>
        <w:t>svém postupu, předávají si je</w:t>
      </w:r>
      <w:r w:rsidR="00E55299">
        <w:t xml:space="preserve"> a </w:t>
      </w:r>
      <w:r>
        <w:t>společně tento postup koordinují. Každý úřad je</w:t>
      </w:r>
      <w:r w:rsidR="00E55299">
        <w:t xml:space="preserve"> ve </w:t>
      </w:r>
      <w:r>
        <w:t>své činnosti důsledný</w:t>
      </w:r>
      <w:r w:rsidR="00E55299">
        <w:t xml:space="preserve"> a </w:t>
      </w:r>
      <w:r>
        <w:t>usiluje</w:t>
      </w:r>
      <w:r w:rsidR="00E55299">
        <w:t xml:space="preserve"> o </w:t>
      </w:r>
      <w:r>
        <w:t>skutečné, nikoliv pouze formální vyřešení celé věci. Činí proto účelné kroky</w:t>
      </w:r>
      <w:r w:rsidR="00E55299">
        <w:t xml:space="preserve"> k </w:t>
      </w:r>
      <w:r>
        <w:t>realizaci svých rozhodnutí</w:t>
      </w:r>
      <w:r w:rsidR="00E55299">
        <w:t xml:space="preserve"> v </w:t>
      </w:r>
      <w:r>
        <w:t>praxi</w:t>
      </w:r>
      <w:r w:rsidR="00E55299">
        <w:t xml:space="preserve"> a </w:t>
      </w:r>
      <w:r>
        <w:t>provádí</w:t>
      </w:r>
      <w:r w:rsidR="00E55299">
        <w:t xml:space="preserve"> i </w:t>
      </w:r>
      <w:r>
        <w:t>následnou kontrolu jejich naplňování.</w:t>
      </w:r>
    </w:p>
    <w:p w:rsidR="0009079A" w:rsidRDefault="0009079A" w:rsidP="0009079A">
      <w:pPr>
        <w:pStyle w:val="Nadpis2"/>
      </w:pPr>
      <w:r>
        <w:lastRenderedPageBreak/>
        <w:t>8. Odpovědnost</w:t>
      </w:r>
    </w:p>
    <w:p w:rsidR="0009079A" w:rsidRDefault="0009079A" w:rsidP="0009079A">
      <w:pPr>
        <w:pStyle w:val="Zkladntext"/>
      </w:pPr>
      <w:r>
        <w:t>Úřad se nevyhýbá posouzení otázky nebo přijetí rozhodnutí</w:t>
      </w:r>
      <w:r w:rsidR="00E55299">
        <w:t xml:space="preserve"> ve </w:t>
      </w:r>
      <w:r>
        <w:t>věci, která spadá</w:t>
      </w:r>
      <w:r w:rsidR="00E55299">
        <w:t xml:space="preserve"> do </w:t>
      </w:r>
      <w:r>
        <w:t>jeho působnosti.</w:t>
      </w:r>
      <w:r w:rsidR="00E55299">
        <w:t xml:space="preserve"> V </w:t>
      </w:r>
      <w:r>
        <w:t>případě, že úřad udělá chybu, jasně</w:t>
      </w:r>
      <w:r w:rsidR="00E55299">
        <w:t xml:space="preserve"> a </w:t>
      </w:r>
      <w:r>
        <w:t>výslovně tuto chybu přizná, písemně se</w:t>
      </w:r>
      <w:r w:rsidR="00E55299">
        <w:t xml:space="preserve"> za </w:t>
      </w:r>
      <w:r>
        <w:t>ni osobě omluví</w:t>
      </w:r>
      <w:r w:rsidR="00E55299">
        <w:t xml:space="preserve"> a </w:t>
      </w:r>
      <w:r>
        <w:t>neodkladně přijme účinná opatření</w:t>
      </w:r>
      <w:r w:rsidR="00E55299">
        <w:t xml:space="preserve"> k </w:t>
      </w:r>
      <w:r>
        <w:t>nápravě, popřípadě osobu poučí</w:t>
      </w:r>
      <w:r w:rsidR="00E55299">
        <w:t xml:space="preserve"> o </w:t>
      </w:r>
      <w:r>
        <w:t>možnosti žádat</w:t>
      </w:r>
      <w:r w:rsidR="00E55299">
        <w:t xml:space="preserve"> o </w:t>
      </w:r>
      <w:r>
        <w:t>náhradu škody způsobené nesprávným úředním postupem.</w:t>
      </w:r>
    </w:p>
    <w:p w:rsidR="0009079A" w:rsidRDefault="0009079A" w:rsidP="0009079A">
      <w:pPr>
        <w:pStyle w:val="Zkladntext"/>
      </w:pPr>
      <w:r>
        <w:t>Úředník vynakládá veřejné zdroje pouze</w:t>
      </w:r>
      <w:r w:rsidR="00E55299">
        <w:t xml:space="preserve"> v </w:t>
      </w:r>
      <w:r>
        <w:t>takovém rozsahu, který je nezbytný</w:t>
      </w:r>
      <w:r w:rsidR="00E55299">
        <w:t xml:space="preserve"> k </w:t>
      </w:r>
      <w:r>
        <w:t>dosažení účelu řízení.</w:t>
      </w:r>
      <w:r w:rsidR="00E55299">
        <w:t xml:space="preserve"> Při </w:t>
      </w:r>
      <w:r>
        <w:t>své činnosti se snaží předcházet škodám</w:t>
      </w:r>
      <w:r w:rsidR="00E55299">
        <w:t xml:space="preserve"> na </w:t>
      </w:r>
      <w:r>
        <w:t>zdraví</w:t>
      </w:r>
      <w:r w:rsidR="00E55299">
        <w:t xml:space="preserve"> a </w:t>
      </w:r>
      <w:r>
        <w:t>majetku osob</w:t>
      </w:r>
      <w:r w:rsidR="00E55299">
        <w:t xml:space="preserve"> i </w:t>
      </w:r>
      <w:r>
        <w:t>státu</w:t>
      </w:r>
      <w:r w:rsidR="00E55299">
        <w:t xml:space="preserve"> a na </w:t>
      </w:r>
      <w:r>
        <w:t>veřejných statcích.</w:t>
      </w:r>
      <w:r w:rsidR="00E55299">
        <w:t xml:space="preserve"> S </w:t>
      </w:r>
      <w:r>
        <w:t>informacemi získanými</w:t>
      </w:r>
      <w:r w:rsidR="00E55299">
        <w:t xml:space="preserve"> při </w:t>
      </w:r>
      <w:r>
        <w:t>výkonu veřejné správy nakládá citlivě</w:t>
      </w:r>
      <w:r w:rsidR="00E55299">
        <w:t xml:space="preserve"> a </w:t>
      </w:r>
      <w:r>
        <w:t>poskytuje jim náležitou ochranu, přičemž bere ohled</w:t>
      </w:r>
      <w:r w:rsidR="00E55299">
        <w:t xml:space="preserve"> na </w:t>
      </w:r>
      <w:r>
        <w:t>soukromí</w:t>
      </w:r>
      <w:r w:rsidR="00E55299">
        <w:t xml:space="preserve"> a </w:t>
      </w:r>
      <w:r>
        <w:t>rodinný život osob.</w:t>
      </w:r>
    </w:p>
    <w:p w:rsidR="0009079A" w:rsidRDefault="0009079A" w:rsidP="0009079A">
      <w:pPr>
        <w:pStyle w:val="Nadpis2"/>
      </w:pPr>
      <w:r>
        <w:t>9. Otevřenost</w:t>
      </w:r>
    </w:p>
    <w:p w:rsidR="0009079A" w:rsidRDefault="0009079A" w:rsidP="0009079A">
      <w:pPr>
        <w:pStyle w:val="Zkladntext"/>
      </w:pPr>
      <w:r>
        <w:t>Úřad umožní osobám nahlížet</w:t>
      </w:r>
      <w:r w:rsidR="00E55299">
        <w:t xml:space="preserve"> do </w:t>
      </w:r>
      <w:r>
        <w:t>všech úředních dokumentů</w:t>
      </w:r>
      <w:r w:rsidR="00E55299">
        <w:t xml:space="preserve"> a </w:t>
      </w:r>
      <w:r>
        <w:t>pořizovat si jejich kopie. Úřad pečlivě dodržuje spisový pořádek, takže je schopen jednotlivé dokumenty vyhledat. Přístup osob</w:t>
      </w:r>
      <w:r w:rsidR="00E55299">
        <w:t xml:space="preserve"> k </w:t>
      </w:r>
      <w:r>
        <w:t>úředním dokumentům omezí úřad pouze</w:t>
      </w:r>
      <w:r w:rsidR="00E55299">
        <w:t xml:space="preserve"> do </w:t>
      </w:r>
      <w:r>
        <w:t>té míry, jakou vyžaduje ochrana osobních údajů, soukromí, oprávněných zájmů jiných osob, utajovaných informací, obchodních tajemství nebo jiné zákonné limity. Poplatek</w:t>
      </w:r>
      <w:r w:rsidR="00E55299">
        <w:t xml:space="preserve"> za </w:t>
      </w:r>
      <w:r>
        <w:t>zpřístupnění úředních dokumentů či pořízení jejich kopií stanovuje úřad tak, aby tím nezabraňoval osobám</w:t>
      </w:r>
      <w:r w:rsidR="00E55299">
        <w:t xml:space="preserve"> v </w:t>
      </w:r>
      <w:r>
        <w:t>získání informací</w:t>
      </w:r>
      <w:r w:rsidR="00E55299">
        <w:t xml:space="preserve"> o </w:t>
      </w:r>
      <w:r>
        <w:t>činnosti úřadu.</w:t>
      </w:r>
    </w:p>
    <w:p w:rsidR="0009079A" w:rsidRDefault="0009079A" w:rsidP="0009079A">
      <w:pPr>
        <w:pStyle w:val="Zkladntext"/>
      </w:pPr>
      <w:r>
        <w:t>Při styku</w:t>
      </w:r>
      <w:r w:rsidR="00E55299">
        <w:t xml:space="preserve"> s </w:t>
      </w:r>
      <w:r>
        <w:t>osobami uvádí úředník, který věc vyřizuje, své jméno, funkci</w:t>
      </w:r>
      <w:r w:rsidR="00E55299">
        <w:t xml:space="preserve"> a </w:t>
      </w:r>
      <w:r w:rsidR="00F523B4">
        <w:t>telefonický či e</w:t>
      </w:r>
      <w:r w:rsidR="00F523B4">
        <w:noBreakHyphen/>
      </w:r>
      <w:r>
        <w:t>mailov</w:t>
      </w:r>
      <w:r>
        <w:rPr>
          <w:rFonts w:ascii="Calibri" w:hAnsi="Calibri" w:cs="Calibri"/>
        </w:rPr>
        <w:t>ý</w:t>
      </w:r>
      <w:r>
        <w:t xml:space="preserve"> kontakt. Tyto </w:t>
      </w:r>
      <w:r>
        <w:rPr>
          <w:rFonts w:ascii="Calibri" w:hAnsi="Calibri" w:cs="Calibri"/>
        </w:rPr>
        <w:t>ú</w:t>
      </w:r>
      <w:r>
        <w:t>daje jsou uvedeny</w:t>
      </w:r>
      <w:r w:rsidR="00E55299">
        <w:t xml:space="preserve"> i na </w:t>
      </w:r>
      <w:r>
        <w:t>v</w:t>
      </w:r>
      <w:r>
        <w:rPr>
          <w:rFonts w:ascii="Calibri" w:hAnsi="Calibri" w:cs="Calibri"/>
        </w:rPr>
        <w:t>š</w:t>
      </w:r>
      <w:r>
        <w:t>ech dokumentech</w:t>
      </w:r>
      <w:r w:rsidR="00E55299">
        <w:t xml:space="preserve"> a na </w:t>
      </w:r>
      <w:r>
        <w:t>internetov</w:t>
      </w:r>
      <w:r>
        <w:rPr>
          <w:rFonts w:ascii="Calibri" w:hAnsi="Calibri" w:cs="Calibri"/>
        </w:rPr>
        <w:t>ý</w:t>
      </w:r>
      <w:r>
        <w:t>ch str</w:t>
      </w:r>
      <w:r>
        <w:rPr>
          <w:rFonts w:ascii="Calibri" w:hAnsi="Calibri" w:cs="Calibri"/>
        </w:rPr>
        <w:t>á</w:t>
      </w:r>
      <w:r>
        <w:t>nk</w:t>
      </w:r>
      <w:r>
        <w:rPr>
          <w:rFonts w:ascii="Calibri" w:hAnsi="Calibri" w:cs="Calibri"/>
        </w:rPr>
        <w:t>á</w:t>
      </w:r>
      <w:r>
        <w:t xml:space="preserve">ch </w:t>
      </w:r>
      <w:r>
        <w:rPr>
          <w:rFonts w:ascii="Calibri" w:hAnsi="Calibri" w:cs="Calibri"/>
        </w:rPr>
        <w:t>úř</w:t>
      </w:r>
      <w:r>
        <w:t xml:space="preserve">adu. Budova </w:t>
      </w:r>
      <w:r>
        <w:rPr>
          <w:rFonts w:ascii="Calibri" w:hAnsi="Calibri" w:cs="Calibri"/>
        </w:rPr>
        <w:t>úř</w:t>
      </w:r>
      <w:r>
        <w:t>adu je vybavena informa</w:t>
      </w:r>
      <w:r>
        <w:rPr>
          <w:rFonts w:ascii="Calibri" w:hAnsi="Calibri" w:cs="Calibri"/>
        </w:rPr>
        <w:t>č</w:t>
      </w:r>
      <w:r>
        <w:t>ním systémem, který zaručuje snadnou orientaci osob</w:t>
      </w:r>
      <w:r w:rsidR="00E55299">
        <w:t xml:space="preserve"> </w:t>
      </w:r>
      <w:bookmarkStart w:id="0" w:name="_GoBack"/>
      <w:bookmarkEnd w:id="0"/>
      <w:r w:rsidR="00E55299">
        <w:t>a </w:t>
      </w:r>
      <w:r>
        <w:t>možnost identifikace úředníků</w:t>
      </w:r>
      <w:r w:rsidR="00E55299">
        <w:t xml:space="preserve"> na </w:t>
      </w:r>
      <w:r>
        <w:t>jejich pracovištích. Úřední deska je umístěna</w:t>
      </w:r>
      <w:r w:rsidR="00E55299">
        <w:t xml:space="preserve"> na </w:t>
      </w:r>
      <w:r>
        <w:t>viditelném místě, je zřetelně označena</w:t>
      </w:r>
      <w:r w:rsidR="00E55299">
        <w:t xml:space="preserve"> a </w:t>
      </w:r>
      <w:r>
        <w:t>přehledně členěna.</w:t>
      </w:r>
    </w:p>
    <w:p w:rsidR="0009079A" w:rsidRDefault="0009079A" w:rsidP="0009079A">
      <w:pPr>
        <w:pStyle w:val="Nadpis2"/>
      </w:pPr>
      <w:r>
        <w:t>10. Vstřícnost</w:t>
      </w:r>
    </w:p>
    <w:p w:rsidR="00922FAB" w:rsidRDefault="0009079A" w:rsidP="0009079A">
      <w:pPr>
        <w:pStyle w:val="Zkladntext"/>
      </w:pPr>
      <w:r>
        <w:t>Úředník se chová</w:t>
      </w:r>
      <w:r w:rsidR="00E55299">
        <w:t xml:space="preserve"> k </w:t>
      </w:r>
      <w:r>
        <w:t>osobám</w:t>
      </w:r>
      <w:r w:rsidR="00E55299">
        <w:t xml:space="preserve"> s </w:t>
      </w:r>
      <w:r>
        <w:t>respektem</w:t>
      </w:r>
      <w:r w:rsidR="00E55299">
        <w:t xml:space="preserve"> a </w:t>
      </w:r>
      <w:r>
        <w:t>zdvořilostí</w:t>
      </w:r>
      <w:r w:rsidR="00E55299">
        <w:t xml:space="preserve"> a </w:t>
      </w:r>
      <w:r>
        <w:t>je korektní vůči jiným úředníkům. Všem sdělením věnuje náležitou pozornost</w:t>
      </w:r>
      <w:r w:rsidR="00E55299">
        <w:t xml:space="preserve"> a na </w:t>
      </w:r>
      <w:r>
        <w:t>všechna podání řádně odpovídá,</w:t>
      </w:r>
      <w:r w:rsidR="00E55299">
        <w:t xml:space="preserve"> s </w:t>
      </w:r>
      <w:r>
        <w:t>výjimkou podání anonymních</w:t>
      </w:r>
      <w:r w:rsidR="00E55299">
        <w:t xml:space="preserve"> a </w:t>
      </w:r>
      <w:r>
        <w:t>opakujících se.</w:t>
      </w:r>
      <w:r w:rsidR="00E55299">
        <w:t xml:space="preserve"> V </w:t>
      </w:r>
      <w:r>
        <w:t>rámci svých možností se snaží osobě pomoci dosáhnout cíle, který sleduje svým podáním. Úředník</w:t>
      </w:r>
      <w:r w:rsidR="00E55299">
        <w:t xml:space="preserve"> za </w:t>
      </w:r>
      <w:r>
        <w:t>žádných okolností nenarušuje lidskou důstojnost osob, neboť si je vědom toho, že náplní jeho práce je služba veřejnosti.</w:t>
      </w:r>
    </w:p>
    <w:sectPr w:rsidR="00922FAB" w:rsidSect="008548BE">
      <w:footerReference w:type="default" r:id="rId13"/>
      <w:headerReference w:type="first" r:id="rId14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9A" w:rsidRDefault="0009079A" w:rsidP="009179BD">
      <w:r>
        <w:separator/>
      </w:r>
    </w:p>
  </w:endnote>
  <w:endnote w:type="continuationSeparator" w:id="0">
    <w:p w:rsidR="0009079A" w:rsidRDefault="0009079A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3B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9A" w:rsidRDefault="0009079A" w:rsidP="009179BD">
      <w:r>
        <w:separator/>
      </w:r>
    </w:p>
  </w:footnote>
  <w:footnote w:type="continuationSeparator" w:id="0">
    <w:p w:rsidR="0009079A" w:rsidRDefault="0009079A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B7D" w:rsidRDefault="0009079A" w:rsidP="008548BE">
    <w:pPr>
      <w:pStyle w:val="Nadpis1"/>
    </w:pPr>
    <w:r w:rsidRPr="0009079A">
      <w:t>Principy dobré správy</w:t>
    </w:r>
    <w:r w:rsidR="008548BE" w:rsidRPr="00974E0C"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0BFBB4BE" wp14:editId="21F47D99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1"/>
  </w:num>
  <w:num w:numId="31">
    <w:abstractNumId w:val="22"/>
  </w:num>
  <w:num w:numId="32">
    <w:abstractNumId w:val="20"/>
  </w:num>
  <w:num w:numId="3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9A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079A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2C8C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9662D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573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299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4A06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DA4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3B4"/>
    <w:rsid w:val="00F526D1"/>
    <w:rsid w:val="00F5281B"/>
    <w:rsid w:val="00F52ECE"/>
    <w:rsid w:val="00F54970"/>
    <w:rsid w:val="00F55B6F"/>
    <w:rsid w:val="00F57B3B"/>
    <w:rsid w:val="00F60985"/>
    <w:rsid w:val="00F64209"/>
    <w:rsid w:val="00F64AA4"/>
    <w:rsid w:val="00F705A4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3B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984FD"/>
  <w15:chartTrackingRefBased/>
  <w15:docId w15:val="{EAC72FCC-B08D-4E46-9C86-58284DF0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chrance.cz/dokument/2010/Souhrnna_zprava_VOP_2006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chrance.cz/dokument/principy_d_spravy_konferenc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ekce%20pr&#225;vn&#237;\pr&#225;ce%20se%20spisem\&#353;ablony%202018\07_let&#225;ky\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03762-7343-4A3A-9208-D789774F8847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aea5b64-986d-4ed0-9f25-146f1d978e98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FA0147F-107E-49D1-A5E7-FDEF2830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63</TotalTime>
  <Pages>3</Pages>
  <Words>1249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 Mgr.</cp:lastModifiedBy>
  <cp:revision>6</cp:revision>
  <cp:lastPrinted>2021-03-25T08:44:00Z</cp:lastPrinted>
  <dcterms:created xsi:type="dcterms:W3CDTF">2021-03-25T07:58:00Z</dcterms:created>
  <dcterms:modified xsi:type="dcterms:W3CDTF">2021-03-25T09:01:00Z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