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C2A61" w14:textId="77777777" w:rsidR="00DD7630" w:rsidRDefault="00132DB7" w:rsidP="009E2B63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44A290B2" w14:textId="7BEDF936" w:rsidR="00BA32DD" w:rsidRPr="00484E85" w:rsidRDefault="00DD7630" w:rsidP="009E2B63">
      <w:pPr>
        <w:pStyle w:val="Nadpis1"/>
      </w:pPr>
      <w:r>
        <w:t xml:space="preserve">k </w:t>
      </w:r>
      <w:r w:rsidR="00832134">
        <w:t>deinstitucionalizaci a právu na nezávislý život (článek 19 Úmluvy o právech osob se zdravotním postižením)</w:t>
      </w:r>
    </w:p>
    <w:p w14:paraId="2B95E51E" w14:textId="3895938E" w:rsidR="003D3883" w:rsidRPr="00484E85" w:rsidRDefault="00DD7630" w:rsidP="009E2B63">
      <w:pPr>
        <w:pStyle w:val="Zkladntext"/>
        <w:jc w:val="left"/>
      </w:pPr>
      <w:r>
        <w:t>z</w:t>
      </w:r>
      <w:r w:rsidR="009E2B63">
        <w:t> </w:t>
      </w:r>
      <w:r w:rsidR="00832134">
        <w:t>11</w:t>
      </w:r>
      <w:r w:rsidR="009E2B63">
        <w:t xml:space="preserve">. </w:t>
      </w:r>
      <w:r w:rsidR="00832134">
        <w:t>ledna</w:t>
      </w:r>
      <w:r>
        <w:t xml:space="preserve"> 2023 (</w:t>
      </w:r>
      <w:r w:rsidR="00832134">
        <w:t>10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30836B51" w14:textId="77777777" w:rsidR="003D3883" w:rsidRPr="00DD7630" w:rsidRDefault="00484E85" w:rsidP="009E2B63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1A811602" w14:textId="0220D430" w:rsidR="00832134" w:rsidRDefault="00832134" w:rsidP="009E2B63">
      <w:pPr>
        <w:pStyle w:val="Zkladntext"/>
        <w:jc w:val="left"/>
      </w:pPr>
      <w:r>
        <w:rPr>
          <w:rStyle w:val="Siln"/>
        </w:rPr>
        <w:t xml:space="preserve">zdůrazňuje, </w:t>
      </w:r>
      <w:r w:rsidRPr="005D4AD0">
        <w:rPr>
          <w:rStyle w:val="Siln"/>
          <w:b w:val="0"/>
        </w:rPr>
        <w:t xml:space="preserve">že </w:t>
      </w:r>
      <w:r>
        <w:rPr>
          <w:rStyle w:val="Siln"/>
          <w:b w:val="0"/>
        </w:rPr>
        <w:t>připomíná</w:t>
      </w:r>
      <w:r>
        <w:rPr>
          <w:rStyle w:val="Siln"/>
        </w:rPr>
        <w:t xml:space="preserve"> </w:t>
      </w:r>
      <w:r w:rsidRPr="00D55D04">
        <w:rPr>
          <w:rStyle w:val="Siln"/>
          <w:b w:val="0"/>
        </w:rPr>
        <w:t>závazky plynoucí s</w:t>
      </w:r>
      <w:r>
        <w:rPr>
          <w:rStyle w:val="Siln"/>
          <w:b w:val="0"/>
        </w:rPr>
        <w:t xml:space="preserve">tátu z článku 19 </w:t>
      </w:r>
      <w:r>
        <w:t>Úmluvy o právech osob se zdravotním postižením</w:t>
      </w:r>
      <w:r>
        <w:rPr>
          <w:rStyle w:val="Znakapoznpodarou"/>
        </w:rPr>
        <w:footnoteReference w:id="3"/>
      </w:r>
      <w:r>
        <w:t xml:space="preserve"> (dále „Úmluva“), který uznává rovné právo všech lidí s postižením žít nezávisle a být začleněn do komunity, společně se svobodou volby a kontrolou svých životů,</w:t>
      </w:r>
    </w:p>
    <w:p w14:paraId="1B234BA9" w14:textId="15B7F4B7" w:rsidR="00C27C14" w:rsidRDefault="00832134" w:rsidP="009E2B63">
      <w:pPr>
        <w:pStyle w:val="Zkladntext"/>
        <w:jc w:val="left"/>
      </w:pPr>
      <w:r>
        <w:rPr>
          <w:rStyle w:val="Siln"/>
        </w:rPr>
        <w:t>je si vědom</w:t>
      </w:r>
      <w:r w:rsidR="00C27C14">
        <w:t xml:space="preserve"> </w:t>
      </w:r>
      <w:r>
        <w:t>toho, že mezinárodní právo lidských práv zakládá jednak závazky okamžité povahy, ale také jiné, které mohou být plněny postupně, přičemž plná realizace vyžaduje strukturální změny, u nichž může být nezbytné přijímat je ve fázích,</w:t>
      </w:r>
    </w:p>
    <w:p w14:paraId="4943F11C" w14:textId="68E2E841" w:rsidR="00832134" w:rsidRDefault="00DD3CB7" w:rsidP="009E2B63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oceňuje</w:t>
      </w:r>
      <w:r w:rsidR="002B7852">
        <w:t xml:space="preserve"> </w:t>
      </w:r>
      <w:bookmarkStart w:id="0" w:name="_GoBack"/>
      <w:bookmarkEnd w:id="0"/>
      <w:r w:rsidR="00832134">
        <w:t>dosavadní kroky ve prospěch deinstitucionalizace, které stát v této oblasti již učinil,</w:t>
      </w:r>
    </w:p>
    <w:p w14:paraId="40DD4CFE" w14:textId="27A295AE" w:rsidR="00DD3CB7" w:rsidRDefault="00832134" w:rsidP="009E2B63">
      <w:pPr>
        <w:pStyle w:val="Zkladntext"/>
        <w:jc w:val="left"/>
      </w:pPr>
      <w:r>
        <w:rPr>
          <w:rStyle w:val="Siln"/>
        </w:rPr>
        <w:t>považuje</w:t>
      </w:r>
      <w:r w:rsidR="00DD3CB7">
        <w:t xml:space="preserve"> </w:t>
      </w:r>
      <w:r w:rsidRPr="00EE0D8C">
        <w:rPr>
          <w:rStyle w:val="Siln"/>
          <w:b w:val="0"/>
        </w:rPr>
        <w:t>však</w:t>
      </w:r>
      <w:r>
        <w:t xml:space="preserve"> za nezbytné, aby byly nastavené procesy nadále skutečně realizovány a plně dokončeny tak, jak předpokládá článek 19 Úmluvy,</w:t>
      </w:r>
    </w:p>
    <w:p w14:paraId="561E07DD" w14:textId="20219381" w:rsidR="00923930" w:rsidRDefault="00832134" w:rsidP="009E2B63">
      <w:pPr>
        <w:pStyle w:val="Zkladntext"/>
        <w:jc w:val="left"/>
      </w:pPr>
      <w:r>
        <w:rPr>
          <w:rStyle w:val="Siln"/>
        </w:rPr>
        <w:t>upozorňuje</w:t>
      </w:r>
      <w:r>
        <w:t xml:space="preserve">, že řada lidí s postižením v České republice nemá podporu, kterou by potřebovala a tato situace vede k jejich ponižování, zranění a traumatům, </w:t>
      </w:r>
    </w:p>
    <w:p w14:paraId="4639C6F3" w14:textId="68AA608B" w:rsidR="00832134" w:rsidRPr="00FD1EDF" w:rsidRDefault="00832134" w:rsidP="009E2B63">
      <w:pPr>
        <w:pStyle w:val="Zkladntext"/>
        <w:jc w:val="left"/>
      </w:pPr>
      <w:r w:rsidRPr="00FD1EDF">
        <w:t>a v návaznosti na to</w:t>
      </w:r>
    </w:p>
    <w:p w14:paraId="4E3C60D7" w14:textId="1DA6D6DE" w:rsidR="00174C9A" w:rsidRPr="00FD1EDF" w:rsidRDefault="00095946" w:rsidP="009E2B63">
      <w:pPr>
        <w:pStyle w:val="Zkladntext"/>
        <w:jc w:val="left"/>
      </w:pPr>
      <w:r w:rsidRPr="00FD1EDF">
        <w:rPr>
          <w:rStyle w:val="Siln"/>
        </w:rPr>
        <w:t xml:space="preserve">vyzývá </w:t>
      </w:r>
      <w:r w:rsidR="00832134" w:rsidRPr="00FD1EDF">
        <w:t>veřejného ochránce práv (dále „ochránce“), aby</w:t>
      </w:r>
    </w:p>
    <w:p w14:paraId="6DFD9F5C" w14:textId="77777777" w:rsidR="00832134" w:rsidRPr="00FD1EDF" w:rsidRDefault="00832134" w:rsidP="009E2B63">
      <w:pPr>
        <w:pStyle w:val="Zkladntext"/>
        <w:numPr>
          <w:ilvl w:val="0"/>
          <w:numId w:val="33"/>
        </w:numPr>
        <w:jc w:val="left"/>
      </w:pPr>
      <w:r w:rsidRPr="00FD1EDF">
        <w:rPr>
          <w:b/>
        </w:rPr>
        <w:t>ve své činnosti reflektoval</w:t>
      </w:r>
      <w:r w:rsidRPr="00FD1EDF">
        <w:t xml:space="preserve"> výklad článku 19 Úmluvy z pohledu Výboru OSN pro práva osob se zdravotním postižením,</w:t>
      </w:r>
    </w:p>
    <w:p w14:paraId="35D78462" w14:textId="77777777" w:rsidR="00832134" w:rsidRPr="00FD1EDF" w:rsidRDefault="00832134" w:rsidP="009E2B63">
      <w:pPr>
        <w:pStyle w:val="Zkladntext"/>
        <w:numPr>
          <w:ilvl w:val="0"/>
          <w:numId w:val="33"/>
        </w:numPr>
        <w:jc w:val="left"/>
      </w:pPr>
      <w:r w:rsidRPr="00FD1EDF">
        <w:rPr>
          <w:b/>
        </w:rPr>
        <w:t>sledoval</w:t>
      </w:r>
      <w:r w:rsidRPr="00FD1EDF">
        <w:t>, zda stát k naplňování článku 19 Úmluvy přistupuje skrze strategické plánování, kdy jsou definovány jednoznačné závazky k deinstitucionalizaci, jsou stanoveny jasné cíle, odpovědné osoby, finanční zdroje a také vyhodnocovací kritéria,</w:t>
      </w:r>
    </w:p>
    <w:p w14:paraId="746D99B1" w14:textId="7EC74DF0" w:rsidR="00DD3CB7" w:rsidRDefault="00DD3CB7" w:rsidP="009E2B63">
      <w:pPr>
        <w:pStyle w:val="Zkladntext"/>
        <w:jc w:val="left"/>
      </w:pPr>
      <w:r w:rsidRPr="0065535D">
        <w:rPr>
          <w:rStyle w:val="Siln"/>
        </w:rPr>
        <w:lastRenderedPageBreak/>
        <w:t>doporučuje</w:t>
      </w:r>
      <w:r>
        <w:t xml:space="preserve"> </w:t>
      </w:r>
      <w:r w:rsidR="00832134">
        <w:t xml:space="preserve">ochránci, aby vytvořil </w:t>
      </w:r>
      <w:r w:rsidR="00832134" w:rsidRPr="00E459CD">
        <w:rPr>
          <w:b/>
        </w:rPr>
        <w:t>poziční dokument</w:t>
      </w:r>
      <w:r w:rsidR="00832134">
        <w:t xml:space="preserve">. Tento dokument by měl jasně </w:t>
      </w:r>
      <w:r w:rsidR="00832134" w:rsidRPr="005D4AD0">
        <w:t>shrnout cílový stav tak, jak jej vyžaduje Úmluva, a to ve světle Obecného komentáře</w:t>
      </w:r>
      <w:r w:rsidR="00832134" w:rsidRPr="005D4AD0">
        <w:rPr>
          <w:rStyle w:val="Znakapoznpodarou"/>
        </w:rPr>
        <w:footnoteReference w:id="4"/>
      </w:r>
      <w:r w:rsidR="00832134" w:rsidRPr="005D4AD0">
        <w:t xml:space="preserve"> a Pokynů k</w:t>
      </w:r>
      <w:r w:rsidR="00832134">
        <w:t> </w:t>
      </w:r>
      <w:r w:rsidR="00832134" w:rsidRPr="005D4AD0">
        <w:t>deinstitucionalizaci</w:t>
      </w:r>
      <w:r w:rsidR="00832134">
        <w:t>,</w:t>
      </w:r>
      <w:r w:rsidR="00832134">
        <w:rPr>
          <w:rStyle w:val="Znakapoznpodarou"/>
        </w:rPr>
        <w:footnoteReference w:id="5"/>
      </w:r>
      <w:r w:rsidR="00832134" w:rsidRPr="005D4AD0">
        <w:t xml:space="preserve"> které vydal Výbor OSN pro práv</w:t>
      </w:r>
      <w:r w:rsidR="00832134">
        <w:t xml:space="preserve">a osob se zdravotním postižením a </w:t>
      </w:r>
      <w:r w:rsidR="00832134" w:rsidRPr="00E459CD">
        <w:t>v této souvislosti v pozičním dokumentu specifikoval body, na které se bude při své monitorovací činnosti soustředit</w:t>
      </w:r>
      <w:r w:rsidR="00832134">
        <w:t>,</w:t>
      </w:r>
    </w:p>
    <w:p w14:paraId="003ED1D4" w14:textId="3F05F197" w:rsidR="00DD7630" w:rsidRDefault="00AB3A07" w:rsidP="009E2B63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66FD9D82" w14:textId="77777777" w:rsidR="00832134" w:rsidRDefault="00832134" w:rsidP="009E2B63"/>
    <w:p w14:paraId="03BF9273" w14:textId="10AB2066" w:rsidR="00832134" w:rsidRDefault="00832134" w:rsidP="009E2B63">
      <w:r w:rsidRPr="0065535D">
        <w:t>JUDr. Stanislav Křeček</w:t>
      </w:r>
      <w:r>
        <w:t xml:space="preserve"> v. r.</w:t>
      </w:r>
      <w:r w:rsidRPr="0065535D">
        <w:t>, předseda poradního orgánu</w:t>
      </w:r>
    </w:p>
    <w:p w14:paraId="345F0764" w14:textId="413E8349" w:rsidR="00832134" w:rsidRDefault="00DD7630" w:rsidP="009E2B63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642553E6" w14:textId="77777777" w:rsidR="00DD7630" w:rsidRPr="0065535D" w:rsidRDefault="00DD7630" w:rsidP="009E2B63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16FFD" w14:textId="77777777" w:rsidR="000916F6" w:rsidRDefault="000916F6">
      <w:r>
        <w:separator/>
      </w:r>
    </w:p>
  </w:endnote>
  <w:endnote w:type="continuationSeparator" w:id="0">
    <w:p w14:paraId="2B42C810" w14:textId="77777777" w:rsidR="000916F6" w:rsidRDefault="000916F6">
      <w:r>
        <w:continuationSeparator/>
      </w:r>
    </w:p>
  </w:endnote>
  <w:endnote w:type="continuationNotice" w:id="1">
    <w:p w14:paraId="2E045BA8" w14:textId="77777777" w:rsidR="000916F6" w:rsidRDefault="000916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773C9" w14:textId="685DC7DD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2B7852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C5527" w14:textId="77777777" w:rsidR="000916F6" w:rsidRDefault="000916F6">
      <w:r>
        <w:separator/>
      </w:r>
    </w:p>
  </w:footnote>
  <w:footnote w:type="continuationSeparator" w:id="0">
    <w:p w14:paraId="3DF3D82B" w14:textId="77777777" w:rsidR="000916F6" w:rsidRDefault="000916F6">
      <w:r>
        <w:continuationSeparator/>
      </w:r>
    </w:p>
  </w:footnote>
  <w:footnote w:type="continuationNotice" w:id="1">
    <w:p w14:paraId="2320A12B" w14:textId="77777777" w:rsidR="000916F6" w:rsidRDefault="000916F6"/>
  </w:footnote>
  <w:footnote w:id="2">
    <w:p w14:paraId="2278C494" w14:textId="34DE694E" w:rsidR="00DD7630" w:rsidRPr="009A5CE4" w:rsidRDefault="00832134" w:rsidP="00DD7630">
      <w:pPr>
        <w:pStyle w:val="Textpoznpodarou"/>
        <w:rPr>
          <w:lang w:val="cs-CZ"/>
        </w:rPr>
      </w:pPr>
      <w:r w:rsidRPr="00832134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639F5FF9" w14:textId="1FC0D54B" w:rsidR="00832134" w:rsidRPr="009D6138" w:rsidRDefault="00832134" w:rsidP="00832134">
      <w:pPr>
        <w:pStyle w:val="Textpoznpodarou"/>
        <w:rPr>
          <w:lang w:val="cs-CZ"/>
        </w:rPr>
      </w:pPr>
      <w:r w:rsidRPr="00832134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Úmluva o právech osob se zdravotním postižením, sjednaná v New Yorku dne 13. prosince 2006, vyhlášená ve Sbírce mezinárodních smluv pod č. 10/2010 Sb. m. s.</w:t>
      </w:r>
    </w:p>
  </w:footnote>
  <w:footnote w:id="4">
    <w:p w14:paraId="5D60FD29" w14:textId="4A4E8189" w:rsidR="00832134" w:rsidRPr="00226E0D" w:rsidRDefault="00832134" w:rsidP="00832134">
      <w:pPr>
        <w:pStyle w:val="Textpoznpodarou"/>
        <w:rPr>
          <w:lang w:val="cs-CZ"/>
        </w:rPr>
      </w:pPr>
      <w:r w:rsidRPr="00832134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tab/>
        <w:t>Výbor OSN pro práva osob se zdravotním postižením. General comment No. 5 on Article 19 – the right to live independently and be included in the community. [online]. Gen</w:t>
      </w:r>
      <w:r>
        <w:rPr>
          <w:lang w:val="cs-CZ"/>
        </w:rPr>
        <w:t>e</w:t>
      </w:r>
      <w:r>
        <w:t>v</w:t>
      </w:r>
      <w:r>
        <w:rPr>
          <w:lang w:val="cs-CZ"/>
        </w:rPr>
        <w:t xml:space="preserve">a. Committee on the Rights od Persons with Disabilities 2017. [cit. 2023-11-1]. Dostupné z: </w:t>
      </w:r>
      <w:hyperlink r:id="rId1" w:history="1">
        <w:r w:rsidRPr="0070533A">
          <w:rPr>
            <w:rStyle w:val="Hypertextovodkaz"/>
          </w:rPr>
          <w:t>https://www.ohchr.org/en/documents/general-comments-and-recommendations/general-comment-no5-article-19-right-live</w:t>
        </w:r>
      </w:hyperlink>
      <w:r>
        <w:rPr>
          <w:rStyle w:val="Hypertextovodkaz"/>
          <w:lang w:val="cs-CZ"/>
        </w:rPr>
        <w:t>.</w:t>
      </w:r>
    </w:p>
  </w:footnote>
  <w:footnote w:id="5">
    <w:p w14:paraId="6CDD081A" w14:textId="550D0C42" w:rsidR="00832134" w:rsidRPr="005D4AD0" w:rsidRDefault="00832134" w:rsidP="00832134">
      <w:pPr>
        <w:pStyle w:val="Textpoznpodarou"/>
        <w:rPr>
          <w:lang w:val="cs-CZ"/>
        </w:rPr>
      </w:pPr>
      <w:r w:rsidRPr="00832134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832134">
        <w:rPr>
          <w:b/>
          <w:bCs/>
          <w:sz w:val="12"/>
          <w:szCs w:val="12"/>
        </w:rPr>
        <w:t xml:space="preserve"> </w:t>
      </w:r>
      <w:r>
        <w:tab/>
      </w:r>
      <w:r>
        <w:rPr>
          <w:lang w:val="cs-CZ"/>
        </w:rPr>
        <w:t xml:space="preserve">Výbor OSN pro práva osob se zdravotním postižením. Guidelines on deinstitucionalization. [online]. </w:t>
      </w:r>
      <w:r>
        <w:t>Gen</w:t>
      </w:r>
      <w:r>
        <w:rPr>
          <w:lang w:val="cs-CZ"/>
        </w:rPr>
        <w:t>e</w:t>
      </w:r>
      <w:r>
        <w:t>v</w:t>
      </w:r>
      <w:r>
        <w:rPr>
          <w:lang w:val="cs-CZ"/>
        </w:rPr>
        <w:t xml:space="preserve">a. Committee on the Rights od Persons with Disabilities 2022. [cit. 2023-11-1]. Dostupné z: </w:t>
      </w:r>
      <w:hyperlink r:id="rId2" w:history="1">
        <w:r w:rsidRPr="0070533A">
          <w:rPr>
            <w:rStyle w:val="Hypertextovodkaz"/>
            <w:lang w:val="cs-CZ"/>
          </w:rPr>
          <w:t>https://www.ohchr.org/en/documents/legal-standards-and-guidelines/crpdc5-guidelines-deinstitutionalization-including</w:t>
        </w:r>
      </w:hyperlink>
      <w:r>
        <w:rPr>
          <w:rStyle w:val="Hypertextovodkaz"/>
          <w:lang w:val="cs-CZ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74CB9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4E329DF0" wp14:editId="06E1E0C6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760B90"/>
    <w:multiLevelType w:val="hybridMultilevel"/>
    <w:tmpl w:val="1284D410"/>
    <w:lvl w:ilvl="0" w:tplc="A538FA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0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1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8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9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34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16F6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3C6C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B7852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2134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2B63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AE6"/>
    <w:rsid w:val="00FC3EB6"/>
    <w:rsid w:val="00FC7A56"/>
    <w:rsid w:val="00FD1EDF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4457712"/>
  <w15:docId w15:val="{518DAF3B-6EB2-4C68-AC65-1D609396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ohchr.org/en/documents/legal-standards-and-guidelines/crpdc5-guidelines-deinstitutionalization-including" TargetMode="External"/><Relationship Id="rId1" Type="http://schemas.openxmlformats.org/officeDocument/2006/relationships/hyperlink" Target="https://www.ohchr.org/en/documents/general-comments-and-recommendations/general-comment-no5-article-19-right-li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3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aea5b64-986d-4ed0-9f25-146f1d978e9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F0F2418-82EC-4F6E-93A1-C79095F5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9</TotalTime>
  <Pages>2</Pages>
  <Words>331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2281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Paulusová Magdalena Mgr.</cp:lastModifiedBy>
  <cp:revision>6</cp:revision>
  <cp:lastPrinted>2022-04-29T06:48:00Z</cp:lastPrinted>
  <dcterms:created xsi:type="dcterms:W3CDTF">2024-02-16T15:53:00Z</dcterms:created>
  <dcterms:modified xsi:type="dcterms:W3CDTF">2024-02-27T09:03:00Z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