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67B2A9" w14:textId="77777777" w:rsidR="00DD7630" w:rsidRDefault="00132DB7" w:rsidP="00330E56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2F3DB5AB" w14:textId="56DA3931" w:rsidR="00BA32DD" w:rsidRPr="00484E85" w:rsidRDefault="00DD7630" w:rsidP="00330E56">
      <w:pPr>
        <w:pStyle w:val="Nadpis1"/>
      </w:pPr>
      <w:r>
        <w:t xml:space="preserve">k </w:t>
      </w:r>
      <w:r w:rsidR="001376D1">
        <w:t>příspěvku na péči</w:t>
      </w:r>
    </w:p>
    <w:p w14:paraId="6D6F2467" w14:textId="563B1DFC" w:rsidR="003D3883" w:rsidRPr="00484E85" w:rsidRDefault="00DD7630" w:rsidP="00330E56">
      <w:pPr>
        <w:pStyle w:val="Zkladntext"/>
        <w:jc w:val="left"/>
      </w:pPr>
      <w:r>
        <w:t>z</w:t>
      </w:r>
      <w:r w:rsidR="00330E56">
        <w:t> </w:t>
      </w:r>
      <w:r w:rsidR="001376D1">
        <w:t>26</w:t>
      </w:r>
      <w:r w:rsidR="00330E56">
        <w:t xml:space="preserve">. </w:t>
      </w:r>
      <w:r w:rsidR="001376D1">
        <w:t>dubna</w:t>
      </w:r>
      <w:r>
        <w:t xml:space="preserve"> 2023 </w:t>
      </w:r>
      <w:r w:rsidRPr="00330E56">
        <w:t>(</w:t>
      </w:r>
      <w:r w:rsidR="0025426B" w:rsidRPr="00330E56">
        <w:t xml:space="preserve">přijaté po projednání na </w:t>
      </w:r>
      <w:r w:rsidR="001376D1" w:rsidRPr="00330E56">
        <w:t>11</w:t>
      </w:r>
      <w:r w:rsidR="0025426B" w:rsidRPr="00330E56">
        <w:t>. zasedání hlasováním mimo zasedání</w:t>
      </w:r>
      <w:r w:rsidRPr="00330E56">
        <w:t>)</w:t>
      </w:r>
      <w:r w:rsidR="00484E85" w:rsidRPr="00330E56">
        <w:t>:</w:t>
      </w:r>
    </w:p>
    <w:p w14:paraId="5BD487F7" w14:textId="77777777" w:rsidR="003D3883" w:rsidRPr="00DD7630" w:rsidRDefault="00484E85" w:rsidP="00330E56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3A5F3E9A" w14:textId="77777777" w:rsidR="001376D1" w:rsidRDefault="00174C9A" w:rsidP="00330E56">
      <w:pPr>
        <w:pStyle w:val="Zkladntext"/>
        <w:jc w:val="left"/>
        <w:rPr>
          <w:rStyle w:val="Siln"/>
          <w:b w:val="0"/>
        </w:rPr>
      </w:pPr>
      <w:r w:rsidRPr="00B23A77">
        <w:rPr>
          <w:rStyle w:val="Siln"/>
        </w:rPr>
        <w:t>vyja</w:t>
      </w:r>
      <w:r w:rsidR="00180C09" w:rsidRPr="00B23A77">
        <w:rPr>
          <w:rStyle w:val="Siln"/>
        </w:rPr>
        <w:t>dřuje znepokojení</w:t>
      </w:r>
      <w:r w:rsidR="00180C09" w:rsidRPr="006230E1">
        <w:t xml:space="preserve"> </w:t>
      </w:r>
      <w:r w:rsidR="001376D1">
        <w:rPr>
          <w:rStyle w:val="Siln"/>
          <w:b w:val="0"/>
        </w:rPr>
        <w:t xml:space="preserve">nad snižováním reálné hodnoty příspěvku na péči a </w:t>
      </w:r>
      <w:r w:rsidR="001376D1" w:rsidRPr="004D7D96">
        <w:rPr>
          <w:rStyle w:val="Siln"/>
          <w:b w:val="0"/>
        </w:rPr>
        <w:t>upozorňuje,</w:t>
      </w:r>
      <w:r w:rsidR="001376D1">
        <w:rPr>
          <w:rStyle w:val="Siln"/>
          <w:b w:val="0"/>
        </w:rPr>
        <w:t xml:space="preserve"> že jeho současná výše neumožňuje zajištění základních služeb a podpory v potřebném rozsahu,</w:t>
      </w:r>
    </w:p>
    <w:p w14:paraId="72F167A5" w14:textId="5A8E80DF" w:rsidR="001376D1" w:rsidRDefault="001376D1" w:rsidP="00330E56">
      <w:pPr>
        <w:pStyle w:val="Zkladntext"/>
        <w:jc w:val="left"/>
        <w:rPr>
          <w:rStyle w:val="Siln"/>
          <w:b w:val="0"/>
        </w:rPr>
      </w:pPr>
      <w:r>
        <w:rPr>
          <w:rStyle w:val="Siln"/>
          <w:b w:val="0"/>
        </w:rPr>
        <w:t>za stávajících podmínek</w:t>
      </w:r>
      <w:r>
        <w:rPr>
          <w:rStyle w:val="Znakapoznpodarou"/>
          <w:bCs/>
        </w:rPr>
        <w:footnoteReference w:id="3"/>
      </w:r>
      <w:r>
        <w:rPr>
          <w:rStyle w:val="Siln"/>
          <w:b w:val="0"/>
        </w:rPr>
        <w:t xml:space="preserve"> </w:t>
      </w:r>
      <w:r w:rsidRPr="004D7D96">
        <w:rPr>
          <w:rStyle w:val="Siln"/>
        </w:rPr>
        <w:t>apeluje</w:t>
      </w:r>
      <w:r>
        <w:rPr>
          <w:rStyle w:val="Siln"/>
          <w:b w:val="0"/>
        </w:rPr>
        <w:t xml:space="preserve"> na nutnost příspěvek na péči nejprve navýšit tak, aby zůstala zachována jeho reálná hodnota a teprve po tomto navýšení jej pravidelně valorizovat,</w:t>
      </w:r>
    </w:p>
    <w:p w14:paraId="32220CA5" w14:textId="3E7C4632" w:rsidR="001376D1" w:rsidRDefault="001376D1" w:rsidP="00330E56">
      <w:pPr>
        <w:pStyle w:val="Zkladntext"/>
        <w:jc w:val="left"/>
        <w:rPr>
          <w:rStyle w:val="Siln"/>
          <w:b w:val="0"/>
        </w:rPr>
      </w:pPr>
      <w:r>
        <w:rPr>
          <w:rStyle w:val="Siln"/>
          <w:b w:val="0"/>
        </w:rPr>
        <w:t xml:space="preserve">v uvedených souvislostech </w:t>
      </w:r>
      <w:r w:rsidRPr="004D7D96">
        <w:rPr>
          <w:rStyle w:val="Siln"/>
        </w:rPr>
        <w:t>bere na vědomí a oceňuje</w:t>
      </w:r>
      <w:r>
        <w:rPr>
          <w:rStyle w:val="Siln"/>
          <w:b w:val="0"/>
        </w:rPr>
        <w:t xml:space="preserve"> dosavadní kroky, kterými veřejný ochránce práv</w:t>
      </w:r>
      <w:r>
        <w:rPr>
          <w:rStyle w:val="Znakapoznpodarou"/>
        </w:rPr>
        <w:footnoteReference w:id="4"/>
      </w:r>
      <w:r>
        <w:t xml:space="preserve"> (dále „ochránce“)</w:t>
      </w:r>
      <w:r>
        <w:rPr>
          <w:rStyle w:val="Siln"/>
        </w:rPr>
        <w:t xml:space="preserve"> </w:t>
      </w:r>
      <w:r w:rsidRPr="00AB78B6">
        <w:rPr>
          <w:rStyle w:val="Siln"/>
          <w:b w:val="0"/>
        </w:rPr>
        <w:t>dlouhodobě</w:t>
      </w:r>
      <w:r>
        <w:rPr>
          <w:rStyle w:val="Siln"/>
        </w:rPr>
        <w:t xml:space="preserve"> </w:t>
      </w:r>
      <w:r>
        <w:rPr>
          <w:rStyle w:val="Siln"/>
          <w:b w:val="0"/>
        </w:rPr>
        <w:t>upozorňuje na potřebu příspěvek na péči</w:t>
      </w:r>
      <w:r w:rsidRPr="00AB78B6">
        <w:rPr>
          <w:rStyle w:val="Siln"/>
          <w:b w:val="0"/>
        </w:rPr>
        <w:t xml:space="preserve"> </w:t>
      </w:r>
      <w:r>
        <w:rPr>
          <w:rStyle w:val="Siln"/>
          <w:b w:val="0"/>
        </w:rPr>
        <w:t>navýšit,</w:t>
      </w:r>
    </w:p>
    <w:p w14:paraId="14A32AE3" w14:textId="403E7BD1" w:rsidR="00923930" w:rsidRDefault="001376D1" w:rsidP="00330E56">
      <w:pPr>
        <w:pStyle w:val="Zkladntext"/>
        <w:jc w:val="left"/>
      </w:pPr>
      <w:r>
        <w:rPr>
          <w:rStyle w:val="Siln"/>
        </w:rPr>
        <w:t>současně s tím však zdůrazňuje</w:t>
      </w:r>
      <w:r w:rsidRPr="004D7D96">
        <w:rPr>
          <w:rStyle w:val="Siln"/>
          <w:b w:val="0"/>
        </w:rPr>
        <w:t xml:space="preserve">, že je </w:t>
      </w:r>
      <w:r w:rsidRPr="00887734">
        <w:rPr>
          <w:rStyle w:val="Siln"/>
        </w:rPr>
        <w:t>nezbytné příspěvek na péči reformovat v kontextu Úmluvy o právech osob se zdravotním postižením</w:t>
      </w:r>
      <w:r>
        <w:t>, kdy je nutné, aby podpora ze strany státu zohlednila reálné potřeby lidí s postižením při zachování jejich práva na nezávislý způsob života,</w:t>
      </w:r>
    </w:p>
    <w:p w14:paraId="72A230E7" w14:textId="74501FAD" w:rsidR="001376D1" w:rsidRDefault="001376D1" w:rsidP="00330E56">
      <w:pPr>
        <w:pStyle w:val="Zkladntext"/>
        <w:jc w:val="left"/>
        <w:rPr>
          <w:rStyle w:val="Siln"/>
          <w:b w:val="0"/>
        </w:rPr>
      </w:pPr>
      <w:r w:rsidRPr="00EC3B8E">
        <w:rPr>
          <w:rStyle w:val="Siln"/>
          <w:b w:val="0"/>
        </w:rPr>
        <w:t>a v návaznosti na to</w:t>
      </w:r>
    </w:p>
    <w:p w14:paraId="40DC25C9" w14:textId="60DBDD98" w:rsidR="001376D1" w:rsidRPr="001376D1" w:rsidRDefault="001376D1" w:rsidP="00330E56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 xml:space="preserve">žádá </w:t>
      </w:r>
      <w:r>
        <w:rPr>
          <w:rStyle w:val="Siln"/>
          <w:b w:val="0"/>
        </w:rPr>
        <w:t>ochránce, aby poznatky poradního orgánu, kte</w:t>
      </w:r>
      <w:bookmarkStart w:id="0" w:name="_GoBack"/>
      <w:bookmarkEnd w:id="0"/>
      <w:r>
        <w:rPr>
          <w:rStyle w:val="Siln"/>
          <w:b w:val="0"/>
        </w:rPr>
        <w:t>ré vychází ze zkušeností lidí s postižením a lidí hájících jejich práva, nadále zohledňoval ve své činnosti,</w:t>
      </w:r>
    </w:p>
    <w:p w14:paraId="5A8E4354" w14:textId="6BE42E1B" w:rsidR="00DD3CB7" w:rsidRDefault="00095946" w:rsidP="00330E56">
      <w:pPr>
        <w:pStyle w:val="Zkladntext"/>
        <w:jc w:val="left"/>
      </w:pPr>
      <w:r w:rsidRPr="0065535D">
        <w:rPr>
          <w:rStyle w:val="Siln"/>
        </w:rPr>
        <w:t xml:space="preserve">vyzývá </w:t>
      </w:r>
      <w:r w:rsidR="001376D1">
        <w:rPr>
          <w:rStyle w:val="Siln"/>
          <w:b w:val="0"/>
        </w:rPr>
        <w:t xml:space="preserve">ochránce, </w:t>
      </w:r>
      <w:r w:rsidR="001376D1">
        <w:t>aby se obrátil na ministra práce a sociálních věcí Ing. Mariana Jurečku a informoval ho o výše uvedených závěrech poradního orgánu,</w:t>
      </w:r>
    </w:p>
    <w:p w14:paraId="2601FF5F" w14:textId="375CB10B" w:rsidR="00DD7630" w:rsidRDefault="00AB3A07" w:rsidP="00330E56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72E04465" w14:textId="7FFDA353" w:rsidR="001376D1" w:rsidRPr="007B040B" w:rsidRDefault="00DD7630" w:rsidP="00330E56">
      <w:r w:rsidRPr="007B040B">
        <w:t>JUDr. Vít Alexander Schorm v. r., předseda poradního orgánu</w:t>
      </w:r>
    </w:p>
    <w:p w14:paraId="1D6A32CE" w14:textId="01B8F022" w:rsidR="001376D1" w:rsidRPr="007B040B" w:rsidRDefault="00DD7630" w:rsidP="00330E56">
      <w:r w:rsidRPr="007B040B">
        <w:t>Mgr. Jiří Černý v. r., místopředseda poradního orgánu</w:t>
      </w:r>
    </w:p>
    <w:p w14:paraId="472751F8" w14:textId="77777777" w:rsidR="00DD7630" w:rsidRPr="0065535D" w:rsidRDefault="00DD7630" w:rsidP="00330E56">
      <w:r w:rsidRPr="007B040B">
        <w:t>Mgr. Magdalena Paulusová v. r.,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C75FC" w14:textId="77777777" w:rsidR="003274DC" w:rsidRDefault="003274DC">
      <w:r>
        <w:separator/>
      </w:r>
    </w:p>
  </w:endnote>
  <w:endnote w:type="continuationSeparator" w:id="0">
    <w:p w14:paraId="23252E1E" w14:textId="77777777" w:rsidR="003274DC" w:rsidRDefault="003274DC">
      <w:r>
        <w:continuationSeparator/>
      </w:r>
    </w:p>
  </w:endnote>
  <w:endnote w:type="continuationNotice" w:id="1">
    <w:p w14:paraId="5BA57445" w14:textId="77777777" w:rsidR="003274DC" w:rsidRDefault="00327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40136" w14:textId="7ABD4B33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7B040B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2911E" w14:textId="77777777" w:rsidR="003274DC" w:rsidRDefault="003274DC">
      <w:r>
        <w:separator/>
      </w:r>
    </w:p>
  </w:footnote>
  <w:footnote w:type="continuationSeparator" w:id="0">
    <w:p w14:paraId="282A4B82" w14:textId="77777777" w:rsidR="003274DC" w:rsidRDefault="003274DC">
      <w:r>
        <w:continuationSeparator/>
      </w:r>
    </w:p>
  </w:footnote>
  <w:footnote w:type="continuationNotice" w:id="1">
    <w:p w14:paraId="7659EBE0" w14:textId="77777777" w:rsidR="003274DC" w:rsidRDefault="003274DC"/>
  </w:footnote>
  <w:footnote w:id="2">
    <w:p w14:paraId="3AEEA950" w14:textId="77777777" w:rsidR="00DD7630" w:rsidRPr="009A5CE4" w:rsidRDefault="00DD7630" w:rsidP="00DD7630">
      <w:pPr>
        <w:pStyle w:val="Textpoznpodarou"/>
        <w:rPr>
          <w:lang w:val="cs-CZ"/>
        </w:rPr>
      </w:pPr>
      <w:r w:rsidRPr="001376D1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1376D1">
        <w:rPr>
          <w:rStyle w:val="Znakapoznpodarou"/>
          <w:bCs/>
          <w:sz w:val="18"/>
          <w:szCs w:val="12"/>
          <w:vertAlign w:val="baseline"/>
        </w:rPr>
        <w:t xml:space="preserve"> </w:t>
      </w:r>
      <w:r>
        <w:rPr>
          <w:rStyle w:val="Znakapoznpodarou"/>
          <w:b w:val="0"/>
          <w:color w:val="auto"/>
          <w:sz w:val="18"/>
          <w:vertAlign w:val="baseline"/>
        </w:rPr>
        <w:tab/>
      </w:r>
      <w:r>
        <w:t>P</w:t>
      </w:r>
      <w:r w:rsidRPr="00484E85">
        <w:t>odle čl. II odstavce 2 Statutu poradního orgánu</w:t>
      </w:r>
      <w:r>
        <w:t>.</w:t>
      </w:r>
    </w:p>
  </w:footnote>
  <w:footnote w:id="3">
    <w:p w14:paraId="7BB9C5AD" w14:textId="42F78BCA" w:rsidR="001376D1" w:rsidRPr="00887734" w:rsidRDefault="001376D1" w:rsidP="001376D1">
      <w:pPr>
        <w:pStyle w:val="Textpoznpodarou"/>
        <w:rPr>
          <w:lang w:val="cs-CZ"/>
        </w:rPr>
      </w:pPr>
      <w:r w:rsidRPr="001376D1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Pr="001376D1">
        <w:rPr>
          <w:b/>
          <w:bCs/>
          <w:sz w:val="12"/>
          <w:szCs w:val="12"/>
        </w:rPr>
        <w:t xml:space="preserve"> </w:t>
      </w:r>
      <w:r>
        <w:rPr>
          <w:lang w:val="cs-CZ"/>
        </w:rPr>
        <w:t xml:space="preserve"> </w:t>
      </w:r>
      <w:r>
        <w:rPr>
          <w:lang w:val="cs-CZ"/>
        </w:rPr>
        <w:tab/>
        <w:t xml:space="preserve">V současnosti je v připomínkovém řízení novela zákona č. 108/2006 Sb., o sociálních službách (č. j. předkladatele </w:t>
      </w:r>
      <w:r w:rsidRPr="00887734">
        <w:rPr>
          <w:lang w:val="cs-CZ"/>
        </w:rPr>
        <w:t>MPSV-2022/191853-510/2</w:t>
      </w:r>
      <w:r>
        <w:rPr>
          <w:lang w:val="cs-CZ"/>
        </w:rPr>
        <w:t>). Veřejný ochránce práv k návrhu uplatnil řadu připomínek. Pokud jde o příspěvek na péči, i v návaznosti na podněty od poradního orgánu, upozornil ochránce v připomínkách na jeho nedostatečnou výši a nutnost jeho reformy. Konkrétní návrh na navýšení příspěvku na péči a jeho valorizaci obsahuje také legislativní doporučení, které je součástí Výroční zprávy veřejného ochránce práv za rok 2022.</w:t>
      </w:r>
    </w:p>
  </w:footnote>
  <w:footnote w:id="4">
    <w:p w14:paraId="20E16B05" w14:textId="53E822CC" w:rsidR="001376D1" w:rsidRPr="001D7C2E" w:rsidRDefault="001376D1" w:rsidP="001376D1">
      <w:pPr>
        <w:pStyle w:val="Textpoznpodarou"/>
        <w:rPr>
          <w:lang w:val="cs-CZ"/>
        </w:rPr>
      </w:pPr>
      <w:r w:rsidRPr="001376D1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</w:r>
      <w:r>
        <w:rPr>
          <w:lang w:val="cs-CZ"/>
        </w:rPr>
        <w:t>Veřejným ochráncem práv se pro účely tohoto usnesení rozumí i zástupce veřejného ochránce práv v souladu s pověřením vydaným dle § 2 odst. 4 zákona o veřejném ochránci práv.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97824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6926E416" wp14:editId="14091170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6D1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376D1"/>
    <w:rsid w:val="00141F80"/>
    <w:rsid w:val="001442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426B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274DC"/>
    <w:rsid w:val="0033043B"/>
    <w:rsid w:val="00330E56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3F71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40B"/>
    <w:rsid w:val="007B05C4"/>
    <w:rsid w:val="007B27C9"/>
    <w:rsid w:val="007B2C19"/>
    <w:rsid w:val="007B53F4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33D5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79AB"/>
    <w:rsid w:val="00EC1BEC"/>
    <w:rsid w:val="00EC3B8E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AC0DE98"/>
  <w15:docId w15:val="{82CAA2A7-B9FE-415B-A0F4-F95EF6CA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3\usnesen&#237;%20poradn&#237;ho%20org&#225;nu_&#353;ablona2%20(per%20rollam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2FC970-AD89-44B4-B49A-550953165C65}">
  <ds:schemaRefs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7aea5b64-986d-4ed0-9f25-146f1d978e9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104A8A-F532-4796-BD3D-24BD53A61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(per rollam)</Template>
  <TotalTime>5</TotalTime>
  <Pages>1</Pages>
  <Words>242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1669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Paulusová Magdalena Mgr.</cp:lastModifiedBy>
  <cp:revision>5</cp:revision>
  <cp:lastPrinted>2022-04-29T06:48:00Z</cp:lastPrinted>
  <dcterms:created xsi:type="dcterms:W3CDTF">2024-02-16T16:15:00Z</dcterms:created>
  <dcterms:modified xsi:type="dcterms:W3CDTF">2024-02-27T07:56:00Z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