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2A2C3" w14:textId="1DC1AD3C" w:rsidR="00A42B7E" w:rsidRPr="00A42B7E" w:rsidRDefault="00F81A8D" w:rsidP="00A42B7E">
      <w:pPr>
        <w:pStyle w:val="Nzev"/>
        <w:spacing w:line="600" w:lineRule="exact"/>
      </w:pPr>
      <w:r w:rsidRPr="00C7685C">
        <w:t>Zpravodaj</w:t>
      </w:r>
      <w:r w:rsidR="00A42B7E">
        <w:t xml:space="preserve"> ombudsmana</w:t>
      </w:r>
      <w:r w:rsidR="00A42B7E">
        <w:br/>
        <w:t>1/2023</w:t>
      </w:r>
    </w:p>
    <w:p w14:paraId="2B8C63F9" w14:textId="5AD9A843" w:rsidR="002475ED" w:rsidRDefault="002475ED" w:rsidP="00E9599A">
      <w:pPr>
        <w:pStyle w:val="Nadpis2"/>
      </w:pPr>
      <w:bookmarkStart w:id="0" w:name="_Toc131077370"/>
      <w:r>
        <w:t>Pomohli jsme napravit chybu úřadu</w:t>
      </w:r>
      <w:bookmarkEnd w:id="0"/>
    </w:p>
    <w:p w14:paraId="2167C464" w14:textId="1EBD07BD" w:rsidR="00FA72BB" w:rsidRPr="00E01B27" w:rsidRDefault="00FA72BB" w:rsidP="00FA72BB">
      <w:pPr>
        <w:pStyle w:val="Nadpis3"/>
        <w:rPr>
          <w:rStyle w:val="zelen"/>
          <w:b/>
          <w:bCs/>
          <w:highlight w:val="yellow"/>
        </w:rPr>
      </w:pPr>
      <w:bookmarkStart w:id="1" w:name="_Toc120283511"/>
      <w:bookmarkStart w:id="2" w:name="_Toc131077372"/>
      <w:r>
        <w:rPr>
          <w:rStyle w:val="Nadpis2Char"/>
          <w:b/>
          <w:bCs/>
          <w:sz w:val="23"/>
          <w:szCs w:val="23"/>
          <w:lang w:eastAsia="en-US"/>
        </w:rPr>
        <w:t>Při </w:t>
      </w:r>
      <w:r w:rsidRPr="00E01B27">
        <w:rPr>
          <w:rStyle w:val="Nadpis2Char"/>
          <w:b/>
          <w:bCs/>
          <w:sz w:val="23"/>
          <w:szCs w:val="23"/>
          <w:lang w:eastAsia="en-US"/>
        </w:rPr>
        <w:t>povol</w:t>
      </w:r>
      <w:r>
        <w:rPr>
          <w:rStyle w:val="Nadpis2Char"/>
          <w:b/>
          <w:bCs/>
          <w:sz w:val="23"/>
          <w:szCs w:val="23"/>
          <w:lang w:eastAsia="en-US"/>
        </w:rPr>
        <w:t>ování</w:t>
      </w:r>
      <w:r w:rsidRPr="00E01B27">
        <w:rPr>
          <w:rStyle w:val="Nadpis2Char"/>
          <w:b/>
          <w:bCs/>
          <w:sz w:val="23"/>
          <w:szCs w:val="23"/>
          <w:lang w:eastAsia="en-US"/>
        </w:rPr>
        <w:t xml:space="preserve"> stavby nesmí</w:t>
      </w:r>
      <w:r>
        <w:rPr>
          <w:rStyle w:val="Nadpis2Char"/>
          <w:b/>
          <w:bCs/>
          <w:sz w:val="23"/>
          <w:szCs w:val="23"/>
          <w:lang w:eastAsia="en-US"/>
        </w:rPr>
        <w:t xml:space="preserve"> s</w:t>
      </w:r>
      <w:r w:rsidRPr="00E01B27">
        <w:rPr>
          <w:rStyle w:val="Nadpis2Char"/>
          <w:b/>
          <w:bCs/>
          <w:sz w:val="23"/>
          <w:szCs w:val="23"/>
          <w:lang w:eastAsia="en-US"/>
        </w:rPr>
        <w:t>tavební úřad vynechat</w:t>
      </w:r>
      <w:r>
        <w:rPr>
          <w:rStyle w:val="Nadpis2Char"/>
          <w:b/>
          <w:bCs/>
          <w:sz w:val="23"/>
          <w:szCs w:val="23"/>
          <w:lang w:eastAsia="en-US"/>
        </w:rPr>
        <w:t xml:space="preserve"> sousedy „za </w:t>
      </w:r>
      <w:r w:rsidRPr="00E01B27">
        <w:rPr>
          <w:rStyle w:val="Nadpis2Char"/>
          <w:b/>
          <w:bCs/>
          <w:sz w:val="23"/>
          <w:szCs w:val="23"/>
          <w:lang w:eastAsia="en-US"/>
        </w:rPr>
        <w:t>potokem, nebo</w:t>
      </w:r>
      <w:r>
        <w:rPr>
          <w:rStyle w:val="Nadpis2Char"/>
          <w:b/>
          <w:bCs/>
          <w:sz w:val="23"/>
          <w:szCs w:val="23"/>
          <w:lang w:eastAsia="en-US"/>
        </w:rPr>
        <w:t xml:space="preserve"> za cestou“</w:t>
      </w:r>
      <w:r>
        <w:rPr>
          <w:rStyle w:val="Nadpis2Char"/>
          <w:b/>
          <w:bCs/>
          <w:sz w:val="23"/>
          <w:szCs w:val="23"/>
          <w:lang w:eastAsia="en-US"/>
        </w:rPr>
        <w:br/>
      </w:r>
      <w:r w:rsidRPr="00E01B27">
        <w:rPr>
          <w:rStyle w:val="Nadpis1Char"/>
          <w:rFonts w:eastAsiaTheme="majorEastAsia"/>
          <w:color w:val="008576"/>
          <w:sz w:val="23"/>
          <w:szCs w:val="23"/>
          <w:lang w:eastAsia="en-US"/>
        </w:rPr>
        <w:t>(</w:t>
      </w:r>
      <w:proofErr w:type="spellStart"/>
      <w:r w:rsidRPr="00E01B27">
        <w:rPr>
          <w:rStyle w:val="Nadpis1Char"/>
          <w:rFonts w:eastAsiaTheme="majorEastAsia"/>
          <w:color w:val="008576"/>
          <w:sz w:val="23"/>
          <w:szCs w:val="23"/>
          <w:lang w:eastAsia="en-US"/>
        </w:rPr>
        <w:t>sp</w:t>
      </w:r>
      <w:proofErr w:type="spellEnd"/>
      <w:r w:rsidRPr="00E01B27">
        <w:rPr>
          <w:rStyle w:val="Nadpis1Char"/>
          <w:rFonts w:eastAsiaTheme="majorEastAsia"/>
          <w:color w:val="008576"/>
          <w:sz w:val="23"/>
          <w:szCs w:val="23"/>
          <w:lang w:eastAsia="en-US"/>
        </w:rPr>
        <w:t xml:space="preserve">. zn. </w:t>
      </w:r>
      <w:hyperlink r:id="rId6" w:history="1">
        <w:r w:rsidRPr="002D17CA">
          <w:rPr>
            <w:rStyle w:val="Hypertextovodkaz"/>
            <w:rFonts w:asciiTheme="minorHAnsi" w:hAnsiTheme="minorHAnsi"/>
          </w:rPr>
          <w:t>12277/2022</w:t>
        </w:r>
      </w:hyperlink>
      <w:r w:rsidR="00375C33">
        <w:rPr>
          <w:rStyle w:val="Hypertextovodkaz"/>
          <w:rFonts w:asciiTheme="minorHAnsi" w:hAnsiTheme="minorHAnsi"/>
        </w:rPr>
        <w:t>/VOP</w:t>
      </w:r>
      <w:r w:rsidRPr="00E01B27">
        <w:rPr>
          <w:rStyle w:val="Nadpis1Char"/>
          <w:rFonts w:eastAsiaTheme="majorEastAsia"/>
          <w:color w:val="008576"/>
          <w:sz w:val="23"/>
          <w:szCs w:val="23"/>
          <w:lang w:eastAsia="en-US"/>
        </w:rPr>
        <w:t>)</w:t>
      </w:r>
    </w:p>
    <w:p w14:paraId="24E60141" w14:textId="77777777" w:rsidR="00FA72BB" w:rsidRPr="0061545F" w:rsidRDefault="00FA72BB" w:rsidP="00FA72BB">
      <w:pPr>
        <w:pStyle w:val="Zkladntext"/>
        <w:rPr>
          <w:rStyle w:val="zelen"/>
          <w:bCs w:val="0"/>
          <w:color w:val="auto"/>
        </w:rPr>
      </w:pPr>
      <w:r w:rsidRPr="0061545F">
        <w:rPr>
          <w:rStyle w:val="zelen"/>
          <w:color w:val="auto"/>
        </w:rPr>
        <w:t>Se stavbou musí předem souhlasit vlastníci sousedních pozemků.</w:t>
      </w:r>
      <w:r>
        <w:rPr>
          <w:rStyle w:val="zelen"/>
          <w:color w:val="auto"/>
        </w:rPr>
        <w:t xml:space="preserve"> Za </w:t>
      </w:r>
      <w:r w:rsidRPr="0061545F">
        <w:rPr>
          <w:rStyle w:val="zelen"/>
          <w:color w:val="auto"/>
        </w:rPr>
        <w:t>ně soudy považují nejen vlastníka přímo sousedící nemovitosti, ale</w:t>
      </w:r>
      <w:r>
        <w:rPr>
          <w:rStyle w:val="zelen"/>
          <w:color w:val="auto"/>
        </w:rPr>
        <w:t xml:space="preserve"> i </w:t>
      </w:r>
      <w:r w:rsidRPr="0061545F">
        <w:rPr>
          <w:rStyle w:val="zelen"/>
          <w:color w:val="auto"/>
        </w:rPr>
        <w:t>vlastníka nemovitosti „za potokem, nebo</w:t>
      </w:r>
      <w:r>
        <w:rPr>
          <w:rStyle w:val="zelen"/>
          <w:color w:val="auto"/>
        </w:rPr>
        <w:t xml:space="preserve"> za </w:t>
      </w:r>
      <w:r w:rsidRPr="0061545F">
        <w:rPr>
          <w:rStyle w:val="zelen"/>
          <w:color w:val="auto"/>
        </w:rPr>
        <w:t>cestou.“ Pokud vlastník sousedního pozemku nesouhlasí se stavbou, stavební úřad musí vést správní řízení,</w:t>
      </w:r>
      <w:r>
        <w:rPr>
          <w:rStyle w:val="zelen"/>
          <w:color w:val="auto"/>
        </w:rPr>
        <w:t xml:space="preserve"> v </w:t>
      </w:r>
      <w:r w:rsidRPr="0061545F">
        <w:rPr>
          <w:rStyle w:val="zelen"/>
          <w:color w:val="auto"/>
        </w:rPr>
        <w:t>němž bude soused účastníkem.</w:t>
      </w:r>
    </w:p>
    <w:p w14:paraId="26CAD4AF" w14:textId="77777777" w:rsidR="00FA72BB" w:rsidRPr="004B1D85" w:rsidRDefault="00FA72BB" w:rsidP="00FA72BB">
      <w:pPr>
        <w:pStyle w:val="Zkladntext"/>
        <w:rPr>
          <w:rStyle w:val="zelen"/>
          <w:color w:val="auto"/>
        </w:rPr>
      </w:pPr>
      <w:r w:rsidRPr="004B1D85">
        <w:rPr>
          <w:rStyle w:val="zelen"/>
          <w:b w:val="0"/>
          <w:bCs w:val="0"/>
          <w:color w:val="auto"/>
        </w:rPr>
        <w:t>Stěžovatelčin pozemek přes cestu sousedí</w:t>
      </w:r>
      <w:r>
        <w:rPr>
          <w:rStyle w:val="zelen"/>
          <w:b w:val="0"/>
          <w:bCs w:val="0"/>
          <w:color w:val="auto"/>
        </w:rPr>
        <w:t xml:space="preserve"> s </w:t>
      </w:r>
      <w:r w:rsidRPr="004B1D85">
        <w:rPr>
          <w:rStyle w:val="zelen"/>
          <w:b w:val="0"/>
          <w:bCs w:val="0"/>
          <w:color w:val="auto"/>
        </w:rPr>
        <w:t>pozemkem,</w:t>
      </w:r>
      <w:r>
        <w:rPr>
          <w:rStyle w:val="zelen"/>
          <w:b w:val="0"/>
          <w:bCs w:val="0"/>
          <w:color w:val="auto"/>
        </w:rPr>
        <w:t xml:space="preserve"> na </w:t>
      </w:r>
      <w:r w:rsidRPr="004B1D85">
        <w:rPr>
          <w:rStyle w:val="zelen"/>
          <w:b w:val="0"/>
          <w:bCs w:val="0"/>
          <w:color w:val="auto"/>
        </w:rPr>
        <w:t>kterém je novostavba rodinného domu. S</w:t>
      </w:r>
      <w:r w:rsidRPr="004B1D85">
        <w:t>tavební úřad novostavbu povolil zjednodušenou formou (tj. vydal společný územní souhlas</w:t>
      </w:r>
      <w:r>
        <w:t xml:space="preserve"> a </w:t>
      </w:r>
      <w:r w:rsidRPr="004B1D85">
        <w:t>souhlas</w:t>
      </w:r>
      <w:r>
        <w:t xml:space="preserve"> s </w:t>
      </w:r>
      <w:r w:rsidRPr="004B1D85">
        <w:t>ohlášením)</w:t>
      </w:r>
      <w:r>
        <w:t xml:space="preserve"> a </w:t>
      </w:r>
      <w:r w:rsidRPr="004B1D85">
        <w:t>se stěžovatelkou nejednal. Stěžovatelka se tak</w:t>
      </w:r>
      <w:r>
        <w:t xml:space="preserve"> o </w:t>
      </w:r>
      <w:r w:rsidRPr="004B1D85">
        <w:t>povolení stavby dozvěděla až poté, co stavebník začal stavět. To však již uplynula lhůta,</w:t>
      </w:r>
      <w:r>
        <w:t xml:space="preserve"> v </w:t>
      </w:r>
      <w:r w:rsidRPr="004B1D85">
        <w:t>níž bylo možné souhlas stavebního úřadu zrušit.</w:t>
      </w:r>
    </w:p>
    <w:p w14:paraId="4E4E0EA5" w14:textId="77777777" w:rsidR="00FA72BB" w:rsidRDefault="00FA72BB" w:rsidP="00FA72BB">
      <w:r w:rsidRPr="00A6298A">
        <w:t>Přestože jsme stěžovatelce už nemohli pomoci, její podnět jsme šetřili, abychom poučili stavební úřad o správném postupu. Stavební úřad přislíbil, že svou praxi změní.</w:t>
      </w:r>
    </w:p>
    <w:p w14:paraId="513383BE" w14:textId="1591D6CE" w:rsidR="002475ED" w:rsidRDefault="002475ED" w:rsidP="00B54CCC">
      <w:pPr>
        <w:pStyle w:val="Nadpis3"/>
        <w:rPr>
          <w:rFonts w:eastAsiaTheme="minorHAnsi"/>
        </w:rPr>
      </w:pPr>
      <w:r>
        <w:rPr>
          <w:rFonts w:eastAsiaTheme="minorHAnsi"/>
        </w:rPr>
        <w:t>Příspěvek na aktivní politiku zaměstnanosti může dostat i člověk v exekuci</w:t>
      </w:r>
      <w:r>
        <w:rPr>
          <w:rFonts w:eastAsiaTheme="minorHAnsi"/>
        </w:rPr>
        <w:br/>
        <w:t>(</w:t>
      </w:r>
      <w:proofErr w:type="spellStart"/>
      <w:r>
        <w:rPr>
          <w:rFonts w:eastAsiaTheme="minorHAnsi"/>
        </w:rPr>
        <w:t>sp</w:t>
      </w:r>
      <w:proofErr w:type="spellEnd"/>
      <w:r>
        <w:rPr>
          <w:rFonts w:eastAsiaTheme="minorHAnsi"/>
        </w:rPr>
        <w:t xml:space="preserve">. zn. </w:t>
      </w:r>
      <w:hyperlink r:id="rId7" w:history="1">
        <w:r w:rsidRPr="00375C33">
          <w:rPr>
            <w:rStyle w:val="Hypertextovodkaz"/>
            <w:rFonts w:asciiTheme="minorHAnsi" w:eastAsiaTheme="minorHAnsi" w:hAnsiTheme="minorHAnsi"/>
          </w:rPr>
          <w:t>14851/2022</w:t>
        </w:r>
        <w:r w:rsidR="00375C33" w:rsidRPr="00375C33">
          <w:rPr>
            <w:rStyle w:val="Hypertextovodkaz"/>
            <w:rFonts w:asciiTheme="minorHAnsi" w:eastAsiaTheme="minorHAnsi" w:hAnsiTheme="minorHAnsi"/>
          </w:rPr>
          <w:t>/VOP</w:t>
        </w:r>
      </w:hyperlink>
      <w:r>
        <w:rPr>
          <w:rFonts w:eastAsiaTheme="minorHAnsi"/>
        </w:rPr>
        <w:t>)</w:t>
      </w:r>
      <w:bookmarkEnd w:id="1"/>
      <w:bookmarkEnd w:id="2"/>
    </w:p>
    <w:p w14:paraId="4051F6C0" w14:textId="77777777" w:rsidR="002475ED" w:rsidRDefault="002475ED" w:rsidP="002475ED">
      <w:pPr>
        <w:pStyle w:val="Zkladntext"/>
        <w:rPr>
          <w:rStyle w:val="Siln"/>
        </w:rPr>
      </w:pPr>
      <w:r w:rsidRPr="00F51567">
        <w:rPr>
          <w:rStyle w:val="Siln"/>
        </w:rPr>
        <w:t>Úřad práce ČR může poskytnout příspěvek</w:t>
      </w:r>
      <w:r>
        <w:rPr>
          <w:rStyle w:val="Siln"/>
        </w:rPr>
        <w:t xml:space="preserve"> na </w:t>
      </w:r>
      <w:r w:rsidRPr="00F51567">
        <w:rPr>
          <w:rStyle w:val="Siln"/>
        </w:rPr>
        <w:t>aktivní politiku zaměstnanosti</w:t>
      </w:r>
      <w:r>
        <w:rPr>
          <w:rStyle w:val="Siln"/>
        </w:rPr>
        <w:t xml:space="preserve"> i </w:t>
      </w:r>
      <w:r w:rsidRPr="00F51567">
        <w:rPr>
          <w:rStyle w:val="Siln"/>
        </w:rPr>
        <w:t>žadateli</w:t>
      </w:r>
      <w:r>
        <w:rPr>
          <w:rStyle w:val="Siln"/>
        </w:rPr>
        <w:t xml:space="preserve"> s </w:t>
      </w:r>
      <w:r w:rsidRPr="00F51567">
        <w:rPr>
          <w:rStyle w:val="Siln"/>
        </w:rPr>
        <w:t xml:space="preserve">exekučně postiženým </w:t>
      </w:r>
      <w:r>
        <w:rPr>
          <w:rStyle w:val="Siln"/>
        </w:rPr>
        <w:t xml:space="preserve">bankovním </w:t>
      </w:r>
      <w:r w:rsidRPr="00F51567">
        <w:rPr>
          <w:rStyle w:val="Siln"/>
        </w:rPr>
        <w:t xml:space="preserve">účtem. </w:t>
      </w:r>
      <w:r>
        <w:rPr>
          <w:rStyle w:val="Siln"/>
        </w:rPr>
        <w:t>Žadatele musí poučit, jak příspěvek z účtu získat, aby ho mohl použít k zamýšlenému účelu.</w:t>
      </w:r>
    </w:p>
    <w:p w14:paraId="2373FEB7" w14:textId="43E71253" w:rsidR="002475ED" w:rsidRDefault="002475ED" w:rsidP="002475ED">
      <w:pPr>
        <w:pStyle w:val="Zkladntext"/>
      </w:pPr>
      <w:r>
        <w:t xml:space="preserve">Úřad práce žadateli nedal příspěvek na aktivní politiku zaměstnanosti (na zahájení podnikání) jen proto, že </w:t>
      </w:r>
      <w:r w:rsidR="00536EF8">
        <w:t>měl kvůli exekuci</w:t>
      </w:r>
      <w:r>
        <w:t xml:space="preserve"> zablokovaný účet u banky. Obával se totiž, že žadatel kvůli exekuci příspěvek nebude moci použít k zamýšlenému účelu.</w:t>
      </w:r>
    </w:p>
    <w:p w14:paraId="33FF7997" w14:textId="77777777" w:rsidR="002475ED" w:rsidRDefault="002475ED" w:rsidP="002475ED">
      <w:pPr>
        <w:pStyle w:val="Zkladntext"/>
      </w:pPr>
      <w:r>
        <w:t>Příspěvek na aktivní politiku zaměstnanosti ale je účelově určený a exekuci nepodléhá. Příjemce ho tedy může využít, i když mu přijde na zablokovaný účet. Stačí, když podá návrh na částečné zastavení exekuce – v rozsahu poskytnutého příspěvku.</w:t>
      </w:r>
    </w:p>
    <w:p w14:paraId="6AE857CA" w14:textId="77777777" w:rsidR="002475ED" w:rsidRDefault="002475ED" w:rsidP="002475ED">
      <w:pPr>
        <w:pStyle w:val="Zkladntext"/>
      </w:pPr>
      <w:r>
        <w:t>Abychom zajistili, že úřady práce neodmítnou žádného žadatele jen kvůli exekuci, požádali jsme Generální ředitelství Úřadu práce ČR, aby krajské pobočky poučilo o správném postupu.</w:t>
      </w:r>
    </w:p>
    <w:p w14:paraId="0A51FD80" w14:textId="6E7CDA97" w:rsidR="002475ED" w:rsidRDefault="002475ED" w:rsidP="002475ED">
      <w:pPr>
        <w:rPr>
          <w:lang w:eastAsia="cs-CZ"/>
        </w:rPr>
      </w:pPr>
      <w:r>
        <w:t>Generální ředitelství nám vyhovělo a pro žadatele navíc připravilo leták s informacemi, jak postupovat.</w:t>
      </w:r>
    </w:p>
    <w:p w14:paraId="107121CD" w14:textId="77777777" w:rsidR="00511826" w:rsidRPr="00B54CCC" w:rsidRDefault="00511826" w:rsidP="00B54CCC">
      <w:pPr>
        <w:pStyle w:val="Nadpis3"/>
      </w:pPr>
      <w:bookmarkStart w:id="3" w:name="_Toc131077371"/>
      <w:bookmarkStart w:id="4" w:name="_Toc131077375"/>
      <w:bookmarkStart w:id="5" w:name="_Toc131077374"/>
      <w:r w:rsidRPr="00B54CCC">
        <w:lastRenderedPageBreak/>
        <w:t>Za příjemce dávek pomoci v hmotné nouze platí zdravotní pojištění většinou stát</w:t>
      </w:r>
      <w:r w:rsidRPr="00B54CCC">
        <w:br/>
        <w:t>(</w:t>
      </w:r>
      <w:proofErr w:type="spellStart"/>
      <w:r w:rsidRPr="00B54CCC">
        <w:t>sp</w:t>
      </w:r>
      <w:proofErr w:type="spellEnd"/>
      <w:r w:rsidRPr="00B54CCC">
        <w:t xml:space="preserve">. zn. </w:t>
      </w:r>
      <w:hyperlink r:id="rId8" w:history="1">
        <w:r w:rsidRPr="002562FE">
          <w:rPr>
            <w:rStyle w:val="Hypertextovodkaz"/>
          </w:rPr>
          <w:t>5932/2022/VOP</w:t>
        </w:r>
      </w:hyperlink>
      <w:r w:rsidRPr="00B54CCC">
        <w:t>)</w:t>
      </w:r>
      <w:bookmarkEnd w:id="3"/>
    </w:p>
    <w:p w14:paraId="5F2A753C" w14:textId="19DA82FA" w:rsidR="00511826" w:rsidRPr="00C7685C" w:rsidRDefault="00145C29" w:rsidP="00511826">
      <w:pPr>
        <w:pStyle w:val="Zkladntext"/>
        <w:rPr>
          <w:rStyle w:val="Siln"/>
        </w:rPr>
      </w:pPr>
      <w:r>
        <w:rPr>
          <w:b/>
          <w:bCs/>
        </w:rPr>
        <w:t xml:space="preserve">Příjemci dávek pomoci v hmotné nouzi si zdravotní pojištění sami platit nemusí, plátcem pojistného je za ně stát. Pokud tyto osoby pracují, má za ně povinnost odvést pojistné buď stát, nebo spolu s ním i jejich </w:t>
      </w:r>
      <w:r w:rsidR="00F3390E">
        <w:rPr>
          <w:b/>
          <w:bCs/>
        </w:rPr>
        <w:t>zaměstnavatel – podle</w:t>
      </w:r>
      <w:r>
        <w:rPr>
          <w:b/>
          <w:bCs/>
        </w:rPr>
        <w:t xml:space="preserve"> výše dosaženého výdělku</w:t>
      </w:r>
      <w:r w:rsidR="00511826" w:rsidRPr="00C7685C">
        <w:rPr>
          <w:rStyle w:val="Siln"/>
        </w:rPr>
        <w:t>.</w:t>
      </w:r>
    </w:p>
    <w:p w14:paraId="7AE06EBD" w14:textId="77777777" w:rsidR="00511826" w:rsidRPr="007040C8" w:rsidRDefault="00511826" w:rsidP="00511826">
      <w:pPr>
        <w:pStyle w:val="Zkladntext"/>
      </w:pPr>
      <w:r>
        <w:t>Zdravotní pojišťovna požadovala po stěžovatelce</w:t>
      </w:r>
      <w:r w:rsidRPr="00335AC4">
        <w:t xml:space="preserve"> </w:t>
      </w:r>
      <w:r>
        <w:t>zaplacení pojistného i za období, kdy</w:t>
      </w:r>
      <w:r w:rsidRPr="00335AC4">
        <w:t xml:space="preserve"> pobír</w:t>
      </w:r>
      <w:r>
        <w:t xml:space="preserve">ala dávky pomoci v hmotné nouzi. Příjemci těchto dávek přitom pojistné platit nemusí (pojistné za ně odvádí </w:t>
      </w:r>
      <w:r w:rsidRPr="00335AC4">
        <w:t>stát</w:t>
      </w:r>
      <w:r>
        <w:t>), pokud</w:t>
      </w:r>
      <w:r w:rsidRPr="000A07DD">
        <w:t xml:space="preserve"> nejsou </w:t>
      </w:r>
      <w:r>
        <w:t>slovy zákona „</w:t>
      </w:r>
      <w:r w:rsidRPr="00572517">
        <w:rPr>
          <w:rStyle w:val="Zdraznn"/>
        </w:rPr>
        <w:t>v pracovním ani obdobném vztahu</w:t>
      </w:r>
      <w:r>
        <w:rPr>
          <w:rStyle w:val="Zdraznn"/>
        </w:rPr>
        <w:t>.</w:t>
      </w:r>
      <w:r>
        <w:t>“ Zdravotní pojišťovna argumentovala tím, že si stěžovatelka přivydělávala na základě dohod mimo pracovní poměr, takže byla v pracovním vztahu a zákonné podmínky pro hrazení pojistného státem nesplnila (zároveň však nedosáhla takového výdělku, aby z něj pojistné odvedl zaměstnavatel).</w:t>
      </w:r>
    </w:p>
    <w:p w14:paraId="0F0530BD" w14:textId="77777777" w:rsidR="00511826" w:rsidRDefault="00511826" w:rsidP="00511826">
      <w:pPr>
        <w:pStyle w:val="Zkladntext"/>
      </w:pPr>
      <w:r>
        <w:t>Podle nás je však nutné zkoumat výši příjmu.</w:t>
      </w:r>
      <w:r w:rsidRPr="00572517">
        <w:t xml:space="preserve"> </w:t>
      </w:r>
      <w:r>
        <w:t>Pokud příjemci dávek nedosáhnou takového výdělku, že povinnost odvést pojistné vzniká zaměstnavateli, pak pojistné dál platí stát, nikoliv příjemce dávek.</w:t>
      </w:r>
    </w:p>
    <w:p w14:paraId="552B81AD" w14:textId="77777777" w:rsidR="00511826" w:rsidRDefault="00511826" w:rsidP="00511826">
      <w:pPr>
        <w:rPr>
          <w:lang w:eastAsia="cs-CZ"/>
        </w:rPr>
      </w:pPr>
      <w:r>
        <w:t>Zdravotní pojišťovna náš názor přijala a zpětně stěžovatelku zařadila do kategorie pojištěnců, za které hradí pojistné stát. Pojistné už po ní nepožadovala.</w:t>
      </w:r>
    </w:p>
    <w:p w14:paraId="57CEA285" w14:textId="77777777" w:rsidR="00536EF8" w:rsidRDefault="00536EF8" w:rsidP="00B54CCC">
      <w:pPr>
        <w:pStyle w:val="Nadpis3"/>
      </w:pPr>
      <w:r>
        <w:t>Policista musí vysvětlit, proč chce vidět občanku (</w:t>
      </w:r>
      <w:proofErr w:type="spellStart"/>
      <w:r>
        <w:t>sp</w:t>
      </w:r>
      <w:proofErr w:type="spellEnd"/>
      <w:r>
        <w:t xml:space="preserve">. zn. </w:t>
      </w:r>
      <w:hyperlink r:id="rId9" w:history="1">
        <w:r w:rsidRPr="002D17CA">
          <w:rPr>
            <w:rStyle w:val="Hypertextovodkaz"/>
            <w:rFonts w:asciiTheme="minorHAnsi" w:hAnsiTheme="minorHAnsi"/>
          </w:rPr>
          <w:t>15934/2022/VOP</w:t>
        </w:r>
      </w:hyperlink>
      <w:r>
        <w:t>)</w:t>
      </w:r>
      <w:bookmarkEnd w:id="4"/>
    </w:p>
    <w:p w14:paraId="2D3DB1E4" w14:textId="77777777" w:rsidR="00536EF8" w:rsidRDefault="00536EF8" w:rsidP="00536EF8">
      <w:pPr>
        <w:pStyle w:val="Zkladntext"/>
        <w:rPr>
          <w:rStyle w:val="Siln"/>
        </w:rPr>
      </w:pPr>
      <w:r w:rsidRPr="00FA7E60">
        <w:rPr>
          <w:rStyle w:val="Siln"/>
        </w:rPr>
        <w:t>Zákonná povinnost policisty (podle</w:t>
      </w:r>
      <w:r>
        <w:rPr>
          <w:rStyle w:val="Siln"/>
        </w:rPr>
        <w:t xml:space="preserve"> § </w:t>
      </w:r>
      <w:r w:rsidRPr="00FA7E60">
        <w:rPr>
          <w:rStyle w:val="Siln"/>
        </w:rPr>
        <w:t>13 zákona</w:t>
      </w:r>
      <w:r>
        <w:rPr>
          <w:rStyle w:val="Siln"/>
        </w:rPr>
        <w:t xml:space="preserve"> č. </w:t>
      </w:r>
      <w:r w:rsidRPr="00FA7E60">
        <w:rPr>
          <w:rStyle w:val="Siln"/>
        </w:rPr>
        <w:t>273/2008 Sb.,</w:t>
      </w:r>
      <w:r>
        <w:rPr>
          <w:rStyle w:val="Siln"/>
        </w:rPr>
        <w:t xml:space="preserve"> o </w:t>
      </w:r>
      <w:r w:rsidRPr="00FA7E60">
        <w:rPr>
          <w:rStyle w:val="Siln"/>
        </w:rPr>
        <w:t>Policii České republiky) poučit osobu, vůči níž vykonává svou pravomoc,</w:t>
      </w:r>
      <w:r>
        <w:rPr>
          <w:rStyle w:val="Siln"/>
        </w:rPr>
        <w:t xml:space="preserve"> o </w:t>
      </w:r>
      <w:r w:rsidRPr="00FA7E60">
        <w:rPr>
          <w:rStyle w:val="Siln"/>
        </w:rPr>
        <w:t>důvodech provedení úkonu, se vztahuje</w:t>
      </w:r>
      <w:r>
        <w:rPr>
          <w:rStyle w:val="Siln"/>
        </w:rPr>
        <w:t xml:space="preserve"> i na </w:t>
      </w:r>
      <w:r w:rsidRPr="00FA7E60">
        <w:rPr>
          <w:rStyle w:val="Siln"/>
        </w:rPr>
        <w:t>pokyn</w:t>
      </w:r>
      <w:r>
        <w:rPr>
          <w:rStyle w:val="Siln"/>
        </w:rPr>
        <w:t xml:space="preserve"> k </w:t>
      </w:r>
      <w:r w:rsidRPr="00FA7E60">
        <w:rPr>
          <w:rStyle w:val="Siln"/>
        </w:rPr>
        <w:t>prokázání totožnosti.</w:t>
      </w:r>
    </w:p>
    <w:p w14:paraId="32DE4F0C" w14:textId="77777777" w:rsidR="00536EF8" w:rsidRPr="00FA7E60" w:rsidRDefault="00536EF8" w:rsidP="00536EF8">
      <w:pPr>
        <w:pStyle w:val="Zkladntext"/>
        <w:rPr>
          <w:rStyle w:val="Siln"/>
        </w:rPr>
      </w:pPr>
      <w:r w:rsidRPr="00FA7E60">
        <w:rPr>
          <w:rStyle w:val="Siln"/>
        </w:rPr>
        <w:t>Policista je</w:t>
      </w:r>
      <w:r>
        <w:rPr>
          <w:rStyle w:val="Siln"/>
        </w:rPr>
        <w:t xml:space="preserve"> při </w:t>
      </w:r>
      <w:r w:rsidRPr="00FA7E60">
        <w:rPr>
          <w:rStyle w:val="Siln"/>
        </w:rPr>
        <w:t>plnění úkolů policie povinen dodržovat pravidla zdvořilosti</w:t>
      </w:r>
      <w:r>
        <w:rPr>
          <w:rStyle w:val="Siln"/>
        </w:rPr>
        <w:t xml:space="preserve"> a </w:t>
      </w:r>
      <w:r w:rsidRPr="00FA7E60">
        <w:rPr>
          <w:rStyle w:val="Siln"/>
        </w:rPr>
        <w:t>dbát cti, vážnosti</w:t>
      </w:r>
      <w:r>
        <w:rPr>
          <w:rStyle w:val="Siln"/>
        </w:rPr>
        <w:t xml:space="preserve"> a </w:t>
      </w:r>
      <w:r w:rsidRPr="00FA7E60">
        <w:rPr>
          <w:rStyle w:val="Siln"/>
        </w:rPr>
        <w:t>důstojnosti osob (§ 9 zákona</w:t>
      </w:r>
      <w:r>
        <w:rPr>
          <w:rStyle w:val="Siln"/>
        </w:rPr>
        <w:t xml:space="preserve"> o </w:t>
      </w:r>
      <w:r w:rsidRPr="00FA7E60">
        <w:rPr>
          <w:rStyle w:val="Siln"/>
        </w:rPr>
        <w:t>policii) bez ohledu</w:t>
      </w:r>
      <w:r>
        <w:rPr>
          <w:rStyle w:val="Siln"/>
        </w:rPr>
        <w:t xml:space="preserve"> na </w:t>
      </w:r>
      <w:r w:rsidRPr="00FA7E60">
        <w:rPr>
          <w:rStyle w:val="Siln"/>
        </w:rPr>
        <w:t>to, zda se tyto osoby vůči němu chovají slušně či nikoli.</w:t>
      </w:r>
    </w:p>
    <w:p w14:paraId="158B4352" w14:textId="77777777" w:rsidR="00536EF8" w:rsidRDefault="00536EF8" w:rsidP="00536EF8">
      <w:pPr>
        <w:pStyle w:val="Zkladntext"/>
      </w:pPr>
      <w:r w:rsidRPr="00A649EF">
        <w:t>Na začátku srpna 2022 proběhlo několik shromáždění poslance A. Babiše</w:t>
      </w:r>
      <w:r>
        <w:t xml:space="preserve"> v </w:t>
      </w:r>
      <w:r w:rsidRPr="00A649EF">
        <w:t>Jihočeském kraji. Jedno</w:t>
      </w:r>
      <w:r>
        <w:t xml:space="preserve"> z </w:t>
      </w:r>
      <w:r w:rsidRPr="00A649EF">
        <w:t>nich</w:t>
      </w:r>
      <w:r>
        <w:t xml:space="preserve"> v </w:t>
      </w:r>
      <w:r w:rsidRPr="00A649EF">
        <w:t>Borovanech.</w:t>
      </w:r>
      <w:r>
        <w:t xml:space="preserve"> Při </w:t>
      </w:r>
      <w:r w:rsidRPr="00A649EF">
        <w:t>této akci došlo</w:t>
      </w:r>
      <w:r>
        <w:t xml:space="preserve"> k </w:t>
      </w:r>
      <w:r w:rsidRPr="00A649EF">
        <w:t>tomu, že jeden hoch (posléze ztotožněn jako mladistvý J. S., nar. 3/2007) začal odnášet reproduktor</w:t>
      </w:r>
      <w:r>
        <w:t xml:space="preserve"> a </w:t>
      </w:r>
      <w:r w:rsidRPr="00A649EF">
        <w:t>vrátil ho, až když ho požádala pořadatelka.</w:t>
      </w:r>
    </w:p>
    <w:p w14:paraId="1AA270F7" w14:textId="77777777" w:rsidR="00536EF8" w:rsidRPr="00A649EF" w:rsidRDefault="00536EF8" w:rsidP="00536EF8">
      <w:pPr>
        <w:pStyle w:val="Zkladntext"/>
      </w:pPr>
      <w:r>
        <w:t>Přítomní policisté s</w:t>
      </w:r>
      <w:r w:rsidRPr="00A649EF">
        <w:t>ituaci začal</w:t>
      </w:r>
      <w:r>
        <w:t>i</w:t>
      </w:r>
      <w:r w:rsidRPr="00A649EF">
        <w:t xml:space="preserve"> řešit jako </w:t>
      </w:r>
      <w:r>
        <w:t xml:space="preserve">možný </w:t>
      </w:r>
      <w:r w:rsidRPr="00A649EF">
        <w:t>přestup</w:t>
      </w:r>
      <w:r>
        <w:t>e</w:t>
      </w:r>
      <w:r w:rsidRPr="00A649EF">
        <w:t>k.</w:t>
      </w:r>
    </w:p>
    <w:p w14:paraId="64D474D7" w14:textId="77777777" w:rsidR="00536EF8" w:rsidRDefault="00536EF8" w:rsidP="00536EF8">
      <w:pPr>
        <w:pStyle w:val="Zkladntext"/>
      </w:pPr>
      <w:r>
        <w:t xml:space="preserve">Podle </w:t>
      </w:r>
      <w:r w:rsidRPr="00A649EF">
        <w:t xml:space="preserve">videozáznamu </w:t>
      </w:r>
      <w:r>
        <w:t xml:space="preserve">tři </w:t>
      </w:r>
      <w:r w:rsidRPr="00A649EF">
        <w:t>policisté</w:t>
      </w:r>
      <w:r>
        <w:t xml:space="preserve"> v </w:t>
      </w:r>
      <w:r w:rsidRPr="00A649EF">
        <w:t>civilu hocha vyzvali</w:t>
      </w:r>
      <w:r>
        <w:t xml:space="preserve"> k </w:t>
      </w:r>
      <w:r w:rsidRPr="00A649EF">
        <w:t>prokázání totožnosti</w:t>
      </w:r>
      <w:r>
        <w:t>, ale</w:t>
      </w:r>
      <w:r w:rsidRPr="00A649EF">
        <w:t xml:space="preserve"> </w:t>
      </w:r>
      <w:r>
        <w:t>nesdělili mu důvod (</w:t>
      </w:r>
      <w:r w:rsidRPr="00A649EF">
        <w:t>z</w:t>
      </w:r>
      <w:r>
        <w:t xml:space="preserve"> </w:t>
      </w:r>
      <w:r w:rsidRPr="00A649EF">
        <w:t>jakého protiprávního jednání ho podezřívání</w:t>
      </w:r>
      <w:r>
        <w:t>)</w:t>
      </w:r>
      <w:r w:rsidRPr="00A649EF">
        <w:t>, tykali</w:t>
      </w:r>
      <w:r>
        <w:t xml:space="preserve"> mu a </w:t>
      </w:r>
      <w:r w:rsidRPr="00A649EF">
        <w:t>byli arogantní. Protože hoch</w:t>
      </w:r>
      <w:r>
        <w:t xml:space="preserve"> na </w:t>
      </w:r>
      <w:r w:rsidRPr="00A649EF">
        <w:t>výzvy nereagoval, použi</w:t>
      </w:r>
      <w:r>
        <w:t>li</w:t>
      </w:r>
      <w:r w:rsidRPr="00A649EF">
        <w:t xml:space="preserve"> donucovací prostředk</w:t>
      </w:r>
      <w:r>
        <w:t>y a </w:t>
      </w:r>
      <w:r w:rsidRPr="00A649EF">
        <w:t xml:space="preserve">spoutali </w:t>
      </w:r>
      <w:r>
        <w:t>ho na </w:t>
      </w:r>
      <w:r w:rsidRPr="00A649EF">
        <w:t>zemi, přičemž</w:t>
      </w:r>
      <w:r>
        <w:t xml:space="preserve"> na </w:t>
      </w:r>
      <w:r w:rsidRPr="00A649EF">
        <w:t>něm všichni tři policisté</w:t>
      </w:r>
      <w:r>
        <w:t xml:space="preserve"> klečeli</w:t>
      </w:r>
      <w:r w:rsidRPr="00A649EF">
        <w:t>.</w:t>
      </w:r>
    </w:p>
    <w:p w14:paraId="45935663" w14:textId="77777777" w:rsidR="00536EF8" w:rsidRDefault="00536EF8" w:rsidP="00536EF8">
      <w:r w:rsidRPr="00A649EF">
        <w:t>Policii jsme naše zjištění sdělili</w:t>
      </w:r>
      <w:r>
        <w:t xml:space="preserve"> a </w:t>
      </w:r>
      <w:r w:rsidRPr="00A649EF">
        <w:t>krajský ředitel</w:t>
      </w:r>
      <w:r>
        <w:t xml:space="preserve"> v </w:t>
      </w:r>
      <w:r w:rsidRPr="00A649EF">
        <w:t>reakci</w:t>
      </w:r>
      <w:r>
        <w:t xml:space="preserve"> na </w:t>
      </w:r>
      <w:r w:rsidRPr="00A649EF">
        <w:t>to zajistil proškolení všech policistů</w:t>
      </w:r>
      <w:r>
        <w:t xml:space="preserve"> o </w:t>
      </w:r>
      <w:r w:rsidRPr="00A649EF">
        <w:t>pravidlech</w:t>
      </w:r>
      <w:r>
        <w:t xml:space="preserve"> pro </w:t>
      </w:r>
      <w:r w:rsidRPr="00A649EF">
        <w:t>pokládání výzev, používání donucovacích prostředků, prokazování příslušnosti</w:t>
      </w:r>
      <w:r>
        <w:t xml:space="preserve"> k </w:t>
      </w:r>
      <w:r w:rsidRPr="00A649EF">
        <w:t>Policii ČR</w:t>
      </w:r>
      <w:r>
        <w:t xml:space="preserve"> i </w:t>
      </w:r>
      <w:r w:rsidRPr="00A649EF">
        <w:t>chování</w:t>
      </w:r>
      <w:r>
        <w:t xml:space="preserve"> k </w:t>
      </w:r>
      <w:r w:rsidRPr="00A649EF">
        <w:t>osobám, vůči nimž úkon směřuje.</w:t>
      </w:r>
      <w:r>
        <w:t xml:space="preserve"> V </w:t>
      </w:r>
      <w:r w:rsidRPr="00A649EF">
        <w:t>souvislosti</w:t>
      </w:r>
      <w:r>
        <w:t xml:space="preserve"> s </w:t>
      </w:r>
      <w:r w:rsidRPr="00A649EF">
        <w:t>poutáním</w:t>
      </w:r>
      <w:r>
        <w:t xml:space="preserve"> na </w:t>
      </w:r>
      <w:r w:rsidRPr="00A649EF">
        <w:t>zemi byli policisté také opakovaně poučeni</w:t>
      </w:r>
      <w:r>
        <w:t xml:space="preserve"> o </w:t>
      </w:r>
      <w:r w:rsidRPr="00A649EF">
        <w:t>rizicích tzv. poziční asfyxie. Tato opatření</w:t>
      </w:r>
      <w:r>
        <w:t xml:space="preserve"> k </w:t>
      </w:r>
      <w:r w:rsidRPr="00A649EF">
        <w:t>nápravě jsme považovali</w:t>
      </w:r>
      <w:r>
        <w:t xml:space="preserve"> za </w:t>
      </w:r>
      <w:r w:rsidRPr="00A649EF">
        <w:t>dostatečná</w:t>
      </w:r>
      <w:r>
        <w:t xml:space="preserve"> a </w:t>
      </w:r>
      <w:r w:rsidRPr="00A649EF">
        <w:t>šetření ukončili</w:t>
      </w:r>
      <w:r>
        <w:t>.</w:t>
      </w:r>
    </w:p>
    <w:p w14:paraId="4AEC9F01" w14:textId="77777777" w:rsidR="002475ED" w:rsidRDefault="002475ED" w:rsidP="00B54CCC">
      <w:pPr>
        <w:pStyle w:val="Nadpis3"/>
        <w:rPr>
          <w:rStyle w:val="Siln"/>
          <w:b/>
          <w:bCs/>
        </w:rPr>
      </w:pPr>
      <w:bookmarkStart w:id="6" w:name="_Toc131077377"/>
      <w:bookmarkEnd w:id="5"/>
      <w:r w:rsidRPr="00E86A05">
        <w:rPr>
          <w:rStyle w:val="Siln"/>
          <w:b/>
          <w:bCs/>
        </w:rPr>
        <w:lastRenderedPageBreak/>
        <w:t>Pokud soud rozhoduje</w:t>
      </w:r>
      <w:r>
        <w:rPr>
          <w:rStyle w:val="Siln"/>
          <w:b/>
          <w:bCs/>
        </w:rPr>
        <w:t xml:space="preserve"> o </w:t>
      </w:r>
      <w:r w:rsidRPr="00E86A05">
        <w:rPr>
          <w:rStyle w:val="Siln"/>
          <w:b/>
          <w:bCs/>
        </w:rPr>
        <w:t xml:space="preserve">dětech, musí být rychlý. </w:t>
      </w:r>
      <w:r>
        <w:rPr>
          <w:rStyle w:val="Siln"/>
          <w:b/>
          <w:bCs/>
        </w:rPr>
        <w:t>Pokud</w:t>
      </w:r>
      <w:r w:rsidRPr="00E86A05">
        <w:rPr>
          <w:rStyle w:val="Siln"/>
          <w:b/>
          <w:bCs/>
        </w:rPr>
        <w:t xml:space="preserve"> rodiče rozhodnutí nedodržují, musí být ještě rychlejší (</w:t>
      </w:r>
      <w:proofErr w:type="spellStart"/>
      <w:r w:rsidRPr="00E86A05">
        <w:rPr>
          <w:rStyle w:val="Siln"/>
          <w:b/>
          <w:bCs/>
        </w:rPr>
        <w:t>sp</w:t>
      </w:r>
      <w:proofErr w:type="spellEnd"/>
      <w:r w:rsidRPr="00E86A05">
        <w:rPr>
          <w:rStyle w:val="Siln"/>
          <w:b/>
          <w:bCs/>
        </w:rPr>
        <w:t xml:space="preserve">. zn. </w:t>
      </w:r>
      <w:hyperlink r:id="rId10" w:history="1">
        <w:r w:rsidRPr="00CB7E5B">
          <w:rPr>
            <w:rStyle w:val="Hypertextovodkaz"/>
          </w:rPr>
          <w:t>10198/2022/VOP</w:t>
        </w:r>
      </w:hyperlink>
      <w:r>
        <w:rPr>
          <w:rStyle w:val="Siln"/>
          <w:b/>
          <w:bCs/>
        </w:rPr>
        <w:t>)</w:t>
      </w:r>
      <w:bookmarkEnd w:id="6"/>
    </w:p>
    <w:p w14:paraId="729CC7FF" w14:textId="77777777" w:rsidR="002475ED" w:rsidRDefault="002475ED" w:rsidP="002475ED">
      <w:pPr>
        <w:pStyle w:val="Zkladntext"/>
        <w:rPr>
          <w:rStyle w:val="Siln"/>
        </w:rPr>
      </w:pPr>
      <w:r>
        <w:rPr>
          <w:rStyle w:val="Siln"/>
        </w:rPr>
        <w:t>O návrhu rodiče, aby soud zajistil dodržování svého rozsudku, kterým upravil kontakt rodičů s dítětem (návrh na výkon), musí soud rozhodnout co nejrychleji. Předseda soudu na to musí dohlédnout stejně, jako by soud vedl o návrhu na výkon samostatné řízení.</w:t>
      </w:r>
    </w:p>
    <w:p w14:paraId="03B16B4A" w14:textId="77777777" w:rsidR="002475ED" w:rsidRDefault="002475ED" w:rsidP="002475ED">
      <w:pPr>
        <w:pStyle w:val="Zkladntext"/>
        <w:rPr>
          <w:rStyle w:val="Siln"/>
        </w:rPr>
      </w:pPr>
      <w:r>
        <w:rPr>
          <w:rStyle w:val="Siln"/>
        </w:rPr>
        <w:t>Z vyřízení stížnosti na průtahy v řízení musí být jasné, v čem je stížnost důvodná a v čem ne a proč.</w:t>
      </w:r>
    </w:p>
    <w:p w14:paraId="486DADDB" w14:textId="77777777" w:rsidR="002475ED" w:rsidRDefault="002475ED" w:rsidP="002475ED">
      <w:pPr>
        <w:pStyle w:val="Zkladntext"/>
      </w:pPr>
      <w:r>
        <w:t xml:space="preserve">Stěžovatel se u soudu opakovaně domáhal toho, aby matka dětí dodržovala rozhodnutí, v němž soud stanovil, kdy mají být děti u matky a kdy u otce. V průběhu dvou let stěžovatel podal k soudu 13 návrhů na výkon rozhodnutí. Soudkyně o nich po celou dobu nerozhodla. K návrhům na výkon rozhodnutí nezaložila nový spis, ale vložila je do spisu, ve kterém rozhodovala o kontaktu rodičů s dítětem. To je obvyklá praxe. O návrzích však nerozhodla. Navíc stěžovatel označil v řízení další období, v němž byla soudkyně devět měsíců nečinná. Stížnost na průtahy v řízení přesto místopředseda soudu vyřídil jako důvodnou jen zčásti. V odpovědi na stížnost přitom nevysvětlil, v čem stěžovateli dává zapravdu a v jaké části stížnost důvodná není. </w:t>
      </w:r>
    </w:p>
    <w:p w14:paraId="6E2D5F60" w14:textId="6775F1C5" w:rsidR="002475ED" w:rsidRDefault="00536EF8" w:rsidP="002475ED">
      <w:r>
        <w:t xml:space="preserve">Předsedkyně soudu s námi souhlasila. Připustila, že kontrola pouze prostřednictvím informačního systému soudu nemusí zachytit všechny případy. Jednou za 14 dnů proto prověří úkony konkrétní soudkyně a zkontroluje její spisy. </w:t>
      </w:r>
    </w:p>
    <w:p w14:paraId="53F4F792" w14:textId="4AAD8B37" w:rsidR="00FD2867" w:rsidRPr="00742EFB" w:rsidRDefault="00FD2867" w:rsidP="00B54CCC">
      <w:pPr>
        <w:pStyle w:val="Nadpis3"/>
      </w:pPr>
      <w:r w:rsidRPr="00742EFB">
        <w:rPr>
          <w:rStyle w:val="Hypertextovodkaz"/>
          <w:rFonts w:asciiTheme="minorHAnsi" w:hAnsiTheme="minorHAnsi"/>
          <w:u w:val="none"/>
        </w:rPr>
        <w:t>Mohou ukrajinští obyvatelé Krymu žádat o dočasnou ochranu? (</w:t>
      </w:r>
      <w:proofErr w:type="spellStart"/>
      <w:r w:rsidRPr="00742EFB">
        <w:rPr>
          <w:rStyle w:val="Hypertextovodkaz"/>
          <w:rFonts w:asciiTheme="minorHAnsi" w:hAnsiTheme="minorHAnsi"/>
          <w:u w:val="none"/>
        </w:rPr>
        <w:t>sp</w:t>
      </w:r>
      <w:proofErr w:type="spellEnd"/>
      <w:r w:rsidRPr="00742EFB">
        <w:rPr>
          <w:rStyle w:val="Hypertextovodkaz"/>
          <w:rFonts w:asciiTheme="minorHAnsi" w:hAnsiTheme="minorHAnsi"/>
          <w:u w:val="none"/>
        </w:rPr>
        <w:t>. zn. 16397/2022/VOP</w:t>
      </w:r>
      <w:r w:rsidRPr="00742EFB">
        <w:rPr>
          <w:rStyle w:val="Nadpis1Char"/>
          <w:rFonts w:eastAsiaTheme="majorEastAsia"/>
          <w:color w:val="008576"/>
          <w:sz w:val="23"/>
          <w:szCs w:val="23"/>
          <w:lang w:eastAsia="en-US"/>
        </w:rPr>
        <w:t>)</w:t>
      </w:r>
    </w:p>
    <w:p w14:paraId="77CA7DF8" w14:textId="77777777" w:rsidR="00FD2867" w:rsidRPr="003E5075" w:rsidRDefault="00FD2867" w:rsidP="003E5075">
      <w:pPr>
        <w:pStyle w:val="Zkladntext"/>
        <w:rPr>
          <w:rStyle w:val="Siln"/>
        </w:rPr>
      </w:pPr>
      <w:r w:rsidRPr="003E5075">
        <w:rPr>
          <w:rStyle w:val="Siln"/>
        </w:rPr>
        <w:t>Lidé přicházející z území okupovaných Ruskem, ať už mají ukrajinský, nebo ukrajinský a zároveň ruský pas, můžou žádat o dočasnou ochranu. Okupovaná území jsou stále součástí Ukrajiny. Nesmíme nikoho vyloučit z ochrany.</w:t>
      </w:r>
    </w:p>
    <w:p w14:paraId="3A65E3E0" w14:textId="77777777" w:rsidR="00FD2867" w:rsidRDefault="00FD2867" w:rsidP="003E5075">
      <w:pPr>
        <w:pStyle w:val="Zkladntext"/>
      </w:pPr>
      <w:r>
        <w:t xml:space="preserve">Ukrajinský stěžovatel, který žil na Krymu, má ukrajinský a ruský pas. V březnu 2014 Krymský parlament vyhlásil nezávislý svrchovaný stát s názvem Republika Krym, který okamžitě požádal o vstup do Ruské federace. Lidé žijící na Krymu získali ruské pasy. Ze strachu z války stěžovatel utekl přes Kazachstán a Německo do České republiky. Chtěl žádat o dočasnou ochranu na pražském Krajském asistenčním centru pomoci Ukrajině (KACPU). Žádost o dočasnou ochranu vyhodnotili pracovníci KACPU jako nepřijatelnou. Domnívali se, že stěžovatel na ni nemá nárok, protože má i ruský pas. </w:t>
      </w:r>
      <w:r>
        <w:rPr>
          <w:color w:val="000000"/>
        </w:rPr>
        <w:t>Doporučili mu, ať hledá ochranu v Rusku.</w:t>
      </w:r>
      <w:r>
        <w:t xml:space="preserve"> </w:t>
      </w:r>
      <w:r>
        <w:rPr>
          <w:color w:val="000000"/>
        </w:rPr>
        <w:t>Pokud by stěžovatel hledal ochranu v Rusku, pravděpodobně by musel jít bojovat proti Ukrajině.</w:t>
      </w:r>
    </w:p>
    <w:p w14:paraId="041239D9" w14:textId="023D5984" w:rsidR="00E02ED1" w:rsidRDefault="00FD2867" w:rsidP="00742EFB">
      <w:pPr>
        <w:pStyle w:val="Zkladntext"/>
      </w:pPr>
      <w:r>
        <w:t xml:space="preserve">Spojili jsme se s Odborem azylové a migrační politiky Ministerstva vnitra (OAMP) a zjišťovali, jak přistupují k lidem s ukrajinskou státní příslušností, kteří mají dvoje doklady. OAMP slíbil, že i lidem, kteří přichází z okupovaných území, umožní podat žádost o dočasnou ochranu a pečlivě ji posoudí. Stěžovatel nakonec mohl znovu požádat o dočasnou ochranu a získal ji. Podobná situace jako v případě stěžovatele může nastat i u dalších státních příslušníků Ukrajiny žijících na území, která zabralo Rusko. Například se jedná o Doněckou či Luhanskou lidovou republiku. </w:t>
      </w:r>
    </w:p>
    <w:p w14:paraId="0E35604B" w14:textId="5B3A737D" w:rsidR="00E02ED1" w:rsidRPr="008D6A83" w:rsidRDefault="00E02ED1" w:rsidP="00E02ED1">
      <w:pPr>
        <w:pStyle w:val="Nadpis3"/>
      </w:pPr>
      <w:r w:rsidRPr="008D6A83">
        <w:t>Měnit střechu obsahující azbest lze jen s povo</w:t>
      </w:r>
      <w:r w:rsidR="00F83835">
        <w:t>lením stavebního úřadu (</w:t>
      </w:r>
      <w:proofErr w:type="spellStart"/>
      <w:r w:rsidR="00F83835">
        <w:t>sp</w:t>
      </w:r>
      <w:proofErr w:type="spellEnd"/>
      <w:r w:rsidR="00F83835">
        <w:t xml:space="preserve">. zn. </w:t>
      </w:r>
      <w:hyperlink r:id="rId11" w:history="1">
        <w:r w:rsidRPr="008D6A83">
          <w:rPr>
            <w:rStyle w:val="Hypertextovodkaz"/>
          </w:rPr>
          <w:t>12247/2022/VOP</w:t>
        </w:r>
      </w:hyperlink>
      <w:r w:rsidRPr="008D6A83">
        <w:t>)</w:t>
      </w:r>
    </w:p>
    <w:p w14:paraId="30BBDFDC" w14:textId="77777777" w:rsidR="00E02ED1" w:rsidRPr="008D6A83" w:rsidRDefault="00E02ED1" w:rsidP="00E02ED1">
      <w:pPr>
        <w:pStyle w:val="Zkladntext"/>
        <w:rPr>
          <w:rStyle w:val="Siln"/>
        </w:rPr>
      </w:pPr>
      <w:r w:rsidRPr="008D6A83">
        <w:rPr>
          <w:rStyle w:val="Siln"/>
        </w:rPr>
        <w:t>Stavebník může provést výměnu střešní krytiny, která obsahuje azbest, jen na základě povolení stavebního úřadu (podle okolností případu</w:t>
      </w:r>
      <w:r>
        <w:rPr>
          <w:rStyle w:val="Siln"/>
        </w:rPr>
        <w:t xml:space="preserve"> v</w:t>
      </w:r>
      <w:r w:rsidRPr="008D6A83">
        <w:rPr>
          <w:rStyle w:val="Siln"/>
        </w:rPr>
        <w:t xml:space="preserve"> režimu odstranění části stavby </w:t>
      </w:r>
      <w:r>
        <w:rPr>
          <w:rStyle w:val="Siln"/>
        </w:rPr>
        <w:t>pod</w:t>
      </w:r>
      <w:r w:rsidRPr="008D6A83">
        <w:rPr>
          <w:rStyle w:val="Siln"/>
        </w:rPr>
        <w:t>le § 128 stavebního zákona, nebo</w:t>
      </w:r>
      <w:r>
        <w:rPr>
          <w:rStyle w:val="Siln"/>
        </w:rPr>
        <w:t xml:space="preserve"> v režimu</w:t>
      </w:r>
      <w:r w:rsidRPr="008D6A83">
        <w:rPr>
          <w:rStyle w:val="Siln"/>
        </w:rPr>
        <w:t xml:space="preserve"> povolovací</w:t>
      </w:r>
      <w:r>
        <w:rPr>
          <w:rStyle w:val="Siln"/>
        </w:rPr>
        <w:t>ho</w:t>
      </w:r>
      <w:r w:rsidRPr="008D6A83">
        <w:rPr>
          <w:rStyle w:val="Siln"/>
        </w:rPr>
        <w:t xml:space="preserve"> proces</w:t>
      </w:r>
      <w:r>
        <w:rPr>
          <w:rStyle w:val="Siln"/>
        </w:rPr>
        <w:t>u</w:t>
      </w:r>
      <w:r w:rsidRPr="008D6A83">
        <w:rPr>
          <w:rStyle w:val="Siln"/>
        </w:rPr>
        <w:t xml:space="preserve"> </w:t>
      </w:r>
      <w:r>
        <w:rPr>
          <w:rStyle w:val="Siln"/>
        </w:rPr>
        <w:t>po</w:t>
      </w:r>
      <w:r w:rsidRPr="008D6A83">
        <w:rPr>
          <w:rStyle w:val="Siln"/>
        </w:rPr>
        <w:t xml:space="preserve">dle § 104 a 108, který zahrne i aspekty povolovacího režimu odstranění stavby </w:t>
      </w:r>
      <w:r>
        <w:rPr>
          <w:rStyle w:val="Siln"/>
        </w:rPr>
        <w:t>po</w:t>
      </w:r>
      <w:r w:rsidRPr="008D6A83">
        <w:rPr>
          <w:rStyle w:val="Siln"/>
        </w:rPr>
        <w:t xml:space="preserve">dle § 128). </w:t>
      </w:r>
    </w:p>
    <w:p w14:paraId="3287C0C2" w14:textId="77777777" w:rsidR="00E02ED1" w:rsidRPr="008D6A83" w:rsidRDefault="00E02ED1" w:rsidP="00E02ED1">
      <w:pPr>
        <w:pStyle w:val="Zkladntext"/>
        <w:rPr>
          <w:rStyle w:val="Siln"/>
        </w:rPr>
      </w:pPr>
      <w:r w:rsidRPr="008D6A83">
        <w:rPr>
          <w:rStyle w:val="Siln"/>
        </w:rPr>
        <w:t>Materiály obsahující azbest nemůže stavebník ze stavby odstraňovat stejným způsobem jako běžné materiály a se vzniklými odpady nemůže nakládat jako s běžným stavebním odpadem. Stavebník musí azbestové materiály odstraňovat šetrně</w:t>
      </w:r>
      <w:r>
        <w:rPr>
          <w:rStyle w:val="Siln"/>
        </w:rPr>
        <w:t xml:space="preserve"> a</w:t>
      </w:r>
      <w:r w:rsidRPr="008D6A83">
        <w:rPr>
          <w:rStyle w:val="Siln"/>
        </w:rPr>
        <w:t xml:space="preserve"> odpady s obsahem azbestu musí okamžitě zabalit do neprodyšného obalu (§ 42 odst. 3 vyhlášky o podrobnostech nakládání s odpady), </w:t>
      </w:r>
      <w:r>
        <w:rPr>
          <w:rStyle w:val="Siln"/>
        </w:rPr>
        <w:t>aby</w:t>
      </w:r>
      <w:r w:rsidRPr="008D6A83">
        <w:rPr>
          <w:rStyle w:val="Siln"/>
        </w:rPr>
        <w:t xml:space="preserve"> zajisti</w:t>
      </w:r>
      <w:r>
        <w:rPr>
          <w:rStyle w:val="Siln"/>
        </w:rPr>
        <w:t>l</w:t>
      </w:r>
      <w:r w:rsidRPr="008D6A83">
        <w:rPr>
          <w:rStyle w:val="Siln"/>
        </w:rPr>
        <w:t>, že azbestová vlákna nebudou uvolňována do ovzduší (§ 85 zákona o odpadech). Shazování azbestové střešní krytiny ze střechy na zem tyto požadavky nesplňuje.</w:t>
      </w:r>
    </w:p>
    <w:p w14:paraId="1CFA910B" w14:textId="77777777" w:rsidR="00E02ED1" w:rsidRPr="008D6A83" w:rsidRDefault="00E02ED1" w:rsidP="00E02ED1">
      <w:pPr>
        <w:pStyle w:val="Zkladntext"/>
        <w:rPr>
          <w:rStyle w:val="Siln"/>
          <w:b w:val="0"/>
          <w:bCs w:val="0"/>
        </w:rPr>
      </w:pPr>
      <w:r w:rsidRPr="008D6A83">
        <w:t xml:space="preserve">Soused stěžovatelky vyměnil svou starou střechu, která obsahovala azbest, za novou. Střechu odstranil neodborně, svépomocí a bez dodržení technologických postupů, které mají zajistit, aby se azbestový prach nešířil do vzduchu. </w:t>
      </w:r>
      <w:r>
        <w:t>P</w:t>
      </w:r>
      <w:r w:rsidRPr="008D6A83">
        <w:t xml:space="preserve">racovníci materiál volně shazovali ze střechy na zem, </w:t>
      </w:r>
      <w:r>
        <w:t>kde</w:t>
      </w:r>
      <w:r w:rsidRPr="008D6A83">
        <w:t xml:space="preserve"> se rozbíjel a prášil. Azbestový prach je přitom pro člověka při vdechování karcinogenní. K výměně střechy soused neměl povolení, protože stavební úřad vyhodnotil, že žádné nepotřebuje. </w:t>
      </w:r>
    </w:p>
    <w:p w14:paraId="539B202C" w14:textId="77777777" w:rsidR="00E02ED1" w:rsidRPr="00F83835" w:rsidRDefault="00E02ED1" w:rsidP="00F83835">
      <w:pPr>
        <w:pStyle w:val="Zkladntext"/>
      </w:pPr>
      <w:r w:rsidRPr="00F83835">
        <w:t>S tímto názorem jsme nesouhlasili, neboť máme za to, že pokud stavebník o</w:t>
      </w:r>
      <w:r w:rsidRPr="00F83835">
        <w:rPr>
          <w:rStyle w:val="Siln"/>
          <w:b w:val="0"/>
          <w:bCs w:val="0"/>
        </w:rPr>
        <w:t xml:space="preserve">dstraňuje byť jen část stavby obsahující azbest, musí mít vždy povolení stavebního úřadu (konkrétní povolovací režim se liší podle okolností případu). </w:t>
      </w:r>
    </w:p>
    <w:p w14:paraId="012E1546" w14:textId="77777777" w:rsidR="00E02ED1" w:rsidRPr="00492A4A" w:rsidRDefault="00E02ED1" w:rsidP="00E02ED1">
      <w:pPr>
        <w:pStyle w:val="Zkladntext"/>
        <w:rPr>
          <w:rStyle w:val="zelen"/>
        </w:rPr>
      </w:pPr>
      <w:r w:rsidRPr="008D6A83">
        <w:t>Stavební úřad náš názor přijal a do budoucna také přislíbil poučovat stavebníky o vhodných postupech při výměně těchto střech. Naše činnost tedy přispěla ke změně chybné praxe stavebního úřadu. Nadřízený krajský úřad nám dále přislíbil seznámit s našimi závěry i ostatní úřady na své metodické poradě.</w:t>
      </w:r>
    </w:p>
    <w:p w14:paraId="5DE0A561" w14:textId="77777777" w:rsidR="00E02ED1" w:rsidRDefault="00E02ED1" w:rsidP="00742EFB">
      <w:pPr>
        <w:pStyle w:val="Zkladntext"/>
      </w:pPr>
    </w:p>
    <w:p w14:paraId="554D4089" w14:textId="3F61F13B" w:rsidR="000E1FE5" w:rsidRPr="00D443EA" w:rsidRDefault="000E1FE5" w:rsidP="007A042A">
      <w:pPr>
        <w:pStyle w:val="Nadpis2"/>
      </w:pPr>
      <w:bookmarkStart w:id="7" w:name="_Toc131077378"/>
      <w:r w:rsidRPr="00D443EA">
        <w:lastRenderedPageBreak/>
        <w:t>Pomohli jsme vyjasnit právní úpravu</w:t>
      </w:r>
    </w:p>
    <w:p w14:paraId="7D8ABD59" w14:textId="7A969474" w:rsidR="000E1FE5" w:rsidRDefault="000E1FE5" w:rsidP="00B54CCC">
      <w:pPr>
        <w:pStyle w:val="Nadpis3"/>
      </w:pPr>
      <w:bookmarkStart w:id="8" w:name="_Toc131077376"/>
      <w:r>
        <w:t>Prospěje životnímu prostředí v Karviné další kotel ke s</w:t>
      </w:r>
      <w:r w:rsidRPr="00620189">
        <w:t>palování komunálního odpadu</w:t>
      </w:r>
      <w:r>
        <w:t>?</w:t>
      </w:r>
      <w:r>
        <w:br/>
        <w:t>(</w:t>
      </w:r>
      <w:proofErr w:type="spellStart"/>
      <w:r w:rsidRPr="00ED4F91">
        <w:t>sp</w:t>
      </w:r>
      <w:proofErr w:type="spellEnd"/>
      <w:r w:rsidRPr="00ED4F91">
        <w:t>. zn.</w:t>
      </w:r>
      <w:r>
        <w:t xml:space="preserve"> </w:t>
      </w:r>
      <w:hyperlink r:id="rId12" w:history="1">
        <w:r w:rsidRPr="000932BA">
          <w:rPr>
            <w:rStyle w:val="Hypertextovodkaz"/>
            <w:rFonts w:asciiTheme="minorHAnsi" w:hAnsiTheme="minorHAnsi"/>
          </w:rPr>
          <w:t>16099/2022/VOP</w:t>
        </w:r>
      </w:hyperlink>
      <w:r>
        <w:t xml:space="preserve"> + </w:t>
      </w:r>
      <w:r w:rsidRPr="00CB7E5B">
        <w:rPr>
          <w:rFonts w:ascii="Calibri" w:hAnsi="Calibri"/>
          <w:iCs/>
        </w:rPr>
        <w:t>12933/2022/VOP</w:t>
      </w:r>
      <w:r>
        <w:t>)</w:t>
      </w:r>
      <w:bookmarkEnd w:id="8"/>
    </w:p>
    <w:p w14:paraId="4E8F0767" w14:textId="77777777" w:rsidR="000E1FE5" w:rsidRPr="00620189" w:rsidRDefault="000E1FE5" w:rsidP="000E1FE5">
      <w:pPr>
        <w:spacing w:before="200" w:after="200" w:line="252" w:lineRule="auto"/>
        <w:rPr>
          <w:rFonts w:eastAsiaTheme="majorEastAsia"/>
          <w:b/>
          <w:bCs/>
        </w:rPr>
      </w:pPr>
      <w:r w:rsidRPr="00620189">
        <w:rPr>
          <w:rFonts w:eastAsiaTheme="majorEastAsia"/>
          <w:b/>
          <w:bCs/>
        </w:rPr>
        <w:t>Při hodnocení, jak výstavba nového kotle</w:t>
      </w:r>
      <w:r>
        <w:rPr>
          <w:rFonts w:eastAsiaTheme="majorEastAsia"/>
          <w:b/>
          <w:bCs/>
        </w:rPr>
        <w:t xml:space="preserve"> pro </w:t>
      </w:r>
      <w:r w:rsidRPr="00620189">
        <w:rPr>
          <w:rFonts w:eastAsiaTheme="majorEastAsia"/>
          <w:b/>
          <w:bCs/>
        </w:rPr>
        <w:t>spalování biomasy</w:t>
      </w:r>
      <w:r>
        <w:rPr>
          <w:rFonts w:eastAsiaTheme="majorEastAsia"/>
          <w:b/>
          <w:bCs/>
        </w:rPr>
        <w:t xml:space="preserve"> a </w:t>
      </w:r>
      <w:r w:rsidRPr="00620189">
        <w:rPr>
          <w:rFonts w:eastAsiaTheme="majorEastAsia"/>
          <w:b/>
          <w:bCs/>
        </w:rPr>
        <w:t>komunálního odpadu</w:t>
      </w:r>
      <w:r>
        <w:rPr>
          <w:rFonts w:eastAsiaTheme="majorEastAsia"/>
          <w:b/>
          <w:bCs/>
        </w:rPr>
        <w:t xml:space="preserve"> v teplárně </w:t>
      </w:r>
      <w:r w:rsidRPr="00620189">
        <w:rPr>
          <w:rFonts w:eastAsiaTheme="majorEastAsia"/>
          <w:b/>
          <w:bCs/>
        </w:rPr>
        <w:t xml:space="preserve">ovlivní životní prostředí (EIA), </w:t>
      </w:r>
      <w:r>
        <w:rPr>
          <w:rFonts w:eastAsiaTheme="majorEastAsia"/>
          <w:b/>
          <w:bCs/>
        </w:rPr>
        <w:t xml:space="preserve">musejí </w:t>
      </w:r>
      <w:r w:rsidRPr="00620189">
        <w:rPr>
          <w:rFonts w:eastAsiaTheme="majorEastAsia"/>
          <w:b/>
          <w:bCs/>
        </w:rPr>
        <w:t>úřady</w:t>
      </w:r>
      <w:r>
        <w:rPr>
          <w:rFonts w:eastAsiaTheme="majorEastAsia"/>
          <w:b/>
          <w:bCs/>
        </w:rPr>
        <w:t xml:space="preserve"> </w:t>
      </w:r>
      <w:r w:rsidRPr="00620189">
        <w:rPr>
          <w:rFonts w:eastAsiaTheme="majorEastAsia"/>
          <w:b/>
          <w:bCs/>
        </w:rPr>
        <w:t>posoudit také:</w:t>
      </w:r>
    </w:p>
    <w:p w14:paraId="601BCEDC" w14:textId="77777777" w:rsidR="000E1FE5" w:rsidRPr="00084BD9" w:rsidRDefault="000E1FE5" w:rsidP="000E1FE5">
      <w:pPr>
        <w:numPr>
          <w:ilvl w:val="0"/>
          <w:numId w:val="4"/>
        </w:numPr>
        <w:tabs>
          <w:tab w:val="left" w:pos="396"/>
        </w:tabs>
        <w:spacing w:before="120" w:after="120" w:line="252" w:lineRule="auto"/>
        <w:ind w:left="396" w:hanging="396"/>
      </w:pPr>
      <w:r w:rsidRPr="00084BD9">
        <w:rPr>
          <w:rFonts w:eastAsiaTheme="majorEastAsia"/>
          <w:b/>
          <w:bCs/>
        </w:rPr>
        <w:t xml:space="preserve">„zbytnost“ záměru </w:t>
      </w:r>
      <w:r w:rsidRPr="00084BD9">
        <w:t>(</w:t>
      </w:r>
      <w:r>
        <w:t xml:space="preserve">tj. </w:t>
      </w:r>
      <w:r w:rsidRPr="00084BD9">
        <w:t xml:space="preserve">porovnat </w:t>
      </w:r>
      <w:r>
        <w:t>ho s </w:t>
      </w:r>
      <w:r w:rsidRPr="00084BD9">
        <w:t>jinými možnostmi likvidace komunálního odpadu</w:t>
      </w:r>
      <w:r>
        <w:t xml:space="preserve"> v </w:t>
      </w:r>
      <w:r w:rsidRPr="00084BD9">
        <w:t>kraji),</w:t>
      </w:r>
    </w:p>
    <w:p w14:paraId="25DBC2F6" w14:textId="77777777" w:rsidR="000E1FE5" w:rsidRPr="00084BD9" w:rsidRDefault="000E1FE5" w:rsidP="000E1FE5">
      <w:pPr>
        <w:numPr>
          <w:ilvl w:val="0"/>
          <w:numId w:val="4"/>
        </w:numPr>
        <w:tabs>
          <w:tab w:val="left" w:pos="396"/>
        </w:tabs>
        <w:spacing w:before="120" w:after="120" w:line="252" w:lineRule="auto"/>
        <w:ind w:left="396" w:hanging="396"/>
      </w:pPr>
      <w:r w:rsidRPr="00084BD9">
        <w:rPr>
          <w:rFonts w:eastAsiaTheme="majorEastAsia"/>
          <w:b/>
          <w:bCs/>
        </w:rPr>
        <w:t>dlouhodobou udržitelnost záměru podle pořadí přednosti nakládání</w:t>
      </w:r>
      <w:r>
        <w:rPr>
          <w:rFonts w:eastAsiaTheme="majorEastAsia"/>
          <w:b/>
          <w:bCs/>
        </w:rPr>
        <w:t xml:space="preserve"> s </w:t>
      </w:r>
      <w:r w:rsidRPr="00084BD9">
        <w:rPr>
          <w:rFonts w:eastAsiaTheme="majorEastAsia"/>
          <w:b/>
          <w:bCs/>
        </w:rPr>
        <w:t>odpady</w:t>
      </w:r>
      <w:r>
        <w:rPr>
          <w:rFonts w:eastAsiaTheme="majorEastAsia"/>
          <w:b/>
          <w:bCs/>
        </w:rPr>
        <w:t xml:space="preserve"> v </w:t>
      </w:r>
      <w:r w:rsidRPr="00084BD9">
        <w:rPr>
          <w:rFonts w:eastAsiaTheme="majorEastAsia"/>
          <w:b/>
          <w:bCs/>
        </w:rPr>
        <w:t>kraji podle zákona</w:t>
      </w:r>
      <w:r>
        <w:rPr>
          <w:rFonts w:eastAsiaTheme="majorEastAsia"/>
          <w:b/>
          <w:bCs/>
        </w:rPr>
        <w:t xml:space="preserve"> o </w:t>
      </w:r>
      <w:r w:rsidRPr="00084BD9">
        <w:rPr>
          <w:rFonts w:eastAsiaTheme="majorEastAsia"/>
          <w:b/>
          <w:bCs/>
        </w:rPr>
        <w:t xml:space="preserve">odpadech </w:t>
      </w:r>
      <w:r w:rsidRPr="00084BD9">
        <w:t>(spalovna může překážet přechodu</w:t>
      </w:r>
      <w:r>
        <w:t xml:space="preserve"> na </w:t>
      </w:r>
      <w:r w:rsidRPr="00084BD9">
        <w:t>žádoucí „cirkulární ekonomiku“),</w:t>
      </w:r>
    </w:p>
    <w:p w14:paraId="7AD32690" w14:textId="77777777" w:rsidR="000E1FE5" w:rsidRPr="00084BD9" w:rsidRDefault="000E1FE5" w:rsidP="000E1FE5">
      <w:pPr>
        <w:numPr>
          <w:ilvl w:val="0"/>
          <w:numId w:val="4"/>
        </w:numPr>
        <w:tabs>
          <w:tab w:val="left" w:pos="396"/>
        </w:tabs>
        <w:spacing w:before="120" w:after="120" w:line="252" w:lineRule="auto"/>
        <w:ind w:left="396" w:hanging="396"/>
        <w:rPr>
          <w:rFonts w:eastAsiaTheme="majorEastAsia"/>
          <w:b/>
          <w:bCs/>
        </w:rPr>
      </w:pPr>
      <w:r w:rsidRPr="00084BD9">
        <w:rPr>
          <w:rFonts w:eastAsiaTheme="majorEastAsia"/>
          <w:b/>
          <w:bCs/>
        </w:rPr>
        <w:t xml:space="preserve">obhajitelnost dalšího vnosu látek nepříznivých životnímu prostředí </w:t>
      </w:r>
      <w:r w:rsidRPr="00084BD9">
        <w:t>(vypouštění zdraví škodlivých látek</w:t>
      </w:r>
      <w:r>
        <w:t xml:space="preserve"> do </w:t>
      </w:r>
      <w:r w:rsidRPr="00084BD9">
        <w:t>ovzduší, popel/struska</w:t>
      </w:r>
      <w:r>
        <w:t xml:space="preserve"> a </w:t>
      </w:r>
      <w:r w:rsidRPr="00084BD9">
        <w:t>popílek)</w:t>
      </w:r>
      <w:r>
        <w:rPr>
          <w:rFonts w:eastAsiaTheme="majorEastAsia"/>
          <w:b/>
          <w:bCs/>
        </w:rPr>
        <w:t xml:space="preserve"> v </w:t>
      </w:r>
      <w:r w:rsidRPr="00084BD9">
        <w:rPr>
          <w:rFonts w:eastAsiaTheme="majorEastAsia"/>
          <w:b/>
          <w:bCs/>
        </w:rPr>
        <w:t xml:space="preserve">již zatížené lokalitě </w:t>
      </w:r>
      <w:r w:rsidRPr="00084BD9">
        <w:t>(problém tzv. „dovozu znečištění“</w:t>
      </w:r>
      <w:r>
        <w:t xml:space="preserve"> a </w:t>
      </w:r>
      <w:r w:rsidRPr="00084BD9">
        <w:t>legitimitu jednání investora, který má ekonomický zájem</w:t>
      </w:r>
      <w:r>
        <w:t xml:space="preserve"> na </w:t>
      </w:r>
      <w:r w:rsidRPr="00084BD9">
        <w:t>maximálním využití kapacity svého zařízení).</w:t>
      </w:r>
    </w:p>
    <w:p w14:paraId="117B624B" w14:textId="77777777" w:rsidR="000E1FE5" w:rsidRPr="00620189" w:rsidRDefault="000E1FE5" w:rsidP="000E1FE5">
      <w:pPr>
        <w:spacing w:before="200" w:after="200" w:line="252" w:lineRule="auto"/>
        <w:rPr>
          <w:iCs/>
        </w:rPr>
      </w:pPr>
      <w:r w:rsidRPr="00620189">
        <w:rPr>
          <w:bCs/>
          <w:iCs/>
        </w:rPr>
        <w:t>Spolek</w:t>
      </w:r>
      <w:r>
        <w:rPr>
          <w:bCs/>
          <w:iCs/>
        </w:rPr>
        <w:t xml:space="preserve"> z </w:t>
      </w:r>
      <w:r w:rsidRPr="00620189">
        <w:rPr>
          <w:bCs/>
          <w:iCs/>
        </w:rPr>
        <w:t>Karviné se obává dalšího zhoršení životního prostředí</w:t>
      </w:r>
      <w:r>
        <w:rPr>
          <w:bCs/>
          <w:iCs/>
        </w:rPr>
        <w:t xml:space="preserve"> v </w:t>
      </w:r>
      <w:r w:rsidRPr="00620189">
        <w:rPr>
          <w:bCs/>
          <w:iCs/>
        </w:rPr>
        <w:t>Karviné</w:t>
      </w:r>
      <w:r>
        <w:rPr>
          <w:bCs/>
          <w:iCs/>
        </w:rPr>
        <w:t xml:space="preserve"> a </w:t>
      </w:r>
      <w:r w:rsidRPr="00620189">
        <w:rPr>
          <w:bCs/>
          <w:iCs/>
        </w:rPr>
        <w:t>okolí, pokud zdejší teplárna postaví nový kotel K7</w:t>
      </w:r>
      <w:r>
        <w:rPr>
          <w:bCs/>
          <w:iCs/>
        </w:rPr>
        <w:t xml:space="preserve"> pro </w:t>
      </w:r>
      <w:r w:rsidRPr="006D5F0A">
        <w:rPr>
          <w:bCs/>
          <w:iCs/>
        </w:rPr>
        <w:t>spalování biomasy</w:t>
      </w:r>
      <w:r>
        <w:rPr>
          <w:bCs/>
          <w:iCs/>
        </w:rPr>
        <w:t xml:space="preserve"> a </w:t>
      </w:r>
      <w:r w:rsidRPr="006D5F0A">
        <w:rPr>
          <w:bCs/>
          <w:iCs/>
        </w:rPr>
        <w:t>komunálního odpadu</w:t>
      </w:r>
      <w:r w:rsidRPr="00620189">
        <w:rPr>
          <w:bCs/>
          <w:iCs/>
        </w:rPr>
        <w:t xml:space="preserve">. </w:t>
      </w:r>
      <w:r>
        <w:rPr>
          <w:bCs/>
          <w:iCs/>
        </w:rPr>
        <w:t>Namítá, že o</w:t>
      </w:r>
      <w:r w:rsidRPr="00620189">
        <w:rPr>
          <w:bCs/>
          <w:iCs/>
        </w:rPr>
        <w:t>dpad</w:t>
      </w:r>
      <w:r>
        <w:rPr>
          <w:bCs/>
          <w:iCs/>
        </w:rPr>
        <w:t xml:space="preserve"> pro </w:t>
      </w:r>
      <w:r w:rsidRPr="00620189">
        <w:rPr>
          <w:bCs/>
          <w:iCs/>
        </w:rPr>
        <w:t>spalování by se mohl dovážet</w:t>
      </w:r>
      <w:r>
        <w:rPr>
          <w:bCs/>
          <w:iCs/>
        </w:rPr>
        <w:t xml:space="preserve"> i ze </w:t>
      </w:r>
      <w:r w:rsidRPr="00620189">
        <w:rPr>
          <w:bCs/>
          <w:iCs/>
        </w:rPr>
        <w:t>zahraničí.</w:t>
      </w:r>
    </w:p>
    <w:p w14:paraId="45769403" w14:textId="77777777" w:rsidR="000E1FE5" w:rsidRDefault="000E1FE5" w:rsidP="000E1FE5">
      <w:r w:rsidRPr="00620189">
        <w:rPr>
          <w:bCs/>
          <w:iCs/>
        </w:rPr>
        <w:t>Souhlasili jsme se spolkem</w:t>
      </w:r>
      <w:r>
        <w:rPr>
          <w:bCs/>
          <w:iCs/>
        </w:rPr>
        <w:t xml:space="preserve"> v </w:t>
      </w:r>
      <w:r w:rsidRPr="00620189">
        <w:rPr>
          <w:bCs/>
          <w:iCs/>
        </w:rPr>
        <w:t>tom, že se úřady dosud nevypořádaly</w:t>
      </w:r>
      <w:r>
        <w:rPr>
          <w:bCs/>
          <w:iCs/>
        </w:rPr>
        <w:t xml:space="preserve"> s </w:t>
      </w:r>
      <w:r w:rsidRPr="00620189">
        <w:rPr>
          <w:bCs/>
          <w:iCs/>
        </w:rPr>
        <w:t>některými jeho výhradami. Ministerstvem vydané závazné stanovisko EIA však bude jedním</w:t>
      </w:r>
      <w:r>
        <w:rPr>
          <w:bCs/>
          <w:iCs/>
        </w:rPr>
        <w:t xml:space="preserve"> z </w:t>
      </w:r>
      <w:r w:rsidRPr="00620189">
        <w:rPr>
          <w:bCs/>
          <w:iCs/>
        </w:rPr>
        <w:t>podkladů</w:t>
      </w:r>
      <w:r>
        <w:rPr>
          <w:bCs/>
          <w:iCs/>
        </w:rPr>
        <w:t xml:space="preserve"> pro </w:t>
      </w:r>
      <w:r w:rsidRPr="00620189">
        <w:rPr>
          <w:bCs/>
          <w:iCs/>
        </w:rPr>
        <w:t>navazující rozhodnutí</w:t>
      </w:r>
      <w:r>
        <w:rPr>
          <w:bCs/>
          <w:iCs/>
        </w:rPr>
        <w:t xml:space="preserve"> o </w:t>
      </w:r>
      <w:r w:rsidRPr="00620189">
        <w:rPr>
          <w:bCs/>
          <w:iCs/>
        </w:rPr>
        <w:t>změně integrovaného povolení. Pokud spolek</w:t>
      </w:r>
      <w:r>
        <w:rPr>
          <w:bCs/>
          <w:iCs/>
        </w:rPr>
        <w:t xml:space="preserve"> s </w:t>
      </w:r>
      <w:r w:rsidRPr="00620189">
        <w:rPr>
          <w:bCs/>
          <w:iCs/>
        </w:rPr>
        <w:t>rozhodnutím nebude souhlasit,</w:t>
      </w:r>
      <w:r w:rsidRPr="00004D7A">
        <w:rPr>
          <w:iCs/>
        </w:rPr>
        <w:t xml:space="preserve"> </w:t>
      </w:r>
      <w:r>
        <w:rPr>
          <w:iCs/>
        </w:rPr>
        <w:t xml:space="preserve">může proti němu podat odvolání a později případně správní </w:t>
      </w:r>
      <w:r>
        <w:rPr>
          <w:bCs/>
          <w:iCs/>
        </w:rPr>
        <w:t>žalobu</w:t>
      </w:r>
      <w:r w:rsidRPr="00004D7A">
        <w:rPr>
          <w:bCs/>
          <w:iCs/>
        </w:rPr>
        <w:t xml:space="preserve"> proti rozhodnutí</w:t>
      </w:r>
      <w:r>
        <w:rPr>
          <w:bCs/>
          <w:iCs/>
        </w:rPr>
        <w:t xml:space="preserve"> o odvolání.</w:t>
      </w:r>
    </w:p>
    <w:p w14:paraId="6696FDAA" w14:textId="5FA641B0" w:rsidR="002475ED" w:rsidRPr="00E9599A" w:rsidRDefault="002475ED" w:rsidP="00E9599A">
      <w:pPr>
        <w:pStyle w:val="Nadpis2"/>
      </w:pPr>
      <w:r w:rsidRPr="00E9599A">
        <w:t>Radili jsme v</w:t>
      </w:r>
      <w:r w:rsidR="000E1FE5" w:rsidRPr="00E9599A">
        <w:t> </w:t>
      </w:r>
      <w:r w:rsidRPr="00E9599A">
        <w:t>diskrimina</w:t>
      </w:r>
      <w:bookmarkEnd w:id="7"/>
      <w:r w:rsidR="000E1FE5" w:rsidRPr="00E9599A">
        <w:t>čních věcech</w:t>
      </w:r>
    </w:p>
    <w:p w14:paraId="46FD84A1" w14:textId="77777777" w:rsidR="002475ED" w:rsidRDefault="002475ED" w:rsidP="00B54CCC">
      <w:pPr>
        <w:pStyle w:val="Nadpis3"/>
      </w:pPr>
      <w:bookmarkStart w:id="9" w:name="_Toc131077379"/>
      <w:r>
        <w:t>Zaměstnanecké výhody pro matky dětí do 12 let náleží i otcům takových dětí</w:t>
      </w:r>
      <w:r>
        <w:br/>
        <w:t>(</w:t>
      </w:r>
      <w:proofErr w:type="spellStart"/>
      <w:r w:rsidRPr="00ED4F91">
        <w:t>sp</w:t>
      </w:r>
      <w:proofErr w:type="spellEnd"/>
      <w:r w:rsidRPr="00ED4F91">
        <w:t>. zn.</w:t>
      </w:r>
      <w:r>
        <w:t xml:space="preserve"> </w:t>
      </w:r>
      <w:hyperlink r:id="rId13" w:history="1">
        <w:r w:rsidRPr="00902C43">
          <w:rPr>
            <w:rStyle w:val="Hypertextovodkaz"/>
            <w:rFonts w:asciiTheme="minorHAnsi" w:hAnsiTheme="minorHAnsi"/>
          </w:rPr>
          <w:t>12990/2022/VOP</w:t>
        </w:r>
      </w:hyperlink>
      <w:r>
        <w:t>)</w:t>
      </w:r>
      <w:bookmarkEnd w:id="9"/>
    </w:p>
    <w:p w14:paraId="06D5EBA2" w14:textId="77777777" w:rsidR="002475ED" w:rsidRPr="0057673B" w:rsidRDefault="002475ED" w:rsidP="002475ED">
      <w:pPr>
        <w:pStyle w:val="Zkladntext"/>
        <w:rPr>
          <w:rStyle w:val="Siln"/>
        </w:rPr>
      </w:pPr>
      <w:r>
        <w:rPr>
          <w:rStyle w:val="Siln"/>
        </w:rPr>
        <w:t xml:space="preserve">Přímou diskriminací založenou na pohlaví v oblasti práce a zaměstnání se rozumí méně příznivé zacházení ve srovnatelné situaci. Poskytuje-li zaměstnavatel benefit pracovního volna (s náhradou mzdy) rozdílně pro zaměstnance – otce – a zaměstnankyně – matky, musí mít k rozdílnému zacházení věcný důvod spočívající v povaze vykonávané práce nebo činnosti a rozdílné zacházení musí být této povaze přiměřené. Věcným důvodem není tradiční pojetí matky – pečovatelky. </w:t>
      </w:r>
      <w:r>
        <w:rPr>
          <w:szCs w:val="23"/>
        </w:rPr>
        <w:t xml:space="preserve"> </w:t>
      </w:r>
    </w:p>
    <w:p w14:paraId="57BD62D8" w14:textId="77777777" w:rsidR="002475ED" w:rsidRDefault="002475ED" w:rsidP="002475ED">
      <w:pPr>
        <w:pStyle w:val="Zkladntext"/>
      </w:pPr>
      <w:r>
        <w:t>Muž zaměstnaný v nadnárodní společnosti si stěžoval na nerovné podmínky pro zaměstnance a zaměstnankyně týkající se poskytování benefitu pracovního volna za účelem péče o dítě. Jednalo se o pracovní volno s náhradou mzdy. Volno však nemohli čerpat všichni rodiče. Otcové na rozdíl od matek mohli volno čerpat pouze v případě, že byli osamělými rodiči nebo jim soud svěřil dítě do výchovy.</w:t>
      </w:r>
    </w:p>
    <w:p w14:paraId="71B1A000" w14:textId="4552BD75" w:rsidR="002475ED" w:rsidRDefault="002475ED" w:rsidP="002475ED">
      <w:r>
        <w:t>Stěžovatel chtěl vyjednávat se zaměstnavatelem, aby od nerovného zacházení upustil. Proto jsme stěžovateli sdělili, že by mohlo jít o přímou diskriminaci, a vysvětlili, jak se bránit: 1) o</w:t>
      </w:r>
      <w:r w:rsidRPr="00541431">
        <w:t>brátit se</w:t>
      </w:r>
      <w:r>
        <w:t xml:space="preserve"> na </w:t>
      </w:r>
      <w:r w:rsidRPr="00541431">
        <w:t>odborovou organizaci, protože benefit zaručovala kolektivní smlouva</w:t>
      </w:r>
      <w:r>
        <w:t>, 2) o</w:t>
      </w:r>
      <w:r w:rsidRPr="00541431">
        <w:t>brátit se</w:t>
      </w:r>
      <w:r>
        <w:t xml:space="preserve"> na </w:t>
      </w:r>
      <w:r w:rsidRPr="00541431">
        <w:t>oblastní inspektorát práce</w:t>
      </w:r>
      <w:r>
        <w:t>, 3) p</w:t>
      </w:r>
      <w:r w:rsidRPr="00541431">
        <w:t>odat antidiskriminační žalobu</w:t>
      </w:r>
      <w:r>
        <w:t xml:space="preserve"> k </w:t>
      </w:r>
      <w:r w:rsidRPr="00541431">
        <w:t xml:space="preserve">soudu </w:t>
      </w:r>
      <w:r>
        <w:t>[</w:t>
      </w:r>
      <w:r w:rsidRPr="00541431">
        <w:t>a žádat upuštění</w:t>
      </w:r>
      <w:r>
        <w:t xml:space="preserve"> </w:t>
      </w:r>
      <w:r>
        <w:lastRenderedPageBreak/>
        <w:t>od </w:t>
      </w:r>
      <w:r w:rsidRPr="00541431">
        <w:t>diskriminační praxe, odstranění následků diskriminačního zásahu, přiměřeného zadostiučinění (typicky</w:t>
      </w:r>
      <w:r>
        <w:t xml:space="preserve"> ve </w:t>
      </w:r>
      <w:r w:rsidRPr="00541431">
        <w:t>formě omluvy), případně náhrady nemajetkové újmy</w:t>
      </w:r>
      <w:r>
        <w:t xml:space="preserve"> v </w:t>
      </w:r>
      <w:r w:rsidRPr="00541431">
        <w:t>penězích</w:t>
      </w:r>
      <w:r>
        <w:t>].</w:t>
      </w:r>
    </w:p>
    <w:p w14:paraId="1230AD0C" w14:textId="77777777" w:rsidR="000E1FE5" w:rsidRPr="009C1921" w:rsidRDefault="000E1FE5" w:rsidP="00B54CCC">
      <w:pPr>
        <w:pStyle w:val="Nadpis3"/>
      </w:pPr>
      <w:bookmarkStart w:id="10" w:name="_Toc131077373"/>
      <w:bookmarkStart w:id="11" w:name="_Toc131077380"/>
      <w:r>
        <w:t>O</w:t>
      </w:r>
      <w:r w:rsidRPr="009C1921">
        <w:t xml:space="preserve">bčan EU </w:t>
      </w:r>
      <w:r>
        <w:t xml:space="preserve">u nás nezíská </w:t>
      </w:r>
      <w:r w:rsidRPr="009C1921">
        <w:t>zbrojní průkaz</w:t>
      </w:r>
      <w:r>
        <w:t>, pokud zkoušku nesloží v češtině</w:t>
      </w:r>
      <w:r>
        <w:br/>
      </w:r>
      <w:r w:rsidRPr="009C1921">
        <w:t>(</w:t>
      </w:r>
      <w:proofErr w:type="spellStart"/>
      <w:r w:rsidRPr="009C1921">
        <w:t>sp</w:t>
      </w:r>
      <w:proofErr w:type="spellEnd"/>
      <w:r w:rsidRPr="009C1921">
        <w:t xml:space="preserve">. zn. </w:t>
      </w:r>
      <w:hyperlink r:id="rId14" w:history="1">
        <w:r w:rsidRPr="002D17CA">
          <w:rPr>
            <w:rStyle w:val="Hypertextovodkaz"/>
          </w:rPr>
          <w:t>9658/2022/VOP</w:t>
        </w:r>
      </w:hyperlink>
      <w:r w:rsidRPr="009C1921">
        <w:t>)</w:t>
      </w:r>
      <w:bookmarkEnd w:id="10"/>
    </w:p>
    <w:p w14:paraId="706B571C" w14:textId="77777777" w:rsidR="000E1FE5" w:rsidRPr="00973CD8" w:rsidRDefault="000E1FE5" w:rsidP="000E1FE5">
      <w:pPr>
        <w:pStyle w:val="Zkladntext"/>
        <w:rPr>
          <w:rStyle w:val="Siln"/>
        </w:rPr>
      </w:pPr>
      <w:r>
        <w:rPr>
          <w:rStyle w:val="Siln"/>
        </w:rPr>
        <w:t>Z</w:t>
      </w:r>
      <w:r w:rsidRPr="00973CD8">
        <w:rPr>
          <w:rStyle w:val="Siln"/>
        </w:rPr>
        <w:t>koušku odborné způsobilosti</w:t>
      </w:r>
      <w:r>
        <w:rPr>
          <w:rStyle w:val="Siln"/>
        </w:rPr>
        <w:t xml:space="preserve"> musí </w:t>
      </w:r>
      <w:r w:rsidRPr="00973CD8">
        <w:rPr>
          <w:rStyle w:val="Siln"/>
        </w:rPr>
        <w:t>žadatelé</w:t>
      </w:r>
      <w:r>
        <w:rPr>
          <w:rStyle w:val="Siln"/>
        </w:rPr>
        <w:t xml:space="preserve"> o zbrojní průkaz složit v </w:t>
      </w:r>
      <w:r w:rsidRPr="00973CD8">
        <w:rPr>
          <w:rStyle w:val="Siln"/>
        </w:rPr>
        <w:t>češtině</w:t>
      </w:r>
      <w:r>
        <w:rPr>
          <w:rStyle w:val="Siln"/>
        </w:rPr>
        <w:t xml:space="preserve"> a </w:t>
      </w:r>
      <w:r w:rsidRPr="00973CD8">
        <w:rPr>
          <w:rStyle w:val="Siln"/>
        </w:rPr>
        <w:t>bez tlumočníka.</w:t>
      </w:r>
      <w:r>
        <w:rPr>
          <w:rStyle w:val="Siln"/>
        </w:rPr>
        <w:t xml:space="preserve"> Nejde o </w:t>
      </w:r>
      <w:r w:rsidRPr="00973CD8">
        <w:rPr>
          <w:rStyle w:val="Siln"/>
        </w:rPr>
        <w:t>diskrimin</w:t>
      </w:r>
      <w:r>
        <w:rPr>
          <w:rStyle w:val="Siln"/>
        </w:rPr>
        <w:t>aci</w:t>
      </w:r>
      <w:r w:rsidRPr="00973CD8">
        <w:rPr>
          <w:rStyle w:val="Siln"/>
        </w:rPr>
        <w:t xml:space="preserve"> občan</w:t>
      </w:r>
      <w:r>
        <w:rPr>
          <w:rStyle w:val="Siln"/>
        </w:rPr>
        <w:t>ů</w:t>
      </w:r>
      <w:r w:rsidRPr="00973CD8">
        <w:rPr>
          <w:rStyle w:val="Siln"/>
        </w:rPr>
        <w:t xml:space="preserve"> EU </w:t>
      </w:r>
      <w:r>
        <w:rPr>
          <w:rStyle w:val="Siln"/>
        </w:rPr>
        <w:t>neovládajících český jazyk na </w:t>
      </w:r>
      <w:r w:rsidRPr="00973CD8">
        <w:rPr>
          <w:rStyle w:val="Siln"/>
        </w:rPr>
        <w:t>základě státní příslušnosti (čl. 18 SFEU)</w:t>
      </w:r>
      <w:r>
        <w:rPr>
          <w:rStyle w:val="Siln"/>
        </w:rPr>
        <w:t xml:space="preserve">, ale o ospravedlnitelný požadavek. Držitel zbrojního průkazu totiž kvůli zajištění bezpečnosti musí umět reagovat v běžných situacích </w:t>
      </w:r>
      <w:r>
        <w:rPr>
          <w:rStyle w:val="Siln"/>
          <w:rFonts w:cs="Calibri"/>
        </w:rPr>
        <w:t>‒</w:t>
      </w:r>
      <w:r>
        <w:rPr>
          <w:rStyle w:val="Siln"/>
        </w:rPr>
        <w:t xml:space="preserve"> rozumět tomu, co se kolem něj děje a pochopit pokyny (příslušníků bezpečnostních sborů, zkušebního komisaře, provozovatele střelnice, organizátora honu).</w:t>
      </w:r>
    </w:p>
    <w:p w14:paraId="60F9BE63" w14:textId="77777777" w:rsidR="000E1FE5" w:rsidRDefault="000E1FE5" w:rsidP="000E1FE5">
      <w:pPr>
        <w:pStyle w:val="Zkladntext"/>
      </w:pPr>
      <w:r>
        <w:t>Občanka Německa (stěžovatelka), která pobývá v České republice, avšak nehovoří česky, chtěla požádat o vydání zbrojního průkazu. Podle zákona však musí prokázat odbornou způsobilost vykonáním zkoušky, kterou podle Ministerstva vnitra musí složit v češtině a bez tlumočníka. To ale drtivé většině cizinců, včetně samotné stěžovatelky, brání složit zkoušku. Stěžovatelka se proto domáhala toho, aby mohla zkoušku složit s tlumočníkem nebo s překladem otázek v písemném testu.</w:t>
      </w:r>
    </w:p>
    <w:p w14:paraId="6809C77C" w14:textId="77777777" w:rsidR="000E1FE5" w:rsidRDefault="000E1FE5" w:rsidP="000E1FE5">
      <w:r>
        <w:t>Ochránce přesto na ministerstvo apeloval, aby podmínky vydání zbrojního průkazu vyjasnilo, a to minimálně zpřesněním zavádějících informací uvedených na jeho webových stránkách, nebo ještě lépe změnou relevantních podzákonných předpisů. Ministerstvo následně své webové stránky skutečně upravilo.</w:t>
      </w:r>
    </w:p>
    <w:p w14:paraId="06B803D1" w14:textId="77777777" w:rsidR="002475ED" w:rsidRPr="000E4A98" w:rsidRDefault="002475ED" w:rsidP="00B54CCC">
      <w:pPr>
        <w:pStyle w:val="Nadpis3"/>
      </w:pPr>
      <w:r w:rsidRPr="000E4A98">
        <w:t xml:space="preserve">Obce by měly zveřejnit pravidla pronajímání </w:t>
      </w:r>
      <w:r>
        <w:t>svých</w:t>
      </w:r>
      <w:r w:rsidRPr="000E4A98">
        <w:t xml:space="preserve"> bytů</w:t>
      </w:r>
      <w:r>
        <w:t xml:space="preserve"> </w:t>
      </w:r>
      <w:r w:rsidRPr="000E4A98">
        <w:t>(</w:t>
      </w:r>
      <w:proofErr w:type="spellStart"/>
      <w:r w:rsidRPr="000E4A98">
        <w:t>sp</w:t>
      </w:r>
      <w:proofErr w:type="spellEnd"/>
      <w:r w:rsidRPr="000E4A98">
        <w:t xml:space="preserve">. zn. </w:t>
      </w:r>
      <w:hyperlink r:id="rId15" w:history="1">
        <w:r w:rsidRPr="00902C43">
          <w:rPr>
            <w:rStyle w:val="Hypertextovodkaz"/>
            <w:rFonts w:asciiTheme="minorHAnsi" w:hAnsiTheme="minorHAnsi"/>
          </w:rPr>
          <w:t>7982/2021/VOP</w:t>
        </w:r>
      </w:hyperlink>
      <w:r w:rsidRPr="000E4A98">
        <w:t>)</w:t>
      </w:r>
      <w:bookmarkEnd w:id="11"/>
    </w:p>
    <w:p w14:paraId="5C7712A9" w14:textId="77777777" w:rsidR="002475ED" w:rsidRDefault="002475ED" w:rsidP="002475ED">
      <w:pPr>
        <w:pStyle w:val="Zkladntext"/>
        <w:rPr>
          <w:rStyle w:val="Siln"/>
        </w:rPr>
      </w:pPr>
      <w:r w:rsidRPr="00C7685C">
        <w:rPr>
          <w:rStyle w:val="Siln"/>
        </w:rPr>
        <w:t>Obce by měly určit pravidla</w:t>
      </w:r>
      <w:r>
        <w:rPr>
          <w:rStyle w:val="Siln"/>
        </w:rPr>
        <w:t xml:space="preserve"> pro </w:t>
      </w:r>
      <w:r w:rsidRPr="00C7685C">
        <w:rPr>
          <w:rStyle w:val="Siln"/>
        </w:rPr>
        <w:t>pronajímání svých bytů</w:t>
      </w:r>
      <w:r>
        <w:rPr>
          <w:rStyle w:val="Siln"/>
        </w:rPr>
        <w:t xml:space="preserve"> a </w:t>
      </w:r>
      <w:r w:rsidRPr="00C7685C">
        <w:rPr>
          <w:rStyle w:val="Siln"/>
        </w:rPr>
        <w:t>zveřejnit je. Jinak porušují principy dobré správy.</w:t>
      </w:r>
      <w:r>
        <w:rPr>
          <w:rStyle w:val="Siln"/>
        </w:rPr>
        <w:t xml:space="preserve"> Neprůhledný postup obce může v žadatelích zbytečně vyvolávat dojem, že je obec diskriminovala.</w:t>
      </w:r>
    </w:p>
    <w:p w14:paraId="5F13BDE7" w14:textId="0DD240EE" w:rsidR="002475ED" w:rsidRDefault="002475ED" w:rsidP="002475ED">
      <w:pPr>
        <w:pStyle w:val="Zkladntext"/>
      </w:pPr>
      <w:r>
        <w:t>Řešili jsme</w:t>
      </w:r>
      <w:r w:rsidR="00B84AEE" w:rsidDel="00B84AEE">
        <w:t xml:space="preserve"> </w:t>
      </w:r>
      <w:r>
        <w:t xml:space="preserve">případ manželů, kteří se cítili diskriminovaní v procesu výběru </w:t>
      </w:r>
      <w:r w:rsidRPr="00F20E4C">
        <w:t>mezi zájemci o uzavření nájemní smlouvy</w:t>
      </w:r>
      <w:r>
        <w:t xml:space="preserve"> k obecnímu bytu kvůli zdravotnímu postižení manžela. Podezření na diskriminaci se nepotvrdilo, protože obec svůj postup přesvědčivě vysvětlila. Postup obce při přidělování bytů jsme ale považovali za neprůhledný. O přidělování bytů totiž rozhodovala podle neveřejných zásad pro hospodaření s byty. To snižuje důvěru občanů v to, že město spravuje bytový fond v souladu se zákonem i vlastními předpisy, a může přispět k obavám, že město diskriminuje. Protože by obce měly postupovat předvídatelně, měly by stanovit jasná a přehledná pravidla pro přidělování obecních bytů a v dostupné formě je zveřejnit.</w:t>
      </w:r>
    </w:p>
    <w:p w14:paraId="123B0ABF" w14:textId="13691EF6" w:rsidR="002475ED" w:rsidRDefault="002475ED" w:rsidP="002475ED">
      <w:r>
        <w:t>Ačkoliv jsme neshledali diskriminaci, doporučili jsme, aby Zásady pro hospodaření s byty byly veřejně dostupné a aby město žadateli o obecní bydlení vysvětlilo, proč neuspěl.</w:t>
      </w:r>
    </w:p>
    <w:p w14:paraId="7A051DD7" w14:textId="15B853DB" w:rsidR="002475ED" w:rsidRDefault="0064250D" w:rsidP="00E9599A">
      <w:pPr>
        <w:pStyle w:val="Nadpis2"/>
      </w:pPr>
      <w:bookmarkStart w:id="12" w:name="_Toc131077381"/>
      <w:r>
        <w:t>Publikujeme v</w:t>
      </w:r>
      <w:r w:rsidR="002475ED">
        <w:t xml:space="preserve">ýsledky </w:t>
      </w:r>
      <w:r>
        <w:t xml:space="preserve">našeho </w:t>
      </w:r>
      <w:r w:rsidR="002475ED">
        <w:t>výzkumu</w:t>
      </w:r>
      <w:bookmarkEnd w:id="12"/>
    </w:p>
    <w:p w14:paraId="023A9EE1" w14:textId="77777777" w:rsidR="002475ED" w:rsidRPr="004C4DBC" w:rsidRDefault="002475ED" w:rsidP="00B54CCC">
      <w:pPr>
        <w:pStyle w:val="Nadpis3"/>
      </w:pPr>
      <w:bookmarkStart w:id="13" w:name="_Toc131077382"/>
      <w:r>
        <w:t>Jak hledat</w:t>
      </w:r>
      <w:r w:rsidRPr="004C4DBC">
        <w:t xml:space="preserve"> voln</w:t>
      </w:r>
      <w:r>
        <w:t>é</w:t>
      </w:r>
      <w:r w:rsidRPr="004C4DBC">
        <w:t xml:space="preserve"> pěstoun</w:t>
      </w:r>
      <w:r>
        <w:t>y a </w:t>
      </w:r>
      <w:r w:rsidRPr="004C4DBC">
        <w:t>osvojitel</w:t>
      </w:r>
      <w:r>
        <w:t>e pro </w:t>
      </w:r>
      <w:r w:rsidRPr="004C4DBC">
        <w:t>děti</w:t>
      </w:r>
      <w:r>
        <w:t xml:space="preserve"> v </w:t>
      </w:r>
      <w:r w:rsidRPr="004C4DBC">
        <w:t>pěstounsk</w:t>
      </w:r>
      <w:bookmarkStart w:id="14" w:name="_GoBack"/>
      <w:bookmarkEnd w:id="14"/>
      <w:r w:rsidRPr="004C4DBC">
        <w:t>é péči</w:t>
      </w:r>
      <w:r>
        <w:t xml:space="preserve"> na </w:t>
      </w:r>
      <w:r w:rsidRPr="004C4DBC">
        <w:t>přechodnou dobu (</w:t>
      </w:r>
      <w:hyperlink r:id="rId16" w:history="1">
        <w:r w:rsidRPr="00902C43">
          <w:rPr>
            <w:rStyle w:val="Hypertextovodkaz"/>
            <w:rFonts w:asciiTheme="minorHAnsi" w:hAnsiTheme="minorHAnsi"/>
          </w:rPr>
          <w:t>6324/2021/VOP</w:t>
        </w:r>
      </w:hyperlink>
      <w:r w:rsidRPr="004C4DBC">
        <w:t>)</w:t>
      </w:r>
      <w:bookmarkEnd w:id="13"/>
    </w:p>
    <w:p w14:paraId="1DEDC467" w14:textId="77777777" w:rsidR="002475ED" w:rsidRDefault="002475ED" w:rsidP="002475ED">
      <w:pPr>
        <w:pStyle w:val="Zkladntext"/>
      </w:pPr>
      <w:r>
        <w:t>Navázali jsme na dřívější výzkum postupu krajských a obecních úřadů (orgánů sociálně-právní ochrany dětí – OSPOD) při </w:t>
      </w:r>
      <w:r w:rsidRPr="007F13BF">
        <w:rPr>
          <w:szCs w:val="23"/>
        </w:rPr>
        <w:t>vyhledávání obecných pěstounů</w:t>
      </w:r>
      <w:r>
        <w:rPr>
          <w:szCs w:val="23"/>
        </w:rPr>
        <w:t xml:space="preserve"> a </w:t>
      </w:r>
      <w:r w:rsidRPr="007F13BF">
        <w:rPr>
          <w:szCs w:val="23"/>
        </w:rPr>
        <w:t>osvojitelů</w:t>
      </w:r>
      <w:r>
        <w:rPr>
          <w:szCs w:val="23"/>
        </w:rPr>
        <w:t xml:space="preserve"> pro </w:t>
      </w:r>
      <w:r w:rsidRPr="007F13BF">
        <w:rPr>
          <w:szCs w:val="23"/>
        </w:rPr>
        <w:t>děti, které jsou</w:t>
      </w:r>
      <w:r>
        <w:rPr>
          <w:szCs w:val="23"/>
        </w:rPr>
        <w:t xml:space="preserve"> v </w:t>
      </w:r>
      <w:r w:rsidRPr="007F13BF">
        <w:rPr>
          <w:szCs w:val="23"/>
        </w:rPr>
        <w:t>pěstounské péči</w:t>
      </w:r>
      <w:r>
        <w:rPr>
          <w:szCs w:val="23"/>
        </w:rPr>
        <w:t xml:space="preserve"> na </w:t>
      </w:r>
      <w:r w:rsidRPr="007F13BF">
        <w:rPr>
          <w:szCs w:val="23"/>
        </w:rPr>
        <w:t>p</w:t>
      </w:r>
      <w:r>
        <w:rPr>
          <w:szCs w:val="23"/>
        </w:rPr>
        <w:t>řechodnou dobu. D</w:t>
      </w:r>
      <w:r>
        <w:t>oporučili jsme:</w:t>
      </w:r>
    </w:p>
    <w:p w14:paraId="459472C5" w14:textId="77777777" w:rsidR="002475ED" w:rsidRDefault="002475ED" w:rsidP="002475ED">
      <w:pPr>
        <w:pStyle w:val="Zkladntext"/>
        <w:numPr>
          <w:ilvl w:val="0"/>
          <w:numId w:val="1"/>
        </w:numPr>
      </w:pPr>
      <w:r>
        <w:lastRenderedPageBreak/>
        <w:t>zavést jednotnou celostátní databázi žadatelů o pěstounskou péči a osvojení,</w:t>
      </w:r>
    </w:p>
    <w:p w14:paraId="6B03C7C1" w14:textId="77777777" w:rsidR="002475ED" w:rsidRDefault="002475ED" w:rsidP="002475ED">
      <w:pPr>
        <w:pStyle w:val="Zkladntext"/>
        <w:numPr>
          <w:ilvl w:val="0"/>
          <w:numId w:val="1"/>
        </w:numPr>
      </w:pPr>
      <w:r>
        <w:t>sjednotit postup úřadů tak, aby zahájily zprostředkování, jakmile selže snaha napravit situaci v rodině dítěte v pěstounské péči na přechodnou dobu,</w:t>
      </w:r>
    </w:p>
    <w:p w14:paraId="0B132F4D" w14:textId="77777777" w:rsidR="002475ED" w:rsidRDefault="002475ED" w:rsidP="002475ED">
      <w:pPr>
        <w:pStyle w:val="Zkladntext"/>
        <w:numPr>
          <w:ilvl w:val="0"/>
          <w:numId w:val="1"/>
        </w:numPr>
      </w:pPr>
      <w:r>
        <w:t>aby se porady (poradního sboru) o výběru vhodného žadatele účastnil také OSPOD dítěte a hlasoval,</w:t>
      </w:r>
    </w:p>
    <w:p w14:paraId="7A0A5DEF" w14:textId="77777777" w:rsidR="002475ED" w:rsidRDefault="002475ED" w:rsidP="002475ED">
      <w:pPr>
        <w:pStyle w:val="Zkladntext"/>
        <w:numPr>
          <w:ilvl w:val="0"/>
          <w:numId w:val="1"/>
        </w:numPr>
      </w:pPr>
      <w:r>
        <w:t>sepisovat záznamy o jednání poradních sborů a zaměřit se na důvod výběru konkrétního žadatele nebo nemožnosti vybrat žadatele,</w:t>
      </w:r>
    </w:p>
    <w:p w14:paraId="7AC2862B" w14:textId="77777777" w:rsidR="002475ED" w:rsidRDefault="002475ED" w:rsidP="002475ED">
      <w:pPr>
        <w:pStyle w:val="Zkladntext"/>
        <w:numPr>
          <w:ilvl w:val="0"/>
          <w:numId w:val="1"/>
        </w:numPr>
      </w:pPr>
      <w:r>
        <w:t>více hledat</w:t>
      </w:r>
      <w:r>
        <w:rPr>
          <w:b/>
          <w:bCs/>
        </w:rPr>
        <w:t xml:space="preserve"> </w:t>
      </w:r>
      <w:r>
        <w:t>žadatele, kteří budou ochotni a schopni přijímat zvlášť zranitelné skupiny dětí (například romské děti, sourozenecké skupiny dětí, děti s postižením i děti jiné národnosti či státní příslušnosti),</w:t>
      </w:r>
    </w:p>
    <w:p w14:paraId="13A212A4" w14:textId="77777777" w:rsidR="002475ED" w:rsidRPr="00C7685C" w:rsidRDefault="002475ED" w:rsidP="002475ED">
      <w:pPr>
        <w:pStyle w:val="Zkladntext"/>
        <w:numPr>
          <w:ilvl w:val="0"/>
          <w:numId w:val="1"/>
        </w:numPr>
      </w:pPr>
      <w:r>
        <w:t>nezveřejňovat informace o dětech prostřednictvím jejich příběhů například na webu krajských úřadů, protože to zasahuje do soukromí a důstojnosti dítěte.</w:t>
      </w:r>
    </w:p>
    <w:p w14:paraId="66151E89" w14:textId="4BB1CA29" w:rsidR="002475ED" w:rsidRDefault="002475ED" w:rsidP="002475ED">
      <w:r w:rsidRPr="004C4DBC">
        <w:t>M</w:t>
      </w:r>
      <w:r>
        <w:t xml:space="preserve">inisterstvo práce a sociálních věcí </w:t>
      </w:r>
      <w:r w:rsidRPr="004C4DBC">
        <w:t>již př</w:t>
      </w:r>
      <w:r>
        <w:t>ipravuje</w:t>
      </w:r>
      <w:r w:rsidRPr="004C4DBC">
        <w:t xml:space="preserve"> celostátní databáz</w:t>
      </w:r>
      <w:r>
        <w:t>i</w:t>
      </w:r>
      <w:r w:rsidRPr="004C4DBC">
        <w:t xml:space="preserve"> žadatelů</w:t>
      </w:r>
      <w:r>
        <w:t xml:space="preserve"> o </w:t>
      </w:r>
      <w:r w:rsidRPr="004C4DBC">
        <w:t>pěstounskou péči</w:t>
      </w:r>
      <w:r>
        <w:t xml:space="preserve"> a </w:t>
      </w:r>
      <w:r w:rsidRPr="004C4DBC">
        <w:t>osvojení</w:t>
      </w:r>
      <w:r>
        <w:t>. P</w:t>
      </w:r>
      <w:r w:rsidRPr="004C4DBC">
        <w:t>lánuje</w:t>
      </w:r>
      <w:r>
        <w:t xml:space="preserve"> provést i </w:t>
      </w:r>
      <w:r w:rsidRPr="004C4DBC">
        <w:t>další kroky</w:t>
      </w:r>
      <w:r>
        <w:t xml:space="preserve"> při své metodické činnosti a </w:t>
      </w:r>
      <w:r w:rsidRPr="004C4DBC">
        <w:t>pravidelných kontrol</w:t>
      </w:r>
      <w:r>
        <w:t xml:space="preserve">ách </w:t>
      </w:r>
      <w:r w:rsidRPr="004C4DBC">
        <w:t>krajských úřad</w:t>
      </w:r>
      <w:r>
        <w:t>ů. Také chystá změnu právní úpravy.</w:t>
      </w:r>
    </w:p>
    <w:p w14:paraId="006CA45F" w14:textId="77777777" w:rsidR="00BB7464" w:rsidRDefault="00BB7464" w:rsidP="00BB7464">
      <w:pPr>
        <w:pStyle w:val="Nadpis3"/>
        <w:rPr>
          <w:szCs w:val="24"/>
        </w:rPr>
      </w:pPr>
      <w:r>
        <w:t>Provedli jsme výzkum v oblasti regulace zápachu v ovzduší (</w:t>
      </w:r>
      <w:proofErr w:type="spellStart"/>
      <w:r>
        <w:t>sp</w:t>
      </w:r>
      <w:proofErr w:type="spellEnd"/>
      <w:r>
        <w:t xml:space="preserve">. zn. </w:t>
      </w:r>
      <w:hyperlink r:id="rId17" w:history="1">
        <w:r>
          <w:rPr>
            <w:rStyle w:val="Hypertextovodkaz"/>
          </w:rPr>
          <w:t>19/2021/SZD</w:t>
        </w:r>
      </w:hyperlink>
      <w:r>
        <w:t>)</w:t>
      </w:r>
    </w:p>
    <w:p w14:paraId="62EA8F4D" w14:textId="77777777" w:rsidR="00BB7464" w:rsidRDefault="00BB7464" w:rsidP="00BB7464">
      <w:pPr>
        <w:pStyle w:val="Zkladntext"/>
        <w:rPr>
          <w:rStyle w:val="Siln"/>
        </w:rPr>
      </w:pPr>
      <w:r>
        <w:rPr>
          <w:rStyle w:val="Siln"/>
        </w:rPr>
        <w:t>Podle českého práva mohou úřady regulovat zápach ze zemědělských i průmyslových provozů. Legislativní postup pro stanovení konkrétních pachových limitů je však strohý a nedostatečný. Důsledkem je stav, kdy úřady pachové limity ve své praxi téměř nestanovují.</w:t>
      </w:r>
    </w:p>
    <w:p w14:paraId="5B885F0E" w14:textId="77777777" w:rsidR="00BB7464" w:rsidRPr="00BB7464" w:rsidRDefault="00BB7464" w:rsidP="00BB7464">
      <w:pPr>
        <w:pStyle w:val="Zkladntext"/>
      </w:pPr>
      <w:r w:rsidRPr="00BB7464">
        <w:rPr>
          <w:rStyle w:val="zelen"/>
          <w:b w:val="0"/>
          <w:bCs w:val="0"/>
          <w:color w:val="auto"/>
        </w:rPr>
        <w:t>Dostávali jsme opakované stížnosti lidí na zápach ze zemědělských a průmyslových provozů v okolí</w:t>
      </w:r>
      <w:r w:rsidRPr="00BB7464">
        <w:t>. V loňském roce jsme proto zahájili výzkum, který mapoval činnost úřadů v oblasti ochrany obyvatel před zápachem. Povolovacích orgánů (krajské úřady) i kontrolních orgánů (inspektoráty ČIŽP) jsme se ptali na to, jakým způsobem regulují zápach z jednotlivých provozů a zda považují současnou úroveň české „</w:t>
      </w:r>
      <w:proofErr w:type="spellStart"/>
      <w:r w:rsidRPr="00BB7464">
        <w:t>antipachové</w:t>
      </w:r>
      <w:proofErr w:type="spellEnd"/>
      <w:r w:rsidRPr="00BB7464">
        <w:t>“ legislativy za dostatečnou.</w:t>
      </w:r>
      <w:r w:rsidRPr="00BB7464">
        <w:rPr>
          <w:rStyle w:val="zelen"/>
          <w:b w:val="0"/>
          <w:bCs w:val="0"/>
          <w:color w:val="auto"/>
        </w:rPr>
        <w:t xml:space="preserve"> Od respondentů jsme zjistili, že se současná právní úprava ochrany před zápachem bude muset změnit. O nezbytné novelizaci nyní jednáme s Ministerstvem životního prostředí a potom bychom rádi téma diskutovali s úřady a odborníky.</w:t>
      </w:r>
    </w:p>
    <w:p w14:paraId="2577FBE4" w14:textId="77777777" w:rsidR="00BB7464" w:rsidRDefault="00BB7464" w:rsidP="002475ED"/>
    <w:sectPr w:rsidR="00BB7464" w:rsidSect="00F81A8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0DCE"/>
    <w:multiLevelType w:val="hybridMultilevel"/>
    <w:tmpl w:val="3020C4E0"/>
    <w:lvl w:ilvl="0" w:tplc="439C2D8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2731D"/>
    <w:multiLevelType w:val="hybridMultilevel"/>
    <w:tmpl w:val="39CEEF86"/>
    <w:lvl w:ilvl="0" w:tplc="9B6878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83CC9"/>
    <w:multiLevelType w:val="hybridMultilevel"/>
    <w:tmpl w:val="3BEC5D0E"/>
    <w:lvl w:ilvl="0" w:tplc="743484CE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E3A9B"/>
    <w:multiLevelType w:val="hybridMultilevel"/>
    <w:tmpl w:val="F4CCCDA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1F"/>
    <w:rsid w:val="000173DE"/>
    <w:rsid w:val="000452BA"/>
    <w:rsid w:val="00056A0D"/>
    <w:rsid w:val="00072AFA"/>
    <w:rsid w:val="00081E63"/>
    <w:rsid w:val="00082F1F"/>
    <w:rsid w:val="000932BA"/>
    <w:rsid w:val="000C35D4"/>
    <w:rsid w:val="000C748A"/>
    <w:rsid w:val="000D2704"/>
    <w:rsid w:val="000E1FE5"/>
    <w:rsid w:val="000E2983"/>
    <w:rsid w:val="000E4A98"/>
    <w:rsid w:val="0012577D"/>
    <w:rsid w:val="00145C29"/>
    <w:rsid w:val="00160E91"/>
    <w:rsid w:val="001C5ADF"/>
    <w:rsid w:val="0021523C"/>
    <w:rsid w:val="00221317"/>
    <w:rsid w:val="00237712"/>
    <w:rsid w:val="002475ED"/>
    <w:rsid w:val="002562FE"/>
    <w:rsid w:val="002A0568"/>
    <w:rsid w:val="002A320A"/>
    <w:rsid w:val="002D17CA"/>
    <w:rsid w:val="002D4CD4"/>
    <w:rsid w:val="00334E9A"/>
    <w:rsid w:val="003440D3"/>
    <w:rsid w:val="00351537"/>
    <w:rsid w:val="00354F0D"/>
    <w:rsid w:val="00375C33"/>
    <w:rsid w:val="003E5075"/>
    <w:rsid w:val="003F5B8C"/>
    <w:rsid w:val="003F795C"/>
    <w:rsid w:val="00440F95"/>
    <w:rsid w:val="00444208"/>
    <w:rsid w:val="004470F9"/>
    <w:rsid w:val="00450748"/>
    <w:rsid w:val="004A4DEC"/>
    <w:rsid w:val="004E0DD8"/>
    <w:rsid w:val="00511826"/>
    <w:rsid w:val="0051465C"/>
    <w:rsid w:val="00536EF8"/>
    <w:rsid w:val="005527A1"/>
    <w:rsid w:val="005706F4"/>
    <w:rsid w:val="005A49E4"/>
    <w:rsid w:val="005D4FDA"/>
    <w:rsid w:val="006349DD"/>
    <w:rsid w:val="0064250D"/>
    <w:rsid w:val="006C2AB7"/>
    <w:rsid w:val="006E47A6"/>
    <w:rsid w:val="0070654A"/>
    <w:rsid w:val="00707845"/>
    <w:rsid w:val="0072689D"/>
    <w:rsid w:val="00742EFB"/>
    <w:rsid w:val="00757911"/>
    <w:rsid w:val="00792CCA"/>
    <w:rsid w:val="007A042A"/>
    <w:rsid w:val="00817F4F"/>
    <w:rsid w:val="00897B78"/>
    <w:rsid w:val="008A1628"/>
    <w:rsid w:val="008E6184"/>
    <w:rsid w:val="00902C43"/>
    <w:rsid w:val="00920486"/>
    <w:rsid w:val="00944FCA"/>
    <w:rsid w:val="00954335"/>
    <w:rsid w:val="009D093A"/>
    <w:rsid w:val="009F64D2"/>
    <w:rsid w:val="00A36426"/>
    <w:rsid w:val="00A42B7E"/>
    <w:rsid w:val="00A577A0"/>
    <w:rsid w:val="00A6298A"/>
    <w:rsid w:val="00A90657"/>
    <w:rsid w:val="00A9631E"/>
    <w:rsid w:val="00AB0360"/>
    <w:rsid w:val="00AF5A4C"/>
    <w:rsid w:val="00B24B43"/>
    <w:rsid w:val="00B54CCC"/>
    <w:rsid w:val="00B678B4"/>
    <w:rsid w:val="00B81C62"/>
    <w:rsid w:val="00B84AEE"/>
    <w:rsid w:val="00B97E17"/>
    <w:rsid w:val="00BB7464"/>
    <w:rsid w:val="00BC799B"/>
    <w:rsid w:val="00BE1A73"/>
    <w:rsid w:val="00C13A75"/>
    <w:rsid w:val="00C25CAA"/>
    <w:rsid w:val="00C47FFD"/>
    <w:rsid w:val="00C5581D"/>
    <w:rsid w:val="00C7685C"/>
    <w:rsid w:val="00CB7E5B"/>
    <w:rsid w:val="00D443EA"/>
    <w:rsid w:val="00D5536D"/>
    <w:rsid w:val="00D712D7"/>
    <w:rsid w:val="00D81ED3"/>
    <w:rsid w:val="00D90339"/>
    <w:rsid w:val="00DB4D39"/>
    <w:rsid w:val="00DB6FBF"/>
    <w:rsid w:val="00DE310C"/>
    <w:rsid w:val="00E00181"/>
    <w:rsid w:val="00E00213"/>
    <w:rsid w:val="00E01B27"/>
    <w:rsid w:val="00E02ED1"/>
    <w:rsid w:val="00E133FE"/>
    <w:rsid w:val="00E70EA5"/>
    <w:rsid w:val="00E85B1E"/>
    <w:rsid w:val="00E86A05"/>
    <w:rsid w:val="00E9599A"/>
    <w:rsid w:val="00EB4CA8"/>
    <w:rsid w:val="00EC06CA"/>
    <w:rsid w:val="00F20E4C"/>
    <w:rsid w:val="00F3390E"/>
    <w:rsid w:val="00F4495E"/>
    <w:rsid w:val="00F52B0E"/>
    <w:rsid w:val="00F64B50"/>
    <w:rsid w:val="00F76B5F"/>
    <w:rsid w:val="00F8100D"/>
    <w:rsid w:val="00F81A8D"/>
    <w:rsid w:val="00F83835"/>
    <w:rsid w:val="00F963F6"/>
    <w:rsid w:val="00FA4809"/>
    <w:rsid w:val="00FA72BB"/>
    <w:rsid w:val="00FA7E60"/>
    <w:rsid w:val="00FB5A4B"/>
    <w:rsid w:val="00FD2867"/>
    <w:rsid w:val="00FD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5285"/>
  <w15:docId w15:val="{7DA15374-7330-4F0E-A08C-3D6E8D23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 w:qFormat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7685C"/>
    <w:rPr>
      <w:sz w:val="23"/>
      <w:szCs w:val="23"/>
    </w:rPr>
  </w:style>
  <w:style w:type="paragraph" w:styleId="Nadpis1">
    <w:name w:val="heading 1"/>
    <w:basedOn w:val="Normln"/>
    <w:next w:val="Normln"/>
    <w:link w:val="Nadpis1Char"/>
    <w:uiPriority w:val="9"/>
    <w:qFormat/>
    <w:rsid w:val="00AB0360"/>
    <w:pPr>
      <w:keepNext/>
      <w:keepLines/>
      <w:spacing w:before="240" w:after="0"/>
      <w:outlineLvl w:val="0"/>
    </w:pPr>
    <w:rPr>
      <w:rFonts w:eastAsia="Times New Roman" w:cstheme="minorHAnsi"/>
      <w:color w:val="C00000"/>
      <w:sz w:val="36"/>
      <w:szCs w:val="36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599A"/>
    <w:pPr>
      <w:keepNext/>
      <w:keepLines/>
      <w:pBdr>
        <w:top w:val="single" w:sz="6" w:space="1" w:color="008576"/>
      </w:pBdr>
      <w:spacing w:before="360" w:after="0" w:line="240" w:lineRule="auto"/>
      <w:outlineLvl w:val="1"/>
    </w:pPr>
    <w:rPr>
      <w:rFonts w:eastAsiaTheme="majorEastAsia" w:cstheme="minorHAnsi"/>
      <w:b/>
      <w:bCs/>
      <w:color w:val="008576"/>
      <w:sz w:val="28"/>
      <w:szCs w:val="28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54CCC"/>
    <w:pPr>
      <w:keepNext/>
      <w:keepLines/>
      <w:spacing w:before="300" w:after="0" w:line="240" w:lineRule="auto"/>
      <w:outlineLvl w:val="2"/>
    </w:pPr>
    <w:rPr>
      <w:rFonts w:eastAsiaTheme="majorEastAsia" w:cstheme="minorHAnsi"/>
      <w:b/>
      <w:bCs/>
      <w:color w:val="00857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9599A"/>
    <w:rPr>
      <w:rFonts w:eastAsiaTheme="majorEastAsia" w:cstheme="minorHAnsi"/>
      <w:b/>
      <w:bCs/>
      <w:color w:val="008576"/>
      <w:sz w:val="28"/>
      <w:szCs w:val="28"/>
      <w:lang w:eastAsia="cs-CZ"/>
    </w:rPr>
  </w:style>
  <w:style w:type="character" w:customStyle="1" w:styleId="Nadpis1Char">
    <w:name w:val="Nadpis 1 Char"/>
    <w:basedOn w:val="Standardnpsmoodstavce"/>
    <w:link w:val="Nadpis1"/>
    <w:uiPriority w:val="2"/>
    <w:rsid w:val="00AB0360"/>
    <w:rPr>
      <w:rFonts w:eastAsia="Times New Roman" w:cstheme="minorHAnsi"/>
      <w:color w:val="C00000"/>
      <w:sz w:val="36"/>
      <w:szCs w:val="36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C7685C"/>
    <w:pPr>
      <w:spacing w:line="720" w:lineRule="exact"/>
    </w:pPr>
    <w:rPr>
      <w:b/>
      <w:bCs/>
      <w:noProof/>
      <w:color w:val="008576"/>
      <w:sz w:val="60"/>
      <w:szCs w:val="60"/>
    </w:rPr>
  </w:style>
  <w:style w:type="character" w:customStyle="1" w:styleId="NzevChar">
    <w:name w:val="Název Char"/>
    <w:basedOn w:val="Standardnpsmoodstavce"/>
    <w:link w:val="Nzev"/>
    <w:uiPriority w:val="10"/>
    <w:rsid w:val="00C7685C"/>
    <w:rPr>
      <w:b/>
      <w:bCs/>
      <w:noProof/>
      <w:color w:val="008576"/>
      <w:sz w:val="60"/>
      <w:szCs w:val="60"/>
    </w:rPr>
  </w:style>
  <w:style w:type="character" w:customStyle="1" w:styleId="Nadpis3Char">
    <w:name w:val="Nadpis 3 Char"/>
    <w:basedOn w:val="Standardnpsmoodstavce"/>
    <w:link w:val="Nadpis3"/>
    <w:uiPriority w:val="9"/>
    <w:rsid w:val="00B54CCC"/>
    <w:rPr>
      <w:rFonts w:eastAsiaTheme="majorEastAsia" w:cstheme="minorHAnsi"/>
      <w:b/>
      <w:bCs/>
      <w:color w:val="008576"/>
      <w:sz w:val="23"/>
      <w:szCs w:val="23"/>
    </w:rPr>
  </w:style>
  <w:style w:type="table" w:styleId="Mkatabulky">
    <w:name w:val="Table Grid"/>
    <w:basedOn w:val="Normlntabulka"/>
    <w:uiPriority w:val="39"/>
    <w:rsid w:val="00C76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"/>
    <w:link w:val="ZkladntextChar"/>
    <w:qFormat/>
    <w:rsid w:val="00C7685C"/>
    <w:pPr>
      <w:spacing w:before="120" w:after="120" w:line="252" w:lineRule="auto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rsid w:val="00C7685C"/>
    <w:rPr>
      <w:rFonts w:ascii="Calibri" w:eastAsia="Times New Roman" w:hAnsi="Calibri" w:cs="Times New Roman"/>
      <w:sz w:val="23"/>
      <w:szCs w:val="24"/>
      <w:lang w:eastAsia="cs-CZ"/>
    </w:rPr>
  </w:style>
  <w:style w:type="character" w:styleId="Odkaznakoment">
    <w:name w:val="annotation reference"/>
    <w:semiHidden/>
    <w:unhideWhenUsed/>
    <w:rsid w:val="00C7685C"/>
    <w:rPr>
      <w:sz w:val="16"/>
      <w:szCs w:val="16"/>
    </w:rPr>
  </w:style>
  <w:style w:type="paragraph" w:styleId="Textkomente">
    <w:name w:val="annotation text"/>
    <w:basedOn w:val="Normln"/>
    <w:link w:val="TextkomenteChar"/>
    <w:unhideWhenUsed/>
    <w:rsid w:val="00C7685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cs-CZ"/>
    </w:rPr>
  </w:style>
  <w:style w:type="character" w:customStyle="1" w:styleId="TextkomenteChar">
    <w:name w:val="Text komentáře Char"/>
    <w:basedOn w:val="Standardnpsmoodstavce"/>
    <w:link w:val="Textkomente"/>
    <w:rsid w:val="00C7685C"/>
    <w:rPr>
      <w:rFonts w:ascii="Calibri" w:eastAsia="Times New Roman" w:hAnsi="Calibri" w:cs="Times New Roman"/>
      <w:sz w:val="20"/>
      <w:szCs w:val="20"/>
      <w:lang w:eastAsia="cs-CZ"/>
    </w:rPr>
  </w:style>
  <w:style w:type="character" w:styleId="Hypertextovodkaz">
    <w:name w:val="Hyperlink"/>
    <w:uiPriority w:val="4"/>
    <w:qFormat/>
    <w:rsid w:val="00C7685C"/>
    <w:rPr>
      <w:rFonts w:ascii="Calibri" w:hAnsi="Calibri"/>
      <w:color w:val="008576"/>
      <w:sz w:val="23"/>
      <w:u w:val="single"/>
    </w:rPr>
  </w:style>
  <w:style w:type="character" w:styleId="Siln">
    <w:name w:val="Strong"/>
    <w:uiPriority w:val="22"/>
    <w:qFormat/>
    <w:rsid w:val="00C7685C"/>
    <w:rPr>
      <w:b/>
      <w:bCs/>
    </w:rPr>
  </w:style>
  <w:style w:type="character" w:styleId="Zdraznn">
    <w:name w:val="Emphasis"/>
    <w:uiPriority w:val="1"/>
    <w:qFormat/>
    <w:rsid w:val="00C7685C"/>
    <w:rPr>
      <w:i/>
      <w:iCs/>
    </w:rPr>
  </w:style>
  <w:style w:type="character" w:customStyle="1" w:styleId="cf01">
    <w:name w:val="cf01"/>
    <w:basedOn w:val="Standardnpsmoodstavce"/>
    <w:rsid w:val="00C7685C"/>
    <w:rPr>
      <w:rFonts w:ascii="Segoe UI" w:hAnsi="Segoe UI" w:cs="Segoe UI" w:hint="default"/>
      <w:sz w:val="18"/>
      <w:szCs w:val="18"/>
    </w:rPr>
  </w:style>
  <w:style w:type="paragraph" w:styleId="Revize">
    <w:name w:val="Revision"/>
    <w:hidden/>
    <w:uiPriority w:val="99"/>
    <w:semiHidden/>
    <w:rsid w:val="00C7685C"/>
    <w:pPr>
      <w:spacing w:after="0" w:line="240" w:lineRule="auto"/>
    </w:pPr>
    <w:rPr>
      <w:sz w:val="23"/>
      <w:szCs w:val="23"/>
    </w:rPr>
  </w:style>
  <w:style w:type="paragraph" w:styleId="Odstavecseseznamem">
    <w:name w:val="List Paragraph"/>
    <w:basedOn w:val="Normln"/>
    <w:uiPriority w:val="34"/>
    <w:qFormat/>
    <w:rsid w:val="00FA7E60"/>
    <w:pPr>
      <w:ind w:left="720"/>
      <w:contextualSpacing/>
    </w:pPr>
    <w:rPr>
      <w:sz w:val="22"/>
      <w:szCs w:val="22"/>
    </w:rPr>
  </w:style>
  <w:style w:type="character" w:customStyle="1" w:styleId="zelen">
    <w:name w:val="zelená"/>
    <w:basedOn w:val="Siln"/>
    <w:rsid w:val="00E01B27"/>
    <w:rPr>
      <w:b/>
      <w:bCs/>
      <w:color w:val="008576"/>
    </w:rPr>
  </w:style>
  <w:style w:type="paragraph" w:styleId="Seznam">
    <w:name w:val="List"/>
    <w:basedOn w:val="Normln"/>
    <w:uiPriority w:val="3"/>
    <w:rsid w:val="00E01B27"/>
    <w:pPr>
      <w:numPr>
        <w:numId w:val="4"/>
      </w:numPr>
      <w:tabs>
        <w:tab w:val="left" w:pos="567"/>
      </w:tabs>
      <w:spacing w:before="120" w:after="120" w:line="252" w:lineRule="auto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A320A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A320A"/>
    <w:rPr>
      <w:rFonts w:ascii="Calibri" w:eastAsia="Times New Roman" w:hAnsi="Calibri" w:cs="Times New Roman"/>
      <w:b/>
      <w:bCs/>
      <w:sz w:val="20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A3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A320A"/>
    <w:rPr>
      <w:rFonts w:ascii="Segoe UI" w:hAnsi="Segoe UI" w:cs="Segoe UI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2D17CA"/>
    <w:rPr>
      <w:color w:val="954F72" w:themeColor="followed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8A1628"/>
    <w:pPr>
      <w:tabs>
        <w:tab w:val="right" w:leader="dot" w:pos="9062"/>
      </w:tabs>
      <w:spacing w:after="100"/>
    </w:pPr>
    <w:rPr>
      <w:b/>
      <w:noProof/>
    </w:rPr>
  </w:style>
  <w:style w:type="paragraph" w:styleId="Obsah3">
    <w:name w:val="toc 3"/>
    <w:basedOn w:val="Normln"/>
    <w:next w:val="Normln"/>
    <w:autoRedefine/>
    <w:uiPriority w:val="39"/>
    <w:unhideWhenUsed/>
    <w:rsid w:val="00D81ED3"/>
    <w:pPr>
      <w:tabs>
        <w:tab w:val="right" w:leader="dot" w:pos="9062"/>
      </w:tabs>
      <w:spacing w:after="100"/>
    </w:p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375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o.ochrance.cz/Nalezene/Edit/10932" TargetMode="External"/><Relationship Id="rId13" Type="http://schemas.openxmlformats.org/officeDocument/2006/relationships/hyperlink" Target="https://eso.ochrance.cz/Nalezene/Edit/1119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o.ochrance.cz/Nalezene/Edit/11590" TargetMode="External"/><Relationship Id="rId12" Type="http://schemas.openxmlformats.org/officeDocument/2006/relationships/hyperlink" Target="https://eso.ochrance.cz/Nalezene/Edit/11596" TargetMode="External"/><Relationship Id="rId17" Type="http://schemas.openxmlformats.org/officeDocument/2006/relationships/hyperlink" Target="http://kvopap:81/KVOPEsoSearch/Nalezene/Edit/8828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o.ochrance.cz/Nalezene/Edit/1113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so.ochrance.cz/Nalezene/Edit/10984" TargetMode="External"/><Relationship Id="rId11" Type="http://schemas.openxmlformats.org/officeDocument/2006/relationships/hyperlink" Target="https://eso.ochrance.cz/Nalezene/Edit/107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o.ochrance.cz/Nalezene/Edit/11232" TargetMode="External"/><Relationship Id="rId10" Type="http://schemas.openxmlformats.org/officeDocument/2006/relationships/hyperlink" Target="https://eso.ochrance.cz/Nalezene/Edit/1105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o.ochrance.cz/Nalezene/Edit/11256" TargetMode="External"/><Relationship Id="rId14" Type="http://schemas.openxmlformats.org/officeDocument/2006/relationships/hyperlink" Target="https://eso.ochrance.cz/Nalezene/Edit/10956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5D113-B95D-45F2-8B07-C9235DB5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2714</Words>
  <Characters>16013</Characters>
  <Application>Microsoft Office Word</Application>
  <DocSecurity>0</DocSecurity>
  <Lines>133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Šamánková</dc:creator>
  <cp:lastModifiedBy>Herma Adam, Mgr.</cp:lastModifiedBy>
  <cp:revision>5</cp:revision>
  <dcterms:created xsi:type="dcterms:W3CDTF">2023-05-09T08:33:00Z</dcterms:created>
  <dcterms:modified xsi:type="dcterms:W3CDTF">2023-05-09T08:56:00Z</dcterms:modified>
</cp:coreProperties>
</file>